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4"/>
      </w:tblGrid>
      <w:tr w:rsidR="00AB63B3" w:rsidRPr="00030915" w14:paraId="4A6D148F" w14:textId="77777777" w:rsidTr="00DD0F2E">
        <w:tc>
          <w:tcPr>
            <w:tcW w:w="1803" w:type="dxa"/>
          </w:tcPr>
          <w:p w14:paraId="5E8A9317" w14:textId="77777777" w:rsidR="00AB63B3" w:rsidRPr="00030915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HEK293-P1KO</w:t>
            </w:r>
          </w:p>
        </w:tc>
        <w:tc>
          <w:tcPr>
            <w:tcW w:w="1803" w:type="dxa"/>
          </w:tcPr>
          <w:p w14:paraId="6292AC90" w14:textId="77777777" w:rsidR="00AB63B3" w:rsidRDefault="00AB63B3" w:rsidP="00DD0F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588">
              <w:rPr>
                <w:rFonts w:ascii="Times New Roman" w:hAnsi="Times New Roman" w:cs="Times New Roman"/>
                <w:b/>
                <w:i/>
                <w:sz w:val="24"/>
              </w:rPr>
              <w:t>m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</w:rPr>
              <w:t>Elkin1</w:t>
            </w:r>
          </w:p>
          <w:p w14:paraId="2FF2ECDA" w14:textId="77777777" w:rsidR="00AB63B3" w:rsidRPr="00030915" w:rsidRDefault="00AB63B3" w:rsidP="00DD0F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iso1</w:t>
            </w:r>
          </w:p>
        </w:tc>
        <w:tc>
          <w:tcPr>
            <w:tcW w:w="1804" w:type="dxa"/>
          </w:tcPr>
          <w:p w14:paraId="15752730" w14:textId="77777777" w:rsidR="00AB63B3" w:rsidRPr="00030915" w:rsidRDefault="00AB63B3" w:rsidP="00DD0F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8E2">
              <w:rPr>
                <w:rFonts w:ascii="Times New Roman" w:hAnsi="Times New Roman" w:cs="Times New Roman"/>
                <w:b/>
                <w:i/>
                <w:sz w:val="24"/>
              </w:rPr>
              <w:t>mm</w:t>
            </w:r>
            <w:r>
              <w:rPr>
                <w:rFonts w:ascii="Times New Roman" w:hAnsi="Times New Roman" w:cs="Times New Roman"/>
                <w:b/>
                <w:sz w:val="24"/>
              </w:rPr>
              <w:t>Elkin1 iso1 F271L, N292G</w:t>
            </w:r>
          </w:p>
        </w:tc>
      </w:tr>
      <w:tr w:rsidR="00AB63B3" w:rsidRPr="00030915" w14:paraId="03E56214" w14:textId="77777777" w:rsidTr="00DD0F2E">
        <w:tc>
          <w:tcPr>
            <w:tcW w:w="1803" w:type="dxa"/>
          </w:tcPr>
          <w:p w14:paraId="55BA8DA9" w14:textId="77777777" w:rsidR="00AB63B3" w:rsidRPr="00030915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Latency</w:t>
            </w:r>
          </w:p>
          <w:p w14:paraId="70D972D2" w14:textId="77777777" w:rsidR="00AB63B3" w:rsidRPr="00030915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142A8CCB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</w:rPr>
              <w:t>1.3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3F681539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03091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04" w:type="dxa"/>
          </w:tcPr>
          <w:p w14:paraId="1702FE81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0.3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68EA69B0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 w:rsidRPr="0003091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B63B3" w:rsidRPr="00030915" w14:paraId="2569C6AF" w14:textId="77777777" w:rsidTr="00DD0F2E">
        <w:tc>
          <w:tcPr>
            <w:tcW w:w="1803" w:type="dxa"/>
          </w:tcPr>
          <w:p w14:paraId="11F04447" w14:textId="77777777" w:rsidR="00AB63B3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Activation time constant</w:t>
            </w:r>
          </w:p>
          <w:p w14:paraId="4978154F" w14:textId="77777777" w:rsidR="00AB63B3" w:rsidRPr="00030915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632F0079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0.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</w:tc>
        <w:tc>
          <w:tcPr>
            <w:tcW w:w="1804" w:type="dxa"/>
          </w:tcPr>
          <w:p w14:paraId="1D321559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0.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</w:tc>
      </w:tr>
      <w:tr w:rsidR="00AB63B3" w:rsidRPr="00030915" w14:paraId="6D302BF6" w14:textId="77777777" w:rsidTr="00DD0F2E">
        <w:tc>
          <w:tcPr>
            <w:tcW w:w="1803" w:type="dxa"/>
          </w:tcPr>
          <w:p w14:paraId="65F7E8C3" w14:textId="77777777" w:rsidR="00AB63B3" w:rsidRPr="00030915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Inactivation time constant (inactivating currents)</w:t>
            </w:r>
          </w:p>
        </w:tc>
        <w:tc>
          <w:tcPr>
            <w:tcW w:w="1803" w:type="dxa"/>
          </w:tcPr>
          <w:p w14:paraId="399F2012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289E1899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03091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04" w:type="dxa"/>
          </w:tcPr>
          <w:p w14:paraId="5422790D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498ACEE6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03091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B63B3" w:rsidRPr="00030915" w14:paraId="427A165C" w14:textId="77777777" w:rsidTr="00DD0F2E">
        <w:tc>
          <w:tcPr>
            <w:tcW w:w="1803" w:type="dxa"/>
          </w:tcPr>
          <w:p w14:paraId="6C137779" w14:textId="77777777" w:rsidR="00AB63B3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Fraction non-inactivating</w:t>
            </w:r>
          </w:p>
          <w:p w14:paraId="41DB4795" w14:textId="77777777" w:rsidR="00AB63B3" w:rsidRPr="00030915" w:rsidRDefault="00AB63B3" w:rsidP="00DD0F2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394B87AC" w14:textId="77777777" w:rsidR="00AB63B3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61%</w:t>
            </w:r>
          </w:p>
          <w:p w14:paraId="21A0AF12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(11/18)</w:t>
            </w:r>
          </w:p>
        </w:tc>
        <w:tc>
          <w:tcPr>
            <w:tcW w:w="1804" w:type="dxa"/>
          </w:tcPr>
          <w:p w14:paraId="2C691A5C" w14:textId="77777777" w:rsidR="00AB63B3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32.5%</w:t>
            </w:r>
          </w:p>
          <w:p w14:paraId="57250693" w14:textId="77777777" w:rsidR="00AB63B3" w:rsidRPr="00030915" w:rsidRDefault="00AB63B3" w:rsidP="00DD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(13/40)</w:t>
            </w:r>
          </w:p>
        </w:tc>
      </w:tr>
    </w:tbl>
    <w:p w14:paraId="52B81C95" w14:textId="4A1D17C1" w:rsidR="00AB63B3" w:rsidRDefault="00AB63B3" w:rsidP="00AB63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A603B6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 source data</w:t>
      </w:r>
      <w:r w:rsidRPr="00816CCF">
        <w:rPr>
          <w:rFonts w:ascii="Times New Roman" w:hAnsi="Times New Roman" w:cs="Times New Roman"/>
          <w:b/>
          <w:sz w:val="24"/>
          <w:szCs w:val="24"/>
        </w:rPr>
        <w:t xml:space="preserve">: Physiological properties of currents recorded in </w:t>
      </w:r>
      <w:r>
        <w:rPr>
          <w:rFonts w:ascii="Times New Roman" w:hAnsi="Times New Roman" w:cs="Times New Roman"/>
          <w:b/>
          <w:sz w:val="24"/>
          <w:szCs w:val="24"/>
        </w:rPr>
        <w:t xml:space="preserve">HEK-293 P1KO cells </w:t>
      </w:r>
    </w:p>
    <w:p w14:paraId="7C2D6820" w14:textId="77777777" w:rsidR="00AB63B3" w:rsidRPr="00816CCF" w:rsidRDefault="00AB63B3" w:rsidP="00AB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HEK-293 P1KO cells expressing Elkin1 variants were cultured on pillar arrays. For each group the mechanical latency, activation time constant (calculated from a mono-exponential fit of current activation) and inactivation time constant (time constant calculated from a mono-exponential fit of the current inactivation, when relevant) are shown. Data are displayed as mean ± </w:t>
      </w:r>
      <w:proofErr w:type="spellStart"/>
      <w:r>
        <w:rPr>
          <w:rFonts w:ascii="Times New Roman" w:hAnsi="Times New Roman" w:cs="Times New Roman"/>
          <w:sz w:val="24"/>
          <w:szCs w:val="24"/>
        </w:rPr>
        <w:t>s.e.m.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addition, the percentage of currents that were non-inactivating is presented. </w:t>
      </w:r>
    </w:p>
    <w:p w14:paraId="0C6C2671" w14:textId="77777777" w:rsidR="00AB63B3" w:rsidRDefault="00AB63B3"/>
    <w:sectPr w:rsidR="00AB6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B3"/>
    <w:rsid w:val="00A603B6"/>
    <w:rsid w:val="00AB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2043"/>
  <w15:chartTrackingRefBased/>
  <w15:docId w15:val="{BC5D22F7-0332-4066-86EF-3A7138D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Poole</dc:creator>
  <cp:keywords/>
  <dc:description/>
  <cp:lastModifiedBy>Kate Poole</cp:lastModifiedBy>
  <cp:revision>2</cp:revision>
  <dcterms:created xsi:type="dcterms:W3CDTF">2019-11-14T22:34:00Z</dcterms:created>
  <dcterms:modified xsi:type="dcterms:W3CDTF">2019-11-14T22:34:00Z</dcterms:modified>
</cp:coreProperties>
</file>