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F262B" w14:textId="77777777" w:rsidR="006C2C4F" w:rsidRPr="00C0304F" w:rsidRDefault="006C2C4F" w:rsidP="006C2C4F">
      <w:pPr>
        <w:spacing w:line="240" w:lineRule="auto"/>
        <w:outlineLvl w:val="0"/>
        <w:rPr>
          <w:rFonts w:eastAsia="Times New Roman"/>
          <w:color w:val="000000" w:themeColor="text1"/>
        </w:rPr>
      </w:pPr>
      <w:r w:rsidRPr="00C0304F">
        <w:rPr>
          <w:rFonts w:eastAsia="Times New Roman"/>
          <w:color w:val="000000" w:themeColor="text1"/>
        </w:rPr>
        <w:t xml:space="preserve">eLife 08-11-2019-RA-eLife-53462 </w:t>
      </w:r>
    </w:p>
    <w:p w14:paraId="7E382166" w14:textId="77777777" w:rsidR="006C2C4F" w:rsidRPr="00C0304F" w:rsidRDefault="006C2C4F" w:rsidP="006C2C4F">
      <w:pPr>
        <w:spacing w:line="240" w:lineRule="auto"/>
        <w:rPr>
          <w:rFonts w:eastAsia="Times New Roman"/>
          <w:color w:val="000000" w:themeColor="text1"/>
        </w:rPr>
      </w:pPr>
      <w:r w:rsidRPr="00C0304F">
        <w:rPr>
          <w:rFonts w:eastAsia="Times New Roman"/>
          <w:color w:val="000000" w:themeColor="text1"/>
        </w:rPr>
        <w:t xml:space="preserve">"Complexity of frequency receptive fields predicts tonotopic variability across species" </w:t>
      </w:r>
    </w:p>
    <w:p w14:paraId="4A6647D5" w14:textId="77777777" w:rsidR="006C2C4F" w:rsidRPr="00C0304F" w:rsidRDefault="006C2C4F" w:rsidP="006C2C4F">
      <w:pPr>
        <w:spacing w:line="240" w:lineRule="auto"/>
        <w:rPr>
          <w:rFonts w:eastAsia="Times New Roman"/>
          <w:color w:val="000000" w:themeColor="text1"/>
        </w:rPr>
      </w:pPr>
      <w:r w:rsidRPr="00C0304F">
        <w:rPr>
          <w:rFonts w:eastAsia="Times New Roman"/>
          <w:color w:val="000000" w:themeColor="text1"/>
        </w:rPr>
        <w:t>Gaucher, Panniello et al.</w:t>
      </w:r>
    </w:p>
    <w:p w14:paraId="2F24E919" w14:textId="77777777" w:rsidR="006C2C4F" w:rsidRPr="00C0304F" w:rsidRDefault="006C2C4F" w:rsidP="00583542">
      <w:pPr>
        <w:rPr>
          <w:b/>
        </w:rPr>
      </w:pPr>
    </w:p>
    <w:p w14:paraId="57645AA0" w14:textId="646D8E81" w:rsidR="006C2C4F" w:rsidRPr="00C0304F" w:rsidRDefault="006C2C4F" w:rsidP="00583542">
      <w:pPr>
        <w:rPr>
          <w:b/>
        </w:rPr>
      </w:pPr>
      <w:r w:rsidRPr="00C0304F">
        <w:rPr>
          <w:b/>
        </w:rPr>
        <w:t>Supplementary statistics for ANOVAs and t-tests presented in the manuscript</w:t>
      </w:r>
    </w:p>
    <w:p w14:paraId="4943A4DA" w14:textId="77777777" w:rsidR="006C2C4F" w:rsidRPr="00C0304F" w:rsidRDefault="006C2C4F" w:rsidP="00583542">
      <w:pPr>
        <w:rPr>
          <w:b/>
        </w:rPr>
      </w:pPr>
    </w:p>
    <w:p w14:paraId="37914912" w14:textId="3FF586DD" w:rsidR="00934332" w:rsidRPr="00C0304F" w:rsidRDefault="00583542" w:rsidP="00583542">
      <w:pPr>
        <w:rPr>
          <w:b/>
          <w:bCs/>
        </w:rPr>
      </w:pPr>
      <w:r w:rsidRPr="00C0304F">
        <w:rPr>
          <w:b/>
        </w:rPr>
        <w:t>1.</w:t>
      </w:r>
      <w:r w:rsidRPr="00C0304F">
        <w:t xml:space="preserve"> </w:t>
      </w:r>
      <w:r w:rsidR="00934332" w:rsidRPr="00C0304F">
        <w:rPr>
          <w:b/>
          <w:bCs/>
        </w:rPr>
        <w:t>Figure 2C</w:t>
      </w:r>
    </w:p>
    <w:p w14:paraId="588A03B9" w14:textId="7FD90F4C" w:rsidR="00583542" w:rsidRPr="00C0304F" w:rsidRDefault="00583542" w:rsidP="00583542">
      <w:r w:rsidRPr="00C0304F">
        <w:t>Unpaired t-test comparing the local BF variation in single-peaked neurons and in double-peaked neurons in ferrets.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075"/>
        <w:gridCol w:w="1165"/>
        <w:gridCol w:w="991"/>
        <w:gridCol w:w="1040"/>
        <w:gridCol w:w="1338"/>
        <w:gridCol w:w="1533"/>
      </w:tblGrid>
      <w:tr w:rsidR="00583542" w:rsidRPr="00C0304F" w14:paraId="760ED64B" w14:textId="77777777" w:rsidTr="00583542">
        <w:trPr>
          <w:trHeight w:val="263"/>
        </w:trPr>
        <w:tc>
          <w:tcPr>
            <w:tcW w:w="1787" w:type="dxa"/>
          </w:tcPr>
          <w:p w14:paraId="41BDB390" w14:textId="77777777" w:rsidR="00583542" w:rsidRPr="00C0304F" w:rsidRDefault="00583542" w:rsidP="00583542">
            <w:pPr>
              <w:jc w:val="center"/>
            </w:pPr>
            <w:r w:rsidRPr="00C0304F">
              <w:t>Group</w:t>
            </w:r>
          </w:p>
        </w:tc>
        <w:tc>
          <w:tcPr>
            <w:tcW w:w="1075" w:type="dxa"/>
          </w:tcPr>
          <w:p w14:paraId="259E6F9C" w14:textId="77777777" w:rsidR="00583542" w:rsidRPr="00C0304F" w:rsidRDefault="00583542" w:rsidP="00583542">
            <w:pPr>
              <w:jc w:val="center"/>
            </w:pPr>
            <w:r w:rsidRPr="00C0304F">
              <w:t>Mean</w:t>
            </w:r>
          </w:p>
        </w:tc>
        <w:tc>
          <w:tcPr>
            <w:tcW w:w="1165" w:type="dxa"/>
          </w:tcPr>
          <w:p w14:paraId="4A2C7469" w14:textId="77777777" w:rsidR="00583542" w:rsidRPr="00C0304F" w:rsidRDefault="00583542" w:rsidP="00583542">
            <w:pPr>
              <w:jc w:val="center"/>
            </w:pPr>
            <w:r w:rsidRPr="00C0304F">
              <w:t>Standard deviation</w:t>
            </w:r>
          </w:p>
        </w:tc>
        <w:tc>
          <w:tcPr>
            <w:tcW w:w="991" w:type="dxa"/>
          </w:tcPr>
          <w:p w14:paraId="267AB796" w14:textId="77777777" w:rsidR="00583542" w:rsidRPr="00C0304F" w:rsidRDefault="00583542" w:rsidP="00583542">
            <w:pPr>
              <w:jc w:val="center"/>
            </w:pPr>
            <w:r w:rsidRPr="00C0304F">
              <w:t>N (FRA)</w:t>
            </w:r>
          </w:p>
        </w:tc>
        <w:tc>
          <w:tcPr>
            <w:tcW w:w="1040" w:type="dxa"/>
          </w:tcPr>
          <w:p w14:paraId="4CE1CE5B" w14:textId="77777777" w:rsidR="00583542" w:rsidRPr="00C0304F" w:rsidRDefault="00583542" w:rsidP="00583542">
            <w:pPr>
              <w:jc w:val="center"/>
            </w:pPr>
            <w:r w:rsidRPr="00C0304F">
              <w:t>t value</w:t>
            </w:r>
          </w:p>
        </w:tc>
        <w:tc>
          <w:tcPr>
            <w:tcW w:w="1338" w:type="dxa"/>
          </w:tcPr>
          <w:p w14:paraId="0DB6633C" w14:textId="77777777" w:rsidR="00583542" w:rsidRPr="00C0304F" w:rsidRDefault="00583542" w:rsidP="00583542">
            <w:pPr>
              <w:jc w:val="center"/>
            </w:pPr>
            <w:r w:rsidRPr="00C0304F">
              <w:t>p value</w:t>
            </w:r>
          </w:p>
        </w:tc>
        <w:tc>
          <w:tcPr>
            <w:tcW w:w="1533" w:type="dxa"/>
          </w:tcPr>
          <w:p w14:paraId="2909B709" w14:textId="77777777" w:rsidR="00583542" w:rsidRPr="00C0304F" w:rsidRDefault="00583542" w:rsidP="00583542">
            <w:pPr>
              <w:jc w:val="center"/>
            </w:pPr>
            <w:r w:rsidRPr="00C0304F">
              <w:t>Effect size</w:t>
            </w:r>
          </w:p>
          <w:p w14:paraId="74BF9D9F" w14:textId="77777777" w:rsidR="00583542" w:rsidRPr="00C0304F" w:rsidRDefault="00583542" w:rsidP="00583542">
            <w:pPr>
              <w:jc w:val="center"/>
            </w:pPr>
            <w:r w:rsidRPr="00C0304F">
              <w:t>(Cohen’s d)</w:t>
            </w:r>
          </w:p>
        </w:tc>
      </w:tr>
      <w:tr w:rsidR="00583542" w:rsidRPr="00C0304F" w14:paraId="0B9B59C3" w14:textId="77777777" w:rsidTr="00583542">
        <w:trPr>
          <w:trHeight w:val="257"/>
        </w:trPr>
        <w:tc>
          <w:tcPr>
            <w:tcW w:w="1787" w:type="dxa"/>
          </w:tcPr>
          <w:p w14:paraId="323FED10" w14:textId="77777777" w:rsidR="00583542" w:rsidRPr="00C0304F" w:rsidRDefault="00583542" w:rsidP="00583542">
            <w:r w:rsidRPr="00C0304F">
              <w:t>Single-peaked</w:t>
            </w:r>
          </w:p>
        </w:tc>
        <w:tc>
          <w:tcPr>
            <w:tcW w:w="1075" w:type="dxa"/>
          </w:tcPr>
          <w:p w14:paraId="5976555A" w14:textId="77777777" w:rsidR="00583542" w:rsidRPr="00C0304F" w:rsidRDefault="00583542" w:rsidP="00583542">
            <w:r w:rsidRPr="00C0304F">
              <w:t>1.344</w:t>
            </w:r>
          </w:p>
        </w:tc>
        <w:tc>
          <w:tcPr>
            <w:tcW w:w="1165" w:type="dxa"/>
          </w:tcPr>
          <w:p w14:paraId="2BB55608" w14:textId="77777777" w:rsidR="00583542" w:rsidRPr="00C0304F" w:rsidRDefault="00583542" w:rsidP="00583542">
            <w:r w:rsidRPr="00C0304F">
              <w:t>1.650</w:t>
            </w:r>
          </w:p>
        </w:tc>
        <w:tc>
          <w:tcPr>
            <w:tcW w:w="991" w:type="dxa"/>
          </w:tcPr>
          <w:p w14:paraId="66B23FCE" w14:textId="77777777" w:rsidR="00583542" w:rsidRPr="00C0304F" w:rsidRDefault="00583542" w:rsidP="00583542">
            <w:r w:rsidRPr="00C0304F">
              <w:t>245</w:t>
            </w:r>
          </w:p>
        </w:tc>
        <w:tc>
          <w:tcPr>
            <w:tcW w:w="1040" w:type="dxa"/>
            <w:vMerge w:val="restart"/>
          </w:tcPr>
          <w:p w14:paraId="5F46A5F0" w14:textId="7890939F" w:rsidR="00583542" w:rsidRPr="00C0304F" w:rsidRDefault="00583542" w:rsidP="00583542">
            <w:r w:rsidRPr="00C0304F">
              <w:t>4.148</w:t>
            </w:r>
          </w:p>
        </w:tc>
        <w:tc>
          <w:tcPr>
            <w:tcW w:w="1338" w:type="dxa"/>
            <w:vMerge w:val="restart"/>
          </w:tcPr>
          <w:p w14:paraId="3458DBCE" w14:textId="4A7DA59D" w:rsidR="00583542" w:rsidRPr="00C0304F" w:rsidRDefault="00583542" w:rsidP="00583542">
            <w:pPr>
              <w:rPr>
                <w:vertAlign w:val="superscript"/>
              </w:rPr>
            </w:pPr>
            <w:r w:rsidRPr="00C0304F">
              <w:t>4.09x10</w:t>
            </w:r>
            <w:r w:rsidRPr="00C0304F">
              <w:rPr>
                <w:vertAlign w:val="superscript"/>
              </w:rPr>
              <w:t>-5</w:t>
            </w:r>
          </w:p>
        </w:tc>
        <w:tc>
          <w:tcPr>
            <w:tcW w:w="1533" w:type="dxa"/>
            <w:vMerge w:val="restart"/>
          </w:tcPr>
          <w:p w14:paraId="4FF52BBA" w14:textId="77777777" w:rsidR="00583542" w:rsidRPr="00C0304F" w:rsidRDefault="00583542" w:rsidP="00583542">
            <w:r w:rsidRPr="00C0304F">
              <w:t>-0.419</w:t>
            </w:r>
          </w:p>
        </w:tc>
      </w:tr>
      <w:tr w:rsidR="00583542" w:rsidRPr="00C0304F" w14:paraId="7AAB6F05" w14:textId="77777777" w:rsidTr="00583542">
        <w:trPr>
          <w:trHeight w:val="392"/>
        </w:trPr>
        <w:tc>
          <w:tcPr>
            <w:tcW w:w="1787" w:type="dxa"/>
          </w:tcPr>
          <w:p w14:paraId="61CF437D" w14:textId="77777777" w:rsidR="00583542" w:rsidRPr="00C0304F" w:rsidRDefault="00583542" w:rsidP="00583542">
            <w:r w:rsidRPr="00C0304F">
              <w:t>Double-peaked</w:t>
            </w:r>
          </w:p>
        </w:tc>
        <w:tc>
          <w:tcPr>
            <w:tcW w:w="1075" w:type="dxa"/>
          </w:tcPr>
          <w:p w14:paraId="675CEE58" w14:textId="77777777" w:rsidR="00583542" w:rsidRPr="00C0304F" w:rsidRDefault="00583542" w:rsidP="00583542">
            <w:r w:rsidRPr="00C0304F">
              <w:t>2.166</w:t>
            </w:r>
          </w:p>
        </w:tc>
        <w:tc>
          <w:tcPr>
            <w:tcW w:w="1165" w:type="dxa"/>
          </w:tcPr>
          <w:p w14:paraId="7330A14C" w14:textId="77777777" w:rsidR="00583542" w:rsidRPr="00C0304F" w:rsidRDefault="00583542" w:rsidP="00583542">
            <w:r w:rsidRPr="00C0304F">
              <w:t>2.356</w:t>
            </w:r>
          </w:p>
        </w:tc>
        <w:tc>
          <w:tcPr>
            <w:tcW w:w="991" w:type="dxa"/>
          </w:tcPr>
          <w:p w14:paraId="2BA8E010" w14:textId="77777777" w:rsidR="00583542" w:rsidRPr="00C0304F" w:rsidRDefault="00583542" w:rsidP="00583542">
            <w:r w:rsidRPr="00C0304F">
              <w:t>163</w:t>
            </w:r>
          </w:p>
        </w:tc>
        <w:tc>
          <w:tcPr>
            <w:tcW w:w="1040" w:type="dxa"/>
            <w:vMerge/>
          </w:tcPr>
          <w:p w14:paraId="08A89E9B" w14:textId="77777777" w:rsidR="00583542" w:rsidRPr="00C0304F" w:rsidRDefault="00583542" w:rsidP="00583542"/>
        </w:tc>
        <w:tc>
          <w:tcPr>
            <w:tcW w:w="1338" w:type="dxa"/>
            <w:vMerge/>
          </w:tcPr>
          <w:p w14:paraId="47D95D26" w14:textId="77777777" w:rsidR="00583542" w:rsidRPr="00C0304F" w:rsidRDefault="00583542" w:rsidP="00583542"/>
        </w:tc>
        <w:tc>
          <w:tcPr>
            <w:tcW w:w="1533" w:type="dxa"/>
            <w:vMerge/>
          </w:tcPr>
          <w:p w14:paraId="78D76786" w14:textId="77777777" w:rsidR="00583542" w:rsidRPr="00C0304F" w:rsidRDefault="00583542" w:rsidP="00583542"/>
        </w:tc>
      </w:tr>
    </w:tbl>
    <w:p w14:paraId="1DCF1006" w14:textId="77777777" w:rsidR="00583542" w:rsidRPr="00C0304F" w:rsidRDefault="00583542" w:rsidP="005835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A67DBD" w14:textId="700F7097" w:rsidR="00583542" w:rsidRPr="00C0304F" w:rsidRDefault="00583542" w:rsidP="00583542">
      <w:r w:rsidRPr="00C0304F">
        <w:t>Unpaired t-test comparing the local BF variation in single-peaked neurons and in complex neurons in ferrets.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075"/>
        <w:gridCol w:w="1165"/>
        <w:gridCol w:w="991"/>
        <w:gridCol w:w="1040"/>
        <w:gridCol w:w="1338"/>
        <w:gridCol w:w="1533"/>
      </w:tblGrid>
      <w:tr w:rsidR="00583542" w:rsidRPr="00C0304F" w14:paraId="0E065B87" w14:textId="77777777" w:rsidTr="00583542">
        <w:trPr>
          <w:trHeight w:val="263"/>
        </w:trPr>
        <w:tc>
          <w:tcPr>
            <w:tcW w:w="1787" w:type="dxa"/>
          </w:tcPr>
          <w:p w14:paraId="2D32810C" w14:textId="77777777" w:rsidR="00583542" w:rsidRPr="00C0304F" w:rsidRDefault="00583542" w:rsidP="00583542">
            <w:pPr>
              <w:jc w:val="center"/>
            </w:pPr>
            <w:r w:rsidRPr="00C0304F">
              <w:t>Group</w:t>
            </w:r>
          </w:p>
        </w:tc>
        <w:tc>
          <w:tcPr>
            <w:tcW w:w="1075" w:type="dxa"/>
          </w:tcPr>
          <w:p w14:paraId="058D647B" w14:textId="77777777" w:rsidR="00583542" w:rsidRPr="00C0304F" w:rsidRDefault="00583542" w:rsidP="00583542">
            <w:pPr>
              <w:jc w:val="center"/>
            </w:pPr>
            <w:r w:rsidRPr="00C0304F">
              <w:t>Mean</w:t>
            </w:r>
          </w:p>
        </w:tc>
        <w:tc>
          <w:tcPr>
            <w:tcW w:w="1165" w:type="dxa"/>
          </w:tcPr>
          <w:p w14:paraId="1C54823A" w14:textId="77777777" w:rsidR="00583542" w:rsidRPr="00C0304F" w:rsidRDefault="00583542" w:rsidP="00583542">
            <w:pPr>
              <w:jc w:val="center"/>
            </w:pPr>
            <w:r w:rsidRPr="00C0304F">
              <w:t>Standard deviation</w:t>
            </w:r>
          </w:p>
        </w:tc>
        <w:tc>
          <w:tcPr>
            <w:tcW w:w="991" w:type="dxa"/>
          </w:tcPr>
          <w:p w14:paraId="71149FBE" w14:textId="77777777" w:rsidR="00583542" w:rsidRPr="00C0304F" w:rsidRDefault="00583542" w:rsidP="00583542">
            <w:pPr>
              <w:jc w:val="center"/>
            </w:pPr>
            <w:r w:rsidRPr="00C0304F">
              <w:t>N (FRA)</w:t>
            </w:r>
          </w:p>
        </w:tc>
        <w:tc>
          <w:tcPr>
            <w:tcW w:w="1040" w:type="dxa"/>
          </w:tcPr>
          <w:p w14:paraId="3F413076" w14:textId="77777777" w:rsidR="00583542" w:rsidRPr="00C0304F" w:rsidRDefault="00583542" w:rsidP="00583542">
            <w:pPr>
              <w:jc w:val="center"/>
            </w:pPr>
            <w:r w:rsidRPr="00C0304F">
              <w:t>t value</w:t>
            </w:r>
          </w:p>
        </w:tc>
        <w:tc>
          <w:tcPr>
            <w:tcW w:w="1338" w:type="dxa"/>
          </w:tcPr>
          <w:p w14:paraId="42ED0332" w14:textId="77777777" w:rsidR="00583542" w:rsidRPr="00C0304F" w:rsidRDefault="00583542" w:rsidP="00583542">
            <w:pPr>
              <w:jc w:val="center"/>
            </w:pPr>
            <w:r w:rsidRPr="00C0304F">
              <w:t>p value</w:t>
            </w:r>
          </w:p>
        </w:tc>
        <w:tc>
          <w:tcPr>
            <w:tcW w:w="1533" w:type="dxa"/>
          </w:tcPr>
          <w:p w14:paraId="19A07753" w14:textId="77777777" w:rsidR="00583542" w:rsidRPr="00C0304F" w:rsidRDefault="00583542" w:rsidP="00583542">
            <w:pPr>
              <w:jc w:val="center"/>
            </w:pPr>
            <w:r w:rsidRPr="00C0304F">
              <w:t>Effect size</w:t>
            </w:r>
          </w:p>
          <w:p w14:paraId="3C0E5CAE" w14:textId="77777777" w:rsidR="00583542" w:rsidRPr="00C0304F" w:rsidRDefault="00583542" w:rsidP="00583542">
            <w:pPr>
              <w:jc w:val="center"/>
            </w:pPr>
            <w:r w:rsidRPr="00C0304F">
              <w:t>(Cohen’s d)</w:t>
            </w:r>
          </w:p>
        </w:tc>
      </w:tr>
      <w:tr w:rsidR="00583542" w:rsidRPr="00C0304F" w14:paraId="36607D92" w14:textId="77777777" w:rsidTr="00583542">
        <w:trPr>
          <w:trHeight w:val="257"/>
        </w:trPr>
        <w:tc>
          <w:tcPr>
            <w:tcW w:w="1787" w:type="dxa"/>
          </w:tcPr>
          <w:p w14:paraId="24F1F521" w14:textId="77777777" w:rsidR="00583542" w:rsidRPr="00C0304F" w:rsidRDefault="00583542" w:rsidP="00583542">
            <w:r w:rsidRPr="00C0304F">
              <w:t>Single-peaked</w:t>
            </w:r>
          </w:p>
        </w:tc>
        <w:tc>
          <w:tcPr>
            <w:tcW w:w="1075" w:type="dxa"/>
          </w:tcPr>
          <w:p w14:paraId="7155B778" w14:textId="77777777" w:rsidR="00583542" w:rsidRPr="00C0304F" w:rsidRDefault="00583542" w:rsidP="00583542">
            <w:r w:rsidRPr="00C0304F">
              <w:t>1.344</w:t>
            </w:r>
          </w:p>
        </w:tc>
        <w:tc>
          <w:tcPr>
            <w:tcW w:w="1165" w:type="dxa"/>
          </w:tcPr>
          <w:p w14:paraId="006C778D" w14:textId="77777777" w:rsidR="00583542" w:rsidRPr="00C0304F" w:rsidRDefault="00583542" w:rsidP="00583542">
            <w:r w:rsidRPr="00C0304F">
              <w:t>1.650</w:t>
            </w:r>
          </w:p>
        </w:tc>
        <w:tc>
          <w:tcPr>
            <w:tcW w:w="991" w:type="dxa"/>
          </w:tcPr>
          <w:p w14:paraId="5C330090" w14:textId="77777777" w:rsidR="00583542" w:rsidRPr="00C0304F" w:rsidRDefault="00583542" w:rsidP="00583542">
            <w:r w:rsidRPr="00C0304F">
              <w:t>245</w:t>
            </w:r>
          </w:p>
        </w:tc>
        <w:tc>
          <w:tcPr>
            <w:tcW w:w="1040" w:type="dxa"/>
            <w:vMerge w:val="restart"/>
          </w:tcPr>
          <w:p w14:paraId="2BA971D3" w14:textId="5D7C2FA6" w:rsidR="00583542" w:rsidRPr="00C0304F" w:rsidRDefault="00583542" w:rsidP="00583542">
            <w:r w:rsidRPr="00C0304F">
              <w:t>7.547</w:t>
            </w:r>
          </w:p>
        </w:tc>
        <w:tc>
          <w:tcPr>
            <w:tcW w:w="1338" w:type="dxa"/>
            <w:vMerge w:val="restart"/>
          </w:tcPr>
          <w:p w14:paraId="1E8084F8" w14:textId="1696C977" w:rsidR="00583542" w:rsidRPr="00C0304F" w:rsidRDefault="00583542" w:rsidP="00583542">
            <w:pPr>
              <w:rPr>
                <w:vertAlign w:val="superscript"/>
              </w:rPr>
            </w:pPr>
            <w:r w:rsidRPr="00C0304F">
              <w:t>3.3</w:t>
            </w:r>
            <w:r w:rsidR="00D24625" w:rsidRPr="00C0304F">
              <w:t>9</w:t>
            </w:r>
            <w:r w:rsidRPr="00C0304F">
              <w:t>x10</w:t>
            </w:r>
            <w:r w:rsidRPr="00C0304F">
              <w:rPr>
                <w:vertAlign w:val="superscript"/>
              </w:rPr>
              <w:t>-13</w:t>
            </w:r>
          </w:p>
        </w:tc>
        <w:tc>
          <w:tcPr>
            <w:tcW w:w="1533" w:type="dxa"/>
            <w:vMerge w:val="restart"/>
          </w:tcPr>
          <w:p w14:paraId="4379E55A" w14:textId="77777777" w:rsidR="00583542" w:rsidRPr="00C0304F" w:rsidRDefault="00583542" w:rsidP="00583542">
            <w:r w:rsidRPr="00C0304F">
              <w:t>-0.813</w:t>
            </w:r>
          </w:p>
        </w:tc>
      </w:tr>
      <w:tr w:rsidR="00583542" w:rsidRPr="00C0304F" w14:paraId="0EBFA05E" w14:textId="77777777" w:rsidTr="00583542">
        <w:trPr>
          <w:trHeight w:val="392"/>
        </w:trPr>
        <w:tc>
          <w:tcPr>
            <w:tcW w:w="1787" w:type="dxa"/>
          </w:tcPr>
          <w:p w14:paraId="2EBE15A5" w14:textId="77777777" w:rsidR="00583542" w:rsidRPr="00C0304F" w:rsidRDefault="00583542" w:rsidP="00583542">
            <w:r w:rsidRPr="00C0304F">
              <w:t>Complex</w:t>
            </w:r>
          </w:p>
        </w:tc>
        <w:tc>
          <w:tcPr>
            <w:tcW w:w="1075" w:type="dxa"/>
          </w:tcPr>
          <w:p w14:paraId="4D5118FB" w14:textId="77777777" w:rsidR="00583542" w:rsidRPr="00C0304F" w:rsidRDefault="00583542" w:rsidP="00583542">
            <w:r w:rsidRPr="00C0304F">
              <w:t>3.052</w:t>
            </w:r>
          </w:p>
        </w:tc>
        <w:tc>
          <w:tcPr>
            <w:tcW w:w="1165" w:type="dxa"/>
          </w:tcPr>
          <w:p w14:paraId="3B383E4F" w14:textId="77777777" w:rsidR="00583542" w:rsidRPr="00C0304F" w:rsidRDefault="00583542" w:rsidP="00583542">
            <w:r w:rsidRPr="00C0304F">
              <w:t>2.748</w:t>
            </w:r>
          </w:p>
        </w:tc>
        <w:tc>
          <w:tcPr>
            <w:tcW w:w="991" w:type="dxa"/>
          </w:tcPr>
          <w:p w14:paraId="77BB3077" w14:textId="77777777" w:rsidR="00583542" w:rsidRPr="00C0304F" w:rsidRDefault="00583542" w:rsidP="00583542">
            <w:r w:rsidRPr="00C0304F">
              <w:t>133</w:t>
            </w:r>
          </w:p>
        </w:tc>
        <w:tc>
          <w:tcPr>
            <w:tcW w:w="1040" w:type="dxa"/>
            <w:vMerge/>
          </w:tcPr>
          <w:p w14:paraId="633F4847" w14:textId="77777777" w:rsidR="00583542" w:rsidRPr="00C0304F" w:rsidRDefault="00583542" w:rsidP="00583542"/>
        </w:tc>
        <w:tc>
          <w:tcPr>
            <w:tcW w:w="1338" w:type="dxa"/>
            <w:vMerge/>
          </w:tcPr>
          <w:p w14:paraId="0DC4C029" w14:textId="77777777" w:rsidR="00583542" w:rsidRPr="00C0304F" w:rsidRDefault="00583542" w:rsidP="00583542"/>
        </w:tc>
        <w:tc>
          <w:tcPr>
            <w:tcW w:w="1533" w:type="dxa"/>
            <w:vMerge/>
          </w:tcPr>
          <w:p w14:paraId="500C9BBE" w14:textId="77777777" w:rsidR="00583542" w:rsidRPr="00C0304F" w:rsidRDefault="00583542" w:rsidP="00583542"/>
        </w:tc>
      </w:tr>
    </w:tbl>
    <w:p w14:paraId="6877EF8B" w14:textId="77777777" w:rsidR="00583542" w:rsidRPr="00C0304F" w:rsidRDefault="00583542" w:rsidP="00583542"/>
    <w:p w14:paraId="5C2D8694" w14:textId="3E9115DF" w:rsidR="00583542" w:rsidRPr="00C0304F" w:rsidRDefault="00583542" w:rsidP="00583542">
      <w:r w:rsidRPr="00C0304F">
        <w:t>Paired t-test comparing the local BF variation in double-peaked neurons and in the second peak of double-peaked neurons in ferrets.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075"/>
        <w:gridCol w:w="1165"/>
        <w:gridCol w:w="991"/>
        <w:gridCol w:w="1040"/>
        <w:gridCol w:w="1338"/>
        <w:gridCol w:w="1533"/>
      </w:tblGrid>
      <w:tr w:rsidR="00583542" w:rsidRPr="00C0304F" w14:paraId="386D7506" w14:textId="77777777" w:rsidTr="00583542">
        <w:trPr>
          <w:trHeight w:val="263"/>
        </w:trPr>
        <w:tc>
          <w:tcPr>
            <w:tcW w:w="1787" w:type="dxa"/>
          </w:tcPr>
          <w:p w14:paraId="5990C8DC" w14:textId="77777777" w:rsidR="00583542" w:rsidRPr="00C0304F" w:rsidRDefault="00583542" w:rsidP="00583542">
            <w:pPr>
              <w:jc w:val="center"/>
            </w:pPr>
            <w:r w:rsidRPr="00C0304F">
              <w:t>Group</w:t>
            </w:r>
          </w:p>
        </w:tc>
        <w:tc>
          <w:tcPr>
            <w:tcW w:w="1075" w:type="dxa"/>
          </w:tcPr>
          <w:p w14:paraId="22768BBF" w14:textId="77777777" w:rsidR="00583542" w:rsidRPr="00C0304F" w:rsidRDefault="00583542" w:rsidP="00583542">
            <w:pPr>
              <w:jc w:val="center"/>
            </w:pPr>
            <w:r w:rsidRPr="00C0304F">
              <w:t>Mean</w:t>
            </w:r>
          </w:p>
        </w:tc>
        <w:tc>
          <w:tcPr>
            <w:tcW w:w="1165" w:type="dxa"/>
          </w:tcPr>
          <w:p w14:paraId="38DBE079" w14:textId="77777777" w:rsidR="00583542" w:rsidRPr="00C0304F" w:rsidRDefault="00583542" w:rsidP="00583542">
            <w:pPr>
              <w:jc w:val="center"/>
            </w:pPr>
            <w:r w:rsidRPr="00C0304F">
              <w:t>Standard deviation</w:t>
            </w:r>
          </w:p>
        </w:tc>
        <w:tc>
          <w:tcPr>
            <w:tcW w:w="991" w:type="dxa"/>
          </w:tcPr>
          <w:p w14:paraId="663F63BD" w14:textId="77777777" w:rsidR="00583542" w:rsidRPr="00C0304F" w:rsidRDefault="00583542" w:rsidP="00583542">
            <w:pPr>
              <w:jc w:val="center"/>
            </w:pPr>
            <w:r w:rsidRPr="00C0304F">
              <w:t>N (FRA)</w:t>
            </w:r>
          </w:p>
        </w:tc>
        <w:tc>
          <w:tcPr>
            <w:tcW w:w="1040" w:type="dxa"/>
          </w:tcPr>
          <w:p w14:paraId="28E22513" w14:textId="77777777" w:rsidR="00583542" w:rsidRPr="00C0304F" w:rsidRDefault="00583542" w:rsidP="00583542">
            <w:pPr>
              <w:jc w:val="center"/>
            </w:pPr>
            <w:r w:rsidRPr="00C0304F">
              <w:t>t value</w:t>
            </w:r>
          </w:p>
        </w:tc>
        <w:tc>
          <w:tcPr>
            <w:tcW w:w="1338" w:type="dxa"/>
          </w:tcPr>
          <w:p w14:paraId="06B51476" w14:textId="77777777" w:rsidR="00583542" w:rsidRPr="00C0304F" w:rsidRDefault="00583542" w:rsidP="00583542">
            <w:pPr>
              <w:jc w:val="center"/>
            </w:pPr>
            <w:r w:rsidRPr="00C0304F">
              <w:t>p value</w:t>
            </w:r>
          </w:p>
        </w:tc>
        <w:tc>
          <w:tcPr>
            <w:tcW w:w="1533" w:type="dxa"/>
          </w:tcPr>
          <w:p w14:paraId="6BDE9C13" w14:textId="77777777" w:rsidR="00583542" w:rsidRPr="00C0304F" w:rsidRDefault="00583542" w:rsidP="00583542">
            <w:pPr>
              <w:jc w:val="center"/>
            </w:pPr>
            <w:r w:rsidRPr="00C0304F">
              <w:t>Effect size</w:t>
            </w:r>
          </w:p>
          <w:p w14:paraId="5616815B" w14:textId="77777777" w:rsidR="00583542" w:rsidRPr="00C0304F" w:rsidRDefault="00583542" w:rsidP="00583542">
            <w:pPr>
              <w:jc w:val="center"/>
            </w:pPr>
            <w:r w:rsidRPr="00C0304F">
              <w:t>(Cohen’s d)</w:t>
            </w:r>
          </w:p>
        </w:tc>
      </w:tr>
      <w:tr w:rsidR="00583542" w:rsidRPr="00C0304F" w14:paraId="3CFD50E3" w14:textId="77777777" w:rsidTr="00583542">
        <w:trPr>
          <w:trHeight w:val="257"/>
        </w:trPr>
        <w:tc>
          <w:tcPr>
            <w:tcW w:w="1787" w:type="dxa"/>
          </w:tcPr>
          <w:p w14:paraId="5A2F2F69" w14:textId="77777777" w:rsidR="00583542" w:rsidRPr="00C0304F" w:rsidRDefault="00583542" w:rsidP="00583542">
            <w:r w:rsidRPr="00C0304F">
              <w:t>Double-peaked</w:t>
            </w:r>
          </w:p>
        </w:tc>
        <w:tc>
          <w:tcPr>
            <w:tcW w:w="1075" w:type="dxa"/>
          </w:tcPr>
          <w:p w14:paraId="5F3AACE1" w14:textId="77777777" w:rsidR="00583542" w:rsidRPr="00C0304F" w:rsidRDefault="00583542" w:rsidP="00583542">
            <w:r w:rsidRPr="00C0304F">
              <w:t>2.166</w:t>
            </w:r>
          </w:p>
        </w:tc>
        <w:tc>
          <w:tcPr>
            <w:tcW w:w="1165" w:type="dxa"/>
          </w:tcPr>
          <w:p w14:paraId="6907167E" w14:textId="77777777" w:rsidR="00583542" w:rsidRPr="00C0304F" w:rsidRDefault="00583542" w:rsidP="00583542">
            <w:r w:rsidRPr="00C0304F">
              <w:t>2.356</w:t>
            </w:r>
          </w:p>
        </w:tc>
        <w:tc>
          <w:tcPr>
            <w:tcW w:w="991" w:type="dxa"/>
          </w:tcPr>
          <w:p w14:paraId="4FF6C90C" w14:textId="77777777" w:rsidR="00583542" w:rsidRPr="00C0304F" w:rsidRDefault="00583542" w:rsidP="00583542">
            <w:r w:rsidRPr="00C0304F">
              <w:t>163</w:t>
            </w:r>
          </w:p>
        </w:tc>
        <w:tc>
          <w:tcPr>
            <w:tcW w:w="1040" w:type="dxa"/>
            <w:vMerge w:val="restart"/>
          </w:tcPr>
          <w:p w14:paraId="498BB311" w14:textId="003CDAEF" w:rsidR="00583542" w:rsidRPr="00C0304F" w:rsidRDefault="00583542" w:rsidP="00583542">
            <w:r w:rsidRPr="00C0304F">
              <w:t>1.914</w:t>
            </w:r>
          </w:p>
        </w:tc>
        <w:tc>
          <w:tcPr>
            <w:tcW w:w="1338" w:type="dxa"/>
            <w:vMerge w:val="restart"/>
          </w:tcPr>
          <w:p w14:paraId="0F6167A0" w14:textId="77777777" w:rsidR="00583542" w:rsidRPr="00C0304F" w:rsidRDefault="00583542" w:rsidP="00583542">
            <w:pPr>
              <w:rPr>
                <w:vertAlign w:val="superscript"/>
              </w:rPr>
            </w:pPr>
            <w:r w:rsidRPr="00C0304F">
              <w:t>0.057</w:t>
            </w:r>
          </w:p>
        </w:tc>
        <w:tc>
          <w:tcPr>
            <w:tcW w:w="1533" w:type="dxa"/>
            <w:vMerge w:val="restart"/>
          </w:tcPr>
          <w:p w14:paraId="26D10D70" w14:textId="77777777" w:rsidR="00583542" w:rsidRPr="00C0304F" w:rsidRDefault="00583542" w:rsidP="00583542">
            <w:r w:rsidRPr="00C0304F">
              <w:t>-0.210</w:t>
            </w:r>
          </w:p>
        </w:tc>
      </w:tr>
      <w:tr w:rsidR="00583542" w:rsidRPr="00C0304F" w14:paraId="3602C509" w14:textId="77777777" w:rsidTr="00583542">
        <w:trPr>
          <w:trHeight w:val="392"/>
        </w:trPr>
        <w:tc>
          <w:tcPr>
            <w:tcW w:w="1787" w:type="dxa"/>
          </w:tcPr>
          <w:p w14:paraId="5D14EE14" w14:textId="77777777" w:rsidR="00583542" w:rsidRPr="00C0304F" w:rsidRDefault="00583542" w:rsidP="00583542">
            <w:r w:rsidRPr="00C0304F">
              <w:t>Peak2</w:t>
            </w:r>
          </w:p>
        </w:tc>
        <w:tc>
          <w:tcPr>
            <w:tcW w:w="1075" w:type="dxa"/>
          </w:tcPr>
          <w:p w14:paraId="06FE5866" w14:textId="77777777" w:rsidR="00583542" w:rsidRPr="00C0304F" w:rsidRDefault="00583542" w:rsidP="00583542">
            <w:r w:rsidRPr="00C0304F">
              <w:t>2.695</w:t>
            </w:r>
          </w:p>
        </w:tc>
        <w:tc>
          <w:tcPr>
            <w:tcW w:w="1165" w:type="dxa"/>
          </w:tcPr>
          <w:p w14:paraId="66920071" w14:textId="77777777" w:rsidR="00583542" w:rsidRPr="00C0304F" w:rsidRDefault="00583542" w:rsidP="00583542">
            <w:r w:rsidRPr="00C0304F">
              <w:t>2.670</w:t>
            </w:r>
          </w:p>
        </w:tc>
        <w:tc>
          <w:tcPr>
            <w:tcW w:w="991" w:type="dxa"/>
          </w:tcPr>
          <w:p w14:paraId="0A27E285" w14:textId="77777777" w:rsidR="00583542" w:rsidRPr="00C0304F" w:rsidRDefault="00583542" w:rsidP="00583542">
            <w:r w:rsidRPr="00C0304F">
              <w:t>163</w:t>
            </w:r>
          </w:p>
        </w:tc>
        <w:tc>
          <w:tcPr>
            <w:tcW w:w="1040" w:type="dxa"/>
            <w:vMerge/>
          </w:tcPr>
          <w:p w14:paraId="3729B845" w14:textId="77777777" w:rsidR="00583542" w:rsidRPr="00C0304F" w:rsidRDefault="00583542" w:rsidP="00583542"/>
        </w:tc>
        <w:tc>
          <w:tcPr>
            <w:tcW w:w="1338" w:type="dxa"/>
            <w:vMerge/>
          </w:tcPr>
          <w:p w14:paraId="568F127F" w14:textId="77777777" w:rsidR="00583542" w:rsidRPr="00C0304F" w:rsidRDefault="00583542" w:rsidP="00583542"/>
        </w:tc>
        <w:tc>
          <w:tcPr>
            <w:tcW w:w="1533" w:type="dxa"/>
            <w:vMerge/>
          </w:tcPr>
          <w:p w14:paraId="49C56D66" w14:textId="77777777" w:rsidR="00583542" w:rsidRPr="00C0304F" w:rsidRDefault="00583542" w:rsidP="00583542"/>
        </w:tc>
      </w:tr>
    </w:tbl>
    <w:p w14:paraId="234DC216" w14:textId="77777777" w:rsidR="00583542" w:rsidRPr="00C0304F" w:rsidRDefault="00583542" w:rsidP="00583542"/>
    <w:p w14:paraId="029837FA" w14:textId="77777777" w:rsidR="00FA3D63" w:rsidRPr="00C0304F" w:rsidRDefault="00FA3D63" w:rsidP="00EE3B47">
      <w:pPr>
        <w:rPr>
          <w:b/>
        </w:rPr>
      </w:pPr>
    </w:p>
    <w:p w14:paraId="300AE1E4" w14:textId="77777777" w:rsidR="00934332" w:rsidRPr="00C0304F" w:rsidRDefault="00EE3B47" w:rsidP="00EE3B47">
      <w:r w:rsidRPr="00C0304F">
        <w:rPr>
          <w:b/>
        </w:rPr>
        <w:t>2.</w:t>
      </w:r>
      <w:r w:rsidR="00934332" w:rsidRPr="00C0304F">
        <w:rPr>
          <w:b/>
        </w:rPr>
        <w:t xml:space="preserve"> Figure 2D</w:t>
      </w:r>
      <w:r w:rsidRPr="00C0304F">
        <w:t xml:space="preserve"> </w:t>
      </w:r>
    </w:p>
    <w:p w14:paraId="32061D43" w14:textId="6052312D" w:rsidR="00EE3B47" w:rsidRPr="00C0304F" w:rsidRDefault="00EE3B47" w:rsidP="00EE3B47">
      <w:r w:rsidRPr="00C0304F">
        <w:t>Unpaired t-test comparing the response strength in single-peaked neurons and in double-peaked neurons in ferrets.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075"/>
        <w:gridCol w:w="1165"/>
        <w:gridCol w:w="991"/>
        <w:gridCol w:w="1040"/>
        <w:gridCol w:w="1338"/>
        <w:gridCol w:w="1533"/>
      </w:tblGrid>
      <w:tr w:rsidR="00EE3B47" w:rsidRPr="00C0304F" w14:paraId="7DAF467D" w14:textId="77777777" w:rsidTr="004B2C59">
        <w:trPr>
          <w:trHeight w:val="263"/>
        </w:trPr>
        <w:tc>
          <w:tcPr>
            <w:tcW w:w="1787" w:type="dxa"/>
          </w:tcPr>
          <w:p w14:paraId="2F9D6F5A" w14:textId="77777777" w:rsidR="00EE3B47" w:rsidRPr="00C0304F" w:rsidRDefault="00EE3B47" w:rsidP="004B2C59">
            <w:pPr>
              <w:jc w:val="center"/>
            </w:pPr>
            <w:r w:rsidRPr="00C0304F">
              <w:t>Group</w:t>
            </w:r>
          </w:p>
        </w:tc>
        <w:tc>
          <w:tcPr>
            <w:tcW w:w="1075" w:type="dxa"/>
          </w:tcPr>
          <w:p w14:paraId="45C5ABA2" w14:textId="77777777" w:rsidR="00EE3B47" w:rsidRPr="00C0304F" w:rsidRDefault="00EE3B47" w:rsidP="004B2C59">
            <w:pPr>
              <w:jc w:val="center"/>
            </w:pPr>
            <w:r w:rsidRPr="00C0304F">
              <w:t>Mean</w:t>
            </w:r>
          </w:p>
        </w:tc>
        <w:tc>
          <w:tcPr>
            <w:tcW w:w="1165" w:type="dxa"/>
          </w:tcPr>
          <w:p w14:paraId="4B563AD2" w14:textId="77777777" w:rsidR="00EE3B47" w:rsidRPr="00C0304F" w:rsidRDefault="00EE3B47" w:rsidP="004B2C59">
            <w:pPr>
              <w:jc w:val="center"/>
            </w:pPr>
            <w:r w:rsidRPr="00C0304F">
              <w:t>Standard deviation</w:t>
            </w:r>
          </w:p>
        </w:tc>
        <w:tc>
          <w:tcPr>
            <w:tcW w:w="991" w:type="dxa"/>
          </w:tcPr>
          <w:p w14:paraId="461B6361" w14:textId="77777777" w:rsidR="00EE3B47" w:rsidRPr="00C0304F" w:rsidRDefault="00EE3B47" w:rsidP="004B2C59">
            <w:pPr>
              <w:jc w:val="center"/>
            </w:pPr>
            <w:r w:rsidRPr="00C0304F">
              <w:t>N (FRA)</w:t>
            </w:r>
          </w:p>
        </w:tc>
        <w:tc>
          <w:tcPr>
            <w:tcW w:w="1040" w:type="dxa"/>
          </w:tcPr>
          <w:p w14:paraId="23C058F5" w14:textId="77777777" w:rsidR="00EE3B47" w:rsidRPr="00C0304F" w:rsidRDefault="00EE3B47" w:rsidP="004B2C59">
            <w:pPr>
              <w:jc w:val="center"/>
            </w:pPr>
            <w:r w:rsidRPr="00C0304F">
              <w:t>t value</w:t>
            </w:r>
          </w:p>
        </w:tc>
        <w:tc>
          <w:tcPr>
            <w:tcW w:w="1338" w:type="dxa"/>
          </w:tcPr>
          <w:p w14:paraId="252164E1" w14:textId="77777777" w:rsidR="00EE3B47" w:rsidRPr="00C0304F" w:rsidRDefault="00EE3B47" w:rsidP="004B2C59">
            <w:pPr>
              <w:jc w:val="center"/>
            </w:pPr>
            <w:r w:rsidRPr="00C0304F">
              <w:t>p value</w:t>
            </w:r>
          </w:p>
        </w:tc>
        <w:tc>
          <w:tcPr>
            <w:tcW w:w="1533" w:type="dxa"/>
          </w:tcPr>
          <w:p w14:paraId="0D27D638" w14:textId="77777777" w:rsidR="00EE3B47" w:rsidRPr="00C0304F" w:rsidRDefault="00EE3B47" w:rsidP="004B2C59">
            <w:pPr>
              <w:jc w:val="center"/>
            </w:pPr>
            <w:r w:rsidRPr="00C0304F">
              <w:t>Effect size</w:t>
            </w:r>
          </w:p>
          <w:p w14:paraId="4C51EAF3" w14:textId="77777777" w:rsidR="00EE3B47" w:rsidRPr="00C0304F" w:rsidRDefault="00EE3B47" w:rsidP="004B2C59">
            <w:pPr>
              <w:jc w:val="center"/>
            </w:pPr>
            <w:r w:rsidRPr="00C0304F">
              <w:t>(Cohen’s d)</w:t>
            </w:r>
          </w:p>
        </w:tc>
      </w:tr>
      <w:tr w:rsidR="00EE3B47" w:rsidRPr="00C0304F" w14:paraId="5296D36A" w14:textId="77777777" w:rsidTr="004B2C59">
        <w:trPr>
          <w:trHeight w:val="257"/>
        </w:trPr>
        <w:tc>
          <w:tcPr>
            <w:tcW w:w="1787" w:type="dxa"/>
          </w:tcPr>
          <w:p w14:paraId="48301DEC" w14:textId="77777777" w:rsidR="00EE3B47" w:rsidRPr="00C0304F" w:rsidRDefault="00EE3B47" w:rsidP="004B2C59">
            <w:r w:rsidRPr="00C0304F">
              <w:t>Single-peaked</w:t>
            </w:r>
          </w:p>
        </w:tc>
        <w:tc>
          <w:tcPr>
            <w:tcW w:w="1075" w:type="dxa"/>
          </w:tcPr>
          <w:p w14:paraId="78F8D1F4" w14:textId="77777777" w:rsidR="00EE3B47" w:rsidRPr="00C0304F" w:rsidRDefault="00EE3B47" w:rsidP="004B2C59">
            <w:r w:rsidRPr="00C0304F">
              <w:t>0.905</w:t>
            </w:r>
          </w:p>
        </w:tc>
        <w:tc>
          <w:tcPr>
            <w:tcW w:w="1165" w:type="dxa"/>
          </w:tcPr>
          <w:p w14:paraId="7C9B7B11" w14:textId="77777777" w:rsidR="00EE3B47" w:rsidRPr="00C0304F" w:rsidRDefault="00EE3B47" w:rsidP="004B2C59">
            <w:r w:rsidRPr="00C0304F">
              <w:t>0.809</w:t>
            </w:r>
          </w:p>
        </w:tc>
        <w:tc>
          <w:tcPr>
            <w:tcW w:w="991" w:type="dxa"/>
          </w:tcPr>
          <w:p w14:paraId="73CD3E13" w14:textId="77777777" w:rsidR="00EE3B47" w:rsidRPr="00C0304F" w:rsidRDefault="00EE3B47" w:rsidP="004B2C59">
            <w:r w:rsidRPr="00C0304F">
              <w:t>296</w:t>
            </w:r>
          </w:p>
        </w:tc>
        <w:tc>
          <w:tcPr>
            <w:tcW w:w="1040" w:type="dxa"/>
            <w:vMerge w:val="restart"/>
          </w:tcPr>
          <w:p w14:paraId="23D34555" w14:textId="77777777" w:rsidR="00EE3B47" w:rsidRPr="00C0304F" w:rsidRDefault="00EE3B47" w:rsidP="004B2C59">
            <w:r w:rsidRPr="00C0304F">
              <w:t>2.218</w:t>
            </w:r>
          </w:p>
        </w:tc>
        <w:tc>
          <w:tcPr>
            <w:tcW w:w="1338" w:type="dxa"/>
            <w:vMerge w:val="restart"/>
          </w:tcPr>
          <w:p w14:paraId="7B178D0A" w14:textId="77777777" w:rsidR="00EE3B47" w:rsidRPr="00C0304F" w:rsidRDefault="00EE3B47" w:rsidP="004B2C59">
            <w:pPr>
              <w:rPr>
                <w:vertAlign w:val="superscript"/>
              </w:rPr>
            </w:pPr>
            <w:r w:rsidRPr="00C0304F">
              <w:t>0.027</w:t>
            </w:r>
          </w:p>
        </w:tc>
        <w:tc>
          <w:tcPr>
            <w:tcW w:w="1533" w:type="dxa"/>
            <w:vMerge w:val="restart"/>
          </w:tcPr>
          <w:p w14:paraId="518ABD8E" w14:textId="77777777" w:rsidR="00EE3B47" w:rsidRPr="00C0304F" w:rsidRDefault="00EE3B47" w:rsidP="004B2C59">
            <w:r w:rsidRPr="00C0304F">
              <w:t>0.197</w:t>
            </w:r>
          </w:p>
        </w:tc>
      </w:tr>
      <w:tr w:rsidR="00EE3B47" w:rsidRPr="00C0304F" w14:paraId="608305B2" w14:textId="77777777" w:rsidTr="004B2C59">
        <w:trPr>
          <w:trHeight w:val="392"/>
        </w:trPr>
        <w:tc>
          <w:tcPr>
            <w:tcW w:w="1787" w:type="dxa"/>
          </w:tcPr>
          <w:p w14:paraId="7F3979BF" w14:textId="77777777" w:rsidR="00EE3B47" w:rsidRPr="00C0304F" w:rsidRDefault="00EE3B47" w:rsidP="004B2C59">
            <w:r w:rsidRPr="00C0304F">
              <w:t>Double-peaked</w:t>
            </w:r>
          </w:p>
        </w:tc>
        <w:tc>
          <w:tcPr>
            <w:tcW w:w="1075" w:type="dxa"/>
          </w:tcPr>
          <w:p w14:paraId="5B009856" w14:textId="77777777" w:rsidR="00EE3B47" w:rsidRPr="00C0304F" w:rsidRDefault="00EE3B47" w:rsidP="004B2C59">
            <w:r w:rsidRPr="00C0304F">
              <w:t>0.738</w:t>
            </w:r>
          </w:p>
        </w:tc>
        <w:tc>
          <w:tcPr>
            <w:tcW w:w="1165" w:type="dxa"/>
          </w:tcPr>
          <w:p w14:paraId="40E0F023" w14:textId="77777777" w:rsidR="00EE3B47" w:rsidRPr="00C0304F" w:rsidRDefault="00EE3B47" w:rsidP="004B2C59">
            <w:r w:rsidRPr="00C0304F">
              <w:t>0.896</w:t>
            </w:r>
          </w:p>
        </w:tc>
        <w:tc>
          <w:tcPr>
            <w:tcW w:w="991" w:type="dxa"/>
          </w:tcPr>
          <w:p w14:paraId="106940D7" w14:textId="77777777" w:rsidR="00EE3B47" w:rsidRPr="00C0304F" w:rsidRDefault="00EE3B47" w:rsidP="004B2C59">
            <w:r w:rsidRPr="00C0304F">
              <w:t>220</w:t>
            </w:r>
          </w:p>
        </w:tc>
        <w:tc>
          <w:tcPr>
            <w:tcW w:w="1040" w:type="dxa"/>
            <w:vMerge/>
          </w:tcPr>
          <w:p w14:paraId="30E92E94" w14:textId="77777777" w:rsidR="00EE3B47" w:rsidRPr="00C0304F" w:rsidRDefault="00EE3B47" w:rsidP="004B2C59"/>
        </w:tc>
        <w:tc>
          <w:tcPr>
            <w:tcW w:w="1338" w:type="dxa"/>
            <w:vMerge/>
          </w:tcPr>
          <w:p w14:paraId="7CACBFA0" w14:textId="77777777" w:rsidR="00EE3B47" w:rsidRPr="00C0304F" w:rsidRDefault="00EE3B47" w:rsidP="004B2C59"/>
        </w:tc>
        <w:tc>
          <w:tcPr>
            <w:tcW w:w="1533" w:type="dxa"/>
            <w:vMerge/>
          </w:tcPr>
          <w:p w14:paraId="0A40517E" w14:textId="77777777" w:rsidR="00EE3B47" w:rsidRPr="00C0304F" w:rsidRDefault="00EE3B47" w:rsidP="004B2C59"/>
        </w:tc>
      </w:tr>
    </w:tbl>
    <w:p w14:paraId="1D7E5CFA" w14:textId="77777777" w:rsidR="00EE3B47" w:rsidRPr="00C0304F" w:rsidRDefault="00EE3B47" w:rsidP="00EE3B47"/>
    <w:p w14:paraId="5B0BAEC3" w14:textId="725341E5" w:rsidR="00EE3B47" w:rsidRPr="00C0304F" w:rsidRDefault="00EE3B47" w:rsidP="00EE3B47">
      <w:r w:rsidRPr="00C0304F">
        <w:lastRenderedPageBreak/>
        <w:t>Unpaired t-test comparing the response strength in single-peaked neurons and in complex neurons in ferrets.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075"/>
        <w:gridCol w:w="1165"/>
        <w:gridCol w:w="991"/>
        <w:gridCol w:w="1040"/>
        <w:gridCol w:w="1338"/>
        <w:gridCol w:w="1533"/>
      </w:tblGrid>
      <w:tr w:rsidR="00EE3B47" w:rsidRPr="00C0304F" w14:paraId="6DBEA44E" w14:textId="77777777" w:rsidTr="004B2C59">
        <w:trPr>
          <w:trHeight w:val="263"/>
        </w:trPr>
        <w:tc>
          <w:tcPr>
            <w:tcW w:w="1787" w:type="dxa"/>
          </w:tcPr>
          <w:p w14:paraId="6A3C4DC6" w14:textId="77777777" w:rsidR="00EE3B47" w:rsidRPr="00C0304F" w:rsidRDefault="00EE3B47" w:rsidP="004B2C59">
            <w:pPr>
              <w:jc w:val="center"/>
            </w:pPr>
            <w:r w:rsidRPr="00C0304F">
              <w:t>Group</w:t>
            </w:r>
          </w:p>
        </w:tc>
        <w:tc>
          <w:tcPr>
            <w:tcW w:w="1075" w:type="dxa"/>
          </w:tcPr>
          <w:p w14:paraId="26808417" w14:textId="77777777" w:rsidR="00EE3B47" w:rsidRPr="00C0304F" w:rsidRDefault="00EE3B47" w:rsidP="004B2C59">
            <w:pPr>
              <w:jc w:val="center"/>
            </w:pPr>
            <w:r w:rsidRPr="00C0304F">
              <w:t>Mean</w:t>
            </w:r>
          </w:p>
        </w:tc>
        <w:tc>
          <w:tcPr>
            <w:tcW w:w="1165" w:type="dxa"/>
          </w:tcPr>
          <w:p w14:paraId="2B58340F" w14:textId="77777777" w:rsidR="00EE3B47" w:rsidRPr="00C0304F" w:rsidRDefault="00EE3B47" w:rsidP="004B2C59">
            <w:pPr>
              <w:jc w:val="center"/>
            </w:pPr>
            <w:r w:rsidRPr="00C0304F">
              <w:t>Standard deviation</w:t>
            </w:r>
          </w:p>
        </w:tc>
        <w:tc>
          <w:tcPr>
            <w:tcW w:w="991" w:type="dxa"/>
          </w:tcPr>
          <w:p w14:paraId="71D1E4C9" w14:textId="77777777" w:rsidR="00EE3B47" w:rsidRPr="00C0304F" w:rsidRDefault="00EE3B47" w:rsidP="004B2C59">
            <w:pPr>
              <w:jc w:val="center"/>
            </w:pPr>
            <w:r w:rsidRPr="00C0304F">
              <w:t>N (FRA)</w:t>
            </w:r>
          </w:p>
        </w:tc>
        <w:tc>
          <w:tcPr>
            <w:tcW w:w="1040" w:type="dxa"/>
          </w:tcPr>
          <w:p w14:paraId="1C42DBD9" w14:textId="77777777" w:rsidR="00EE3B47" w:rsidRPr="00C0304F" w:rsidRDefault="00EE3B47" w:rsidP="004B2C59">
            <w:pPr>
              <w:jc w:val="center"/>
            </w:pPr>
            <w:r w:rsidRPr="00C0304F">
              <w:t>t value</w:t>
            </w:r>
          </w:p>
        </w:tc>
        <w:tc>
          <w:tcPr>
            <w:tcW w:w="1338" w:type="dxa"/>
          </w:tcPr>
          <w:p w14:paraId="4BF8CBCE" w14:textId="77777777" w:rsidR="00EE3B47" w:rsidRPr="00C0304F" w:rsidRDefault="00EE3B47" w:rsidP="004B2C59">
            <w:pPr>
              <w:jc w:val="center"/>
            </w:pPr>
            <w:r w:rsidRPr="00C0304F">
              <w:t>p value</w:t>
            </w:r>
          </w:p>
        </w:tc>
        <w:tc>
          <w:tcPr>
            <w:tcW w:w="1533" w:type="dxa"/>
          </w:tcPr>
          <w:p w14:paraId="22AF6B9D" w14:textId="77777777" w:rsidR="00EE3B47" w:rsidRPr="00C0304F" w:rsidRDefault="00EE3B47" w:rsidP="004B2C59">
            <w:pPr>
              <w:jc w:val="center"/>
            </w:pPr>
            <w:r w:rsidRPr="00C0304F">
              <w:t>Effect size</w:t>
            </w:r>
          </w:p>
          <w:p w14:paraId="3EC02E57" w14:textId="77777777" w:rsidR="00EE3B47" w:rsidRPr="00C0304F" w:rsidRDefault="00EE3B47" w:rsidP="004B2C59">
            <w:pPr>
              <w:jc w:val="center"/>
            </w:pPr>
            <w:r w:rsidRPr="00C0304F">
              <w:t>(Cohen’s d)</w:t>
            </w:r>
          </w:p>
        </w:tc>
      </w:tr>
      <w:tr w:rsidR="00EE3B47" w:rsidRPr="00C0304F" w14:paraId="32B65DF6" w14:textId="77777777" w:rsidTr="004B2C59">
        <w:trPr>
          <w:trHeight w:val="257"/>
        </w:trPr>
        <w:tc>
          <w:tcPr>
            <w:tcW w:w="1787" w:type="dxa"/>
          </w:tcPr>
          <w:p w14:paraId="45B24955" w14:textId="77777777" w:rsidR="00EE3B47" w:rsidRPr="00C0304F" w:rsidRDefault="00EE3B47" w:rsidP="004B2C59">
            <w:r w:rsidRPr="00C0304F">
              <w:t>Single-peaked</w:t>
            </w:r>
          </w:p>
        </w:tc>
        <w:tc>
          <w:tcPr>
            <w:tcW w:w="1075" w:type="dxa"/>
          </w:tcPr>
          <w:p w14:paraId="63B42B9A" w14:textId="77777777" w:rsidR="00EE3B47" w:rsidRPr="00C0304F" w:rsidRDefault="00EE3B47" w:rsidP="004B2C59">
            <w:r w:rsidRPr="00C0304F">
              <w:t>0.905</w:t>
            </w:r>
          </w:p>
        </w:tc>
        <w:tc>
          <w:tcPr>
            <w:tcW w:w="1165" w:type="dxa"/>
          </w:tcPr>
          <w:p w14:paraId="11F9981A" w14:textId="77777777" w:rsidR="00EE3B47" w:rsidRPr="00C0304F" w:rsidRDefault="00EE3B47" w:rsidP="004B2C59">
            <w:r w:rsidRPr="00C0304F">
              <w:t>0.809</w:t>
            </w:r>
          </w:p>
        </w:tc>
        <w:tc>
          <w:tcPr>
            <w:tcW w:w="991" w:type="dxa"/>
          </w:tcPr>
          <w:p w14:paraId="2F4CD92A" w14:textId="77777777" w:rsidR="00EE3B47" w:rsidRPr="00C0304F" w:rsidRDefault="00EE3B47" w:rsidP="004B2C59">
            <w:r w:rsidRPr="00C0304F">
              <w:t>296</w:t>
            </w:r>
          </w:p>
        </w:tc>
        <w:tc>
          <w:tcPr>
            <w:tcW w:w="1040" w:type="dxa"/>
            <w:vMerge w:val="restart"/>
          </w:tcPr>
          <w:p w14:paraId="3233F12E" w14:textId="77777777" w:rsidR="00EE3B47" w:rsidRPr="00C0304F" w:rsidRDefault="00EE3B47" w:rsidP="004B2C59">
            <w:r w:rsidRPr="00C0304F">
              <w:t>4.015</w:t>
            </w:r>
          </w:p>
        </w:tc>
        <w:tc>
          <w:tcPr>
            <w:tcW w:w="1338" w:type="dxa"/>
            <w:vMerge w:val="restart"/>
          </w:tcPr>
          <w:p w14:paraId="0DB85226" w14:textId="5969A676" w:rsidR="00EE3B47" w:rsidRPr="00C0304F" w:rsidRDefault="00EE3B47" w:rsidP="004B2C59">
            <w:pPr>
              <w:rPr>
                <w:vertAlign w:val="superscript"/>
              </w:rPr>
            </w:pPr>
            <w:r w:rsidRPr="00C0304F">
              <w:t>6.9x10</w:t>
            </w:r>
            <w:r w:rsidRPr="00C0304F">
              <w:rPr>
                <w:vertAlign w:val="superscript"/>
              </w:rPr>
              <w:t>-5</w:t>
            </w:r>
          </w:p>
        </w:tc>
        <w:tc>
          <w:tcPr>
            <w:tcW w:w="1533" w:type="dxa"/>
            <w:vMerge w:val="restart"/>
          </w:tcPr>
          <w:p w14:paraId="73342683" w14:textId="77777777" w:rsidR="00EE3B47" w:rsidRPr="00C0304F" w:rsidRDefault="00EE3B47" w:rsidP="004B2C59">
            <w:r w:rsidRPr="00C0304F">
              <w:t>0.197</w:t>
            </w:r>
          </w:p>
        </w:tc>
      </w:tr>
      <w:tr w:rsidR="00EE3B47" w:rsidRPr="00C0304F" w14:paraId="585F6422" w14:textId="77777777" w:rsidTr="004B2C59">
        <w:trPr>
          <w:trHeight w:val="392"/>
        </w:trPr>
        <w:tc>
          <w:tcPr>
            <w:tcW w:w="1787" w:type="dxa"/>
          </w:tcPr>
          <w:p w14:paraId="193F6F46" w14:textId="77777777" w:rsidR="00EE3B47" w:rsidRPr="00C0304F" w:rsidRDefault="00EE3B47" w:rsidP="004B2C59">
            <w:r w:rsidRPr="00C0304F">
              <w:t>Complex</w:t>
            </w:r>
          </w:p>
        </w:tc>
        <w:tc>
          <w:tcPr>
            <w:tcW w:w="1075" w:type="dxa"/>
          </w:tcPr>
          <w:p w14:paraId="319CA028" w14:textId="77777777" w:rsidR="00EE3B47" w:rsidRPr="00C0304F" w:rsidRDefault="00EE3B47" w:rsidP="004B2C59">
            <w:r w:rsidRPr="00C0304F">
              <w:t>0.604</w:t>
            </w:r>
          </w:p>
        </w:tc>
        <w:tc>
          <w:tcPr>
            <w:tcW w:w="1165" w:type="dxa"/>
          </w:tcPr>
          <w:p w14:paraId="60B8DC32" w14:textId="77777777" w:rsidR="00EE3B47" w:rsidRPr="00C0304F" w:rsidRDefault="00EE3B47" w:rsidP="004B2C59">
            <w:r w:rsidRPr="00C0304F">
              <w:t>0.753</w:t>
            </w:r>
          </w:p>
        </w:tc>
        <w:tc>
          <w:tcPr>
            <w:tcW w:w="991" w:type="dxa"/>
          </w:tcPr>
          <w:p w14:paraId="2EE456D0" w14:textId="77777777" w:rsidR="00EE3B47" w:rsidRPr="00C0304F" w:rsidRDefault="00EE3B47" w:rsidP="004B2C59">
            <w:r w:rsidRPr="00C0304F">
              <w:t>177</w:t>
            </w:r>
          </w:p>
        </w:tc>
        <w:tc>
          <w:tcPr>
            <w:tcW w:w="1040" w:type="dxa"/>
            <w:vMerge/>
          </w:tcPr>
          <w:p w14:paraId="08E32B94" w14:textId="77777777" w:rsidR="00EE3B47" w:rsidRPr="00C0304F" w:rsidRDefault="00EE3B47" w:rsidP="004B2C59"/>
        </w:tc>
        <w:tc>
          <w:tcPr>
            <w:tcW w:w="1338" w:type="dxa"/>
            <w:vMerge/>
          </w:tcPr>
          <w:p w14:paraId="0E0B8138" w14:textId="77777777" w:rsidR="00EE3B47" w:rsidRPr="00C0304F" w:rsidRDefault="00EE3B47" w:rsidP="004B2C59"/>
        </w:tc>
        <w:tc>
          <w:tcPr>
            <w:tcW w:w="1533" w:type="dxa"/>
            <w:vMerge/>
          </w:tcPr>
          <w:p w14:paraId="6A68FA83" w14:textId="77777777" w:rsidR="00EE3B47" w:rsidRPr="00C0304F" w:rsidRDefault="00EE3B47" w:rsidP="004B2C59"/>
        </w:tc>
      </w:tr>
    </w:tbl>
    <w:p w14:paraId="5E913F72" w14:textId="77777777" w:rsidR="00EE3B47" w:rsidRPr="00C0304F" w:rsidRDefault="00EE3B47" w:rsidP="00EE3B47"/>
    <w:p w14:paraId="74AD44F8" w14:textId="38EEF961" w:rsidR="00D24625" w:rsidRPr="00C0304F" w:rsidRDefault="00D24625" w:rsidP="00D24625">
      <w:r w:rsidRPr="00C0304F">
        <w:t>Unpaired t-test comparing the response strength in double-peaked neurons and in complex neurons in ferrets.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075"/>
        <w:gridCol w:w="1165"/>
        <w:gridCol w:w="991"/>
        <w:gridCol w:w="1040"/>
        <w:gridCol w:w="1338"/>
        <w:gridCol w:w="1533"/>
      </w:tblGrid>
      <w:tr w:rsidR="00D24625" w:rsidRPr="00C0304F" w14:paraId="448EB7A1" w14:textId="77777777" w:rsidTr="004B2C59">
        <w:trPr>
          <w:trHeight w:val="263"/>
        </w:trPr>
        <w:tc>
          <w:tcPr>
            <w:tcW w:w="1787" w:type="dxa"/>
          </w:tcPr>
          <w:p w14:paraId="363BDD9F" w14:textId="77777777" w:rsidR="00D24625" w:rsidRPr="00C0304F" w:rsidRDefault="00D24625" w:rsidP="004B2C59">
            <w:pPr>
              <w:jc w:val="center"/>
            </w:pPr>
            <w:r w:rsidRPr="00C0304F">
              <w:t>Group</w:t>
            </w:r>
          </w:p>
        </w:tc>
        <w:tc>
          <w:tcPr>
            <w:tcW w:w="1075" w:type="dxa"/>
          </w:tcPr>
          <w:p w14:paraId="31B1FC99" w14:textId="77777777" w:rsidR="00D24625" w:rsidRPr="00C0304F" w:rsidRDefault="00D24625" w:rsidP="004B2C59">
            <w:pPr>
              <w:jc w:val="center"/>
            </w:pPr>
            <w:r w:rsidRPr="00C0304F">
              <w:t>Mean</w:t>
            </w:r>
          </w:p>
        </w:tc>
        <w:tc>
          <w:tcPr>
            <w:tcW w:w="1165" w:type="dxa"/>
          </w:tcPr>
          <w:p w14:paraId="14343946" w14:textId="77777777" w:rsidR="00D24625" w:rsidRPr="00C0304F" w:rsidRDefault="00D24625" w:rsidP="004B2C59">
            <w:pPr>
              <w:jc w:val="center"/>
            </w:pPr>
            <w:r w:rsidRPr="00C0304F">
              <w:t>Standard deviation</w:t>
            </w:r>
          </w:p>
        </w:tc>
        <w:tc>
          <w:tcPr>
            <w:tcW w:w="991" w:type="dxa"/>
          </w:tcPr>
          <w:p w14:paraId="3285F50B" w14:textId="77777777" w:rsidR="00D24625" w:rsidRPr="00C0304F" w:rsidRDefault="00D24625" w:rsidP="004B2C59">
            <w:pPr>
              <w:jc w:val="center"/>
            </w:pPr>
            <w:r w:rsidRPr="00C0304F">
              <w:t>N (FRA)</w:t>
            </w:r>
          </w:p>
        </w:tc>
        <w:tc>
          <w:tcPr>
            <w:tcW w:w="1040" w:type="dxa"/>
          </w:tcPr>
          <w:p w14:paraId="58166CD4" w14:textId="77777777" w:rsidR="00D24625" w:rsidRPr="00C0304F" w:rsidRDefault="00D24625" w:rsidP="004B2C59">
            <w:pPr>
              <w:jc w:val="center"/>
            </w:pPr>
            <w:r w:rsidRPr="00C0304F">
              <w:t>t value</w:t>
            </w:r>
          </w:p>
        </w:tc>
        <w:tc>
          <w:tcPr>
            <w:tcW w:w="1338" w:type="dxa"/>
          </w:tcPr>
          <w:p w14:paraId="6F59E5F1" w14:textId="77777777" w:rsidR="00D24625" w:rsidRPr="00C0304F" w:rsidRDefault="00D24625" w:rsidP="004B2C59">
            <w:pPr>
              <w:jc w:val="center"/>
            </w:pPr>
            <w:r w:rsidRPr="00C0304F">
              <w:t>p value</w:t>
            </w:r>
          </w:p>
        </w:tc>
        <w:tc>
          <w:tcPr>
            <w:tcW w:w="1533" w:type="dxa"/>
          </w:tcPr>
          <w:p w14:paraId="66D74217" w14:textId="77777777" w:rsidR="00D24625" w:rsidRPr="00C0304F" w:rsidRDefault="00D24625" w:rsidP="004B2C59">
            <w:pPr>
              <w:jc w:val="center"/>
            </w:pPr>
            <w:r w:rsidRPr="00C0304F">
              <w:t>Effect size</w:t>
            </w:r>
          </w:p>
          <w:p w14:paraId="6B0F49CA" w14:textId="77777777" w:rsidR="00D24625" w:rsidRPr="00C0304F" w:rsidRDefault="00D24625" w:rsidP="004B2C59">
            <w:pPr>
              <w:jc w:val="center"/>
            </w:pPr>
            <w:r w:rsidRPr="00C0304F">
              <w:t>(Cohen’s d)</w:t>
            </w:r>
          </w:p>
        </w:tc>
      </w:tr>
      <w:tr w:rsidR="00D24625" w:rsidRPr="00C0304F" w14:paraId="2142BB80" w14:textId="77777777" w:rsidTr="004B2C59">
        <w:trPr>
          <w:trHeight w:val="257"/>
        </w:trPr>
        <w:tc>
          <w:tcPr>
            <w:tcW w:w="1787" w:type="dxa"/>
          </w:tcPr>
          <w:p w14:paraId="32276F09" w14:textId="77777777" w:rsidR="00D24625" w:rsidRPr="00C0304F" w:rsidRDefault="00D24625" w:rsidP="004B2C59">
            <w:r w:rsidRPr="00C0304F">
              <w:t>Double-peaked</w:t>
            </w:r>
          </w:p>
        </w:tc>
        <w:tc>
          <w:tcPr>
            <w:tcW w:w="1075" w:type="dxa"/>
          </w:tcPr>
          <w:p w14:paraId="2DDB740D" w14:textId="77777777" w:rsidR="00D24625" w:rsidRPr="00C0304F" w:rsidRDefault="00D24625" w:rsidP="004B2C59">
            <w:r w:rsidRPr="00C0304F">
              <w:t>0.738</w:t>
            </w:r>
          </w:p>
        </w:tc>
        <w:tc>
          <w:tcPr>
            <w:tcW w:w="1165" w:type="dxa"/>
          </w:tcPr>
          <w:p w14:paraId="56FFF103" w14:textId="77777777" w:rsidR="00D24625" w:rsidRPr="00C0304F" w:rsidRDefault="00D24625" w:rsidP="004B2C59">
            <w:r w:rsidRPr="00C0304F">
              <w:t>0.896</w:t>
            </w:r>
          </w:p>
        </w:tc>
        <w:tc>
          <w:tcPr>
            <w:tcW w:w="991" w:type="dxa"/>
          </w:tcPr>
          <w:p w14:paraId="33CDD536" w14:textId="77777777" w:rsidR="00D24625" w:rsidRPr="00C0304F" w:rsidRDefault="00D24625" w:rsidP="004B2C59">
            <w:r w:rsidRPr="00C0304F">
              <w:t>220</w:t>
            </w:r>
          </w:p>
        </w:tc>
        <w:tc>
          <w:tcPr>
            <w:tcW w:w="1040" w:type="dxa"/>
            <w:vMerge w:val="restart"/>
          </w:tcPr>
          <w:p w14:paraId="7A793947" w14:textId="77777777" w:rsidR="00D24625" w:rsidRPr="00C0304F" w:rsidRDefault="00D24625" w:rsidP="004B2C59">
            <w:r w:rsidRPr="00C0304F">
              <w:t>1.584</w:t>
            </w:r>
          </w:p>
        </w:tc>
        <w:tc>
          <w:tcPr>
            <w:tcW w:w="1338" w:type="dxa"/>
            <w:vMerge w:val="restart"/>
          </w:tcPr>
          <w:p w14:paraId="17974FA2" w14:textId="77777777" w:rsidR="00D24625" w:rsidRPr="00C0304F" w:rsidRDefault="00D24625" w:rsidP="004B2C59">
            <w:pPr>
              <w:rPr>
                <w:vertAlign w:val="superscript"/>
              </w:rPr>
            </w:pPr>
            <w:r w:rsidRPr="00C0304F">
              <w:t>0.11</w:t>
            </w:r>
          </w:p>
        </w:tc>
        <w:tc>
          <w:tcPr>
            <w:tcW w:w="1533" w:type="dxa"/>
            <w:vMerge w:val="restart"/>
          </w:tcPr>
          <w:p w14:paraId="22D6B0A0" w14:textId="77777777" w:rsidR="00D24625" w:rsidRPr="00C0304F" w:rsidRDefault="00D24625" w:rsidP="004B2C59">
            <w:r w:rsidRPr="00C0304F">
              <w:t>0.160</w:t>
            </w:r>
          </w:p>
        </w:tc>
      </w:tr>
      <w:tr w:rsidR="00D24625" w:rsidRPr="00C0304F" w14:paraId="773DFBAE" w14:textId="77777777" w:rsidTr="004B2C59">
        <w:trPr>
          <w:trHeight w:val="392"/>
        </w:trPr>
        <w:tc>
          <w:tcPr>
            <w:tcW w:w="1787" w:type="dxa"/>
          </w:tcPr>
          <w:p w14:paraId="181FDB05" w14:textId="77777777" w:rsidR="00D24625" w:rsidRPr="00C0304F" w:rsidRDefault="00D24625" w:rsidP="004B2C59">
            <w:r w:rsidRPr="00C0304F">
              <w:t>Complex</w:t>
            </w:r>
          </w:p>
        </w:tc>
        <w:tc>
          <w:tcPr>
            <w:tcW w:w="1075" w:type="dxa"/>
          </w:tcPr>
          <w:p w14:paraId="1922072A" w14:textId="77777777" w:rsidR="00D24625" w:rsidRPr="00C0304F" w:rsidRDefault="00D24625" w:rsidP="004B2C59">
            <w:r w:rsidRPr="00C0304F">
              <w:t>0.604</w:t>
            </w:r>
          </w:p>
        </w:tc>
        <w:tc>
          <w:tcPr>
            <w:tcW w:w="1165" w:type="dxa"/>
          </w:tcPr>
          <w:p w14:paraId="4979A083" w14:textId="77777777" w:rsidR="00D24625" w:rsidRPr="00C0304F" w:rsidRDefault="00D24625" w:rsidP="004B2C59">
            <w:r w:rsidRPr="00C0304F">
              <w:t>0.753</w:t>
            </w:r>
          </w:p>
        </w:tc>
        <w:tc>
          <w:tcPr>
            <w:tcW w:w="991" w:type="dxa"/>
          </w:tcPr>
          <w:p w14:paraId="5A0F9BA7" w14:textId="77777777" w:rsidR="00D24625" w:rsidRPr="00C0304F" w:rsidRDefault="00D24625" w:rsidP="004B2C59">
            <w:r w:rsidRPr="00C0304F">
              <w:t>177</w:t>
            </w:r>
          </w:p>
        </w:tc>
        <w:tc>
          <w:tcPr>
            <w:tcW w:w="1040" w:type="dxa"/>
            <w:vMerge/>
          </w:tcPr>
          <w:p w14:paraId="23D33C3F" w14:textId="77777777" w:rsidR="00D24625" w:rsidRPr="00C0304F" w:rsidRDefault="00D24625" w:rsidP="004B2C59"/>
        </w:tc>
        <w:tc>
          <w:tcPr>
            <w:tcW w:w="1338" w:type="dxa"/>
            <w:vMerge/>
          </w:tcPr>
          <w:p w14:paraId="79BB09E9" w14:textId="77777777" w:rsidR="00D24625" w:rsidRPr="00C0304F" w:rsidRDefault="00D24625" w:rsidP="004B2C59"/>
        </w:tc>
        <w:tc>
          <w:tcPr>
            <w:tcW w:w="1533" w:type="dxa"/>
            <w:vMerge/>
          </w:tcPr>
          <w:p w14:paraId="1778255C" w14:textId="77777777" w:rsidR="00D24625" w:rsidRPr="00C0304F" w:rsidRDefault="00D24625" w:rsidP="004B2C59"/>
        </w:tc>
      </w:tr>
    </w:tbl>
    <w:p w14:paraId="1FED4A6F" w14:textId="77777777" w:rsidR="00D24625" w:rsidRPr="00C0304F" w:rsidRDefault="00D24625" w:rsidP="00D24625"/>
    <w:p w14:paraId="663D4B98" w14:textId="77777777" w:rsidR="00583542" w:rsidRPr="00C0304F" w:rsidRDefault="00583542" w:rsidP="00821C68">
      <w:pPr>
        <w:rPr>
          <w:b/>
        </w:rPr>
      </w:pPr>
    </w:p>
    <w:p w14:paraId="0C684F38" w14:textId="77777777" w:rsidR="00934332" w:rsidRPr="00C0304F" w:rsidRDefault="00D24625" w:rsidP="00821C68">
      <w:r w:rsidRPr="00C0304F">
        <w:rPr>
          <w:b/>
        </w:rPr>
        <w:t>3</w:t>
      </w:r>
      <w:r w:rsidR="00A75992" w:rsidRPr="00C0304F">
        <w:rPr>
          <w:b/>
        </w:rPr>
        <w:t>.</w:t>
      </w:r>
      <w:r w:rsidR="00934332" w:rsidRPr="00C0304F">
        <w:rPr>
          <w:b/>
        </w:rPr>
        <w:t xml:space="preserve"> Figure 2E</w:t>
      </w:r>
      <w:r w:rsidR="00A75992" w:rsidRPr="00C0304F">
        <w:t xml:space="preserve"> </w:t>
      </w:r>
    </w:p>
    <w:p w14:paraId="359FF6F6" w14:textId="4B3BFE60" w:rsidR="00821C68" w:rsidRPr="00C0304F" w:rsidRDefault="005866C1" w:rsidP="00821C68">
      <w:r w:rsidRPr="00C0304F">
        <w:t>Unp</w:t>
      </w:r>
      <w:r w:rsidR="00821C68" w:rsidRPr="00C0304F">
        <w:t>aired t-test comparing Fano Factors of neuronal activ</w:t>
      </w:r>
      <w:r w:rsidR="00785EAD" w:rsidRPr="00C0304F">
        <w:t>ity in single-</w:t>
      </w:r>
      <w:r w:rsidR="00821C68" w:rsidRPr="00C0304F">
        <w:t xml:space="preserve">peaked neurons </w:t>
      </w:r>
      <w:r w:rsidRPr="00C0304F">
        <w:t xml:space="preserve">and in </w:t>
      </w:r>
      <w:r w:rsidR="00785EAD" w:rsidRPr="00C0304F">
        <w:t>double-</w:t>
      </w:r>
      <w:r w:rsidR="00821C68" w:rsidRPr="00C0304F">
        <w:t>peaked neurons</w:t>
      </w:r>
      <w:r w:rsidR="00934332" w:rsidRPr="00C0304F"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075"/>
        <w:gridCol w:w="1165"/>
        <w:gridCol w:w="991"/>
        <w:gridCol w:w="1040"/>
        <w:gridCol w:w="1338"/>
        <w:gridCol w:w="1533"/>
      </w:tblGrid>
      <w:tr w:rsidR="00C94CDB" w:rsidRPr="00C0304F" w14:paraId="27D74AF6" w14:textId="77777777" w:rsidTr="00C94CDB">
        <w:trPr>
          <w:trHeight w:val="263"/>
        </w:trPr>
        <w:tc>
          <w:tcPr>
            <w:tcW w:w="1787" w:type="dxa"/>
          </w:tcPr>
          <w:p w14:paraId="54D1FBE1" w14:textId="77777777" w:rsidR="00821C68" w:rsidRPr="00C0304F" w:rsidRDefault="00821C68" w:rsidP="00C24C1D">
            <w:pPr>
              <w:jc w:val="center"/>
            </w:pPr>
            <w:r w:rsidRPr="00C0304F">
              <w:t>Group</w:t>
            </w:r>
          </w:p>
        </w:tc>
        <w:tc>
          <w:tcPr>
            <w:tcW w:w="1075" w:type="dxa"/>
          </w:tcPr>
          <w:p w14:paraId="16B8CFA4" w14:textId="77777777" w:rsidR="00821C68" w:rsidRPr="00C0304F" w:rsidRDefault="00821C68" w:rsidP="00C24C1D">
            <w:pPr>
              <w:jc w:val="center"/>
            </w:pPr>
            <w:r w:rsidRPr="00C0304F">
              <w:t>Mean</w:t>
            </w:r>
          </w:p>
        </w:tc>
        <w:tc>
          <w:tcPr>
            <w:tcW w:w="1165" w:type="dxa"/>
          </w:tcPr>
          <w:p w14:paraId="4B028571" w14:textId="77777777" w:rsidR="00821C68" w:rsidRPr="00C0304F" w:rsidRDefault="00821C68" w:rsidP="00C24C1D">
            <w:pPr>
              <w:jc w:val="center"/>
            </w:pPr>
            <w:r w:rsidRPr="00C0304F">
              <w:t>Standard deviation</w:t>
            </w:r>
          </w:p>
        </w:tc>
        <w:tc>
          <w:tcPr>
            <w:tcW w:w="991" w:type="dxa"/>
          </w:tcPr>
          <w:p w14:paraId="3AC6291A" w14:textId="77777777" w:rsidR="00821C68" w:rsidRPr="00C0304F" w:rsidRDefault="00821C68" w:rsidP="00821C68">
            <w:pPr>
              <w:jc w:val="center"/>
            </w:pPr>
            <w:r w:rsidRPr="00C0304F">
              <w:t>N (FRA)</w:t>
            </w:r>
          </w:p>
        </w:tc>
        <w:tc>
          <w:tcPr>
            <w:tcW w:w="1040" w:type="dxa"/>
          </w:tcPr>
          <w:p w14:paraId="5F23973F" w14:textId="77777777" w:rsidR="00821C68" w:rsidRPr="00C0304F" w:rsidRDefault="00821C68" w:rsidP="00C24C1D">
            <w:pPr>
              <w:jc w:val="center"/>
            </w:pPr>
            <w:r w:rsidRPr="00C0304F">
              <w:t>t value</w:t>
            </w:r>
          </w:p>
        </w:tc>
        <w:tc>
          <w:tcPr>
            <w:tcW w:w="1338" w:type="dxa"/>
          </w:tcPr>
          <w:p w14:paraId="736E2CB1" w14:textId="77777777" w:rsidR="00821C68" w:rsidRPr="00C0304F" w:rsidRDefault="00821C68" w:rsidP="00C24C1D">
            <w:pPr>
              <w:jc w:val="center"/>
            </w:pPr>
            <w:r w:rsidRPr="00C0304F">
              <w:t>p value</w:t>
            </w:r>
          </w:p>
        </w:tc>
        <w:tc>
          <w:tcPr>
            <w:tcW w:w="1533" w:type="dxa"/>
          </w:tcPr>
          <w:p w14:paraId="64B57637" w14:textId="77777777" w:rsidR="00821C68" w:rsidRPr="00C0304F" w:rsidRDefault="00821C68" w:rsidP="00C24C1D">
            <w:pPr>
              <w:jc w:val="center"/>
            </w:pPr>
            <w:r w:rsidRPr="00C0304F">
              <w:t>Effect size</w:t>
            </w:r>
          </w:p>
          <w:p w14:paraId="2084F5D2" w14:textId="77777777" w:rsidR="00821C68" w:rsidRPr="00C0304F" w:rsidRDefault="00821C68" w:rsidP="00C24C1D">
            <w:pPr>
              <w:jc w:val="center"/>
            </w:pPr>
            <w:r w:rsidRPr="00C0304F">
              <w:t>(Cohen’s d)</w:t>
            </w:r>
          </w:p>
        </w:tc>
      </w:tr>
      <w:tr w:rsidR="00C94CDB" w:rsidRPr="00C0304F" w14:paraId="37236C5D" w14:textId="77777777" w:rsidTr="00C94CDB">
        <w:trPr>
          <w:trHeight w:val="257"/>
        </w:trPr>
        <w:tc>
          <w:tcPr>
            <w:tcW w:w="1787" w:type="dxa"/>
          </w:tcPr>
          <w:p w14:paraId="096398C3" w14:textId="77777777" w:rsidR="00821C68" w:rsidRPr="00C0304F" w:rsidRDefault="00821C68" w:rsidP="00C24C1D">
            <w:r w:rsidRPr="00C0304F">
              <w:t>Single-peaked</w:t>
            </w:r>
          </w:p>
        </w:tc>
        <w:tc>
          <w:tcPr>
            <w:tcW w:w="1075" w:type="dxa"/>
          </w:tcPr>
          <w:p w14:paraId="4CE818B4" w14:textId="4D09A2E5" w:rsidR="00821C68" w:rsidRPr="00C0304F" w:rsidRDefault="00DA1507" w:rsidP="00C24C1D">
            <w:r w:rsidRPr="00C0304F">
              <w:t>1.547</w:t>
            </w:r>
          </w:p>
        </w:tc>
        <w:tc>
          <w:tcPr>
            <w:tcW w:w="1165" w:type="dxa"/>
          </w:tcPr>
          <w:p w14:paraId="7F087D24" w14:textId="1BD61F49" w:rsidR="00821C68" w:rsidRPr="00C0304F" w:rsidRDefault="00DA1507" w:rsidP="00C24C1D">
            <w:r w:rsidRPr="00C0304F">
              <w:t>1.957</w:t>
            </w:r>
          </w:p>
        </w:tc>
        <w:tc>
          <w:tcPr>
            <w:tcW w:w="991" w:type="dxa"/>
          </w:tcPr>
          <w:p w14:paraId="03B5C06C" w14:textId="77777777" w:rsidR="00821C68" w:rsidRPr="00C0304F" w:rsidRDefault="005866C1" w:rsidP="00C24C1D">
            <w:r w:rsidRPr="00C0304F">
              <w:t>296</w:t>
            </w:r>
          </w:p>
        </w:tc>
        <w:tc>
          <w:tcPr>
            <w:tcW w:w="1040" w:type="dxa"/>
            <w:vMerge w:val="restart"/>
          </w:tcPr>
          <w:p w14:paraId="6EA3A9E7" w14:textId="1EF06AAC" w:rsidR="00821C68" w:rsidRPr="00C0304F" w:rsidRDefault="00DA1507" w:rsidP="005866C1">
            <w:r w:rsidRPr="00C0304F">
              <w:t>0.600</w:t>
            </w:r>
          </w:p>
        </w:tc>
        <w:tc>
          <w:tcPr>
            <w:tcW w:w="1338" w:type="dxa"/>
            <w:vMerge w:val="restart"/>
          </w:tcPr>
          <w:p w14:paraId="17B9E560" w14:textId="125DE4CF" w:rsidR="00821C68" w:rsidRPr="00C0304F" w:rsidRDefault="00821C68" w:rsidP="00DA1507">
            <w:pPr>
              <w:rPr>
                <w:vertAlign w:val="superscript"/>
              </w:rPr>
            </w:pPr>
            <w:r w:rsidRPr="00C0304F">
              <w:t>0.</w:t>
            </w:r>
            <w:r w:rsidR="00DA1507" w:rsidRPr="00C0304F">
              <w:t>549</w:t>
            </w:r>
          </w:p>
        </w:tc>
        <w:tc>
          <w:tcPr>
            <w:tcW w:w="1533" w:type="dxa"/>
            <w:vMerge w:val="restart"/>
          </w:tcPr>
          <w:p w14:paraId="51A1616D" w14:textId="5AEDBD71" w:rsidR="00821C68" w:rsidRPr="00C0304F" w:rsidRDefault="00DA1507" w:rsidP="00C24C1D">
            <w:r w:rsidRPr="00C0304F">
              <w:t>-0.054</w:t>
            </w:r>
          </w:p>
        </w:tc>
      </w:tr>
      <w:tr w:rsidR="00C94CDB" w:rsidRPr="00C0304F" w14:paraId="3004686F" w14:textId="77777777" w:rsidTr="00C94CDB">
        <w:trPr>
          <w:trHeight w:val="392"/>
        </w:trPr>
        <w:tc>
          <w:tcPr>
            <w:tcW w:w="1787" w:type="dxa"/>
          </w:tcPr>
          <w:p w14:paraId="6500F67D" w14:textId="77777777" w:rsidR="00821C68" w:rsidRPr="00C0304F" w:rsidRDefault="00821C68" w:rsidP="00C24C1D">
            <w:r w:rsidRPr="00C0304F">
              <w:t>Double-peaked</w:t>
            </w:r>
          </w:p>
        </w:tc>
        <w:tc>
          <w:tcPr>
            <w:tcW w:w="1075" w:type="dxa"/>
          </w:tcPr>
          <w:p w14:paraId="70FCF6EB" w14:textId="7CBA3A3B" w:rsidR="00821C68" w:rsidRPr="00C0304F" w:rsidRDefault="00DA1507" w:rsidP="00C24C1D">
            <w:r w:rsidRPr="00C0304F">
              <w:t>1.668</w:t>
            </w:r>
          </w:p>
        </w:tc>
        <w:tc>
          <w:tcPr>
            <w:tcW w:w="1165" w:type="dxa"/>
          </w:tcPr>
          <w:p w14:paraId="33998996" w14:textId="5B662098" w:rsidR="00821C68" w:rsidRPr="00C0304F" w:rsidRDefault="00DA1507" w:rsidP="00DA1507">
            <w:r w:rsidRPr="00C0304F">
              <w:t>2.608</w:t>
            </w:r>
          </w:p>
        </w:tc>
        <w:tc>
          <w:tcPr>
            <w:tcW w:w="991" w:type="dxa"/>
          </w:tcPr>
          <w:p w14:paraId="24400ED8" w14:textId="77777777" w:rsidR="00821C68" w:rsidRPr="00C0304F" w:rsidRDefault="005866C1" w:rsidP="00C24C1D">
            <w:r w:rsidRPr="00C0304F">
              <w:t>217</w:t>
            </w:r>
          </w:p>
        </w:tc>
        <w:tc>
          <w:tcPr>
            <w:tcW w:w="1040" w:type="dxa"/>
            <w:vMerge/>
          </w:tcPr>
          <w:p w14:paraId="488635A8" w14:textId="77777777" w:rsidR="00821C68" w:rsidRPr="00C0304F" w:rsidRDefault="00821C68" w:rsidP="00C24C1D"/>
        </w:tc>
        <w:tc>
          <w:tcPr>
            <w:tcW w:w="1338" w:type="dxa"/>
            <w:vMerge/>
          </w:tcPr>
          <w:p w14:paraId="5FC548EB" w14:textId="77777777" w:rsidR="00821C68" w:rsidRPr="00C0304F" w:rsidRDefault="00821C68" w:rsidP="00C24C1D"/>
        </w:tc>
        <w:tc>
          <w:tcPr>
            <w:tcW w:w="1533" w:type="dxa"/>
            <w:vMerge/>
          </w:tcPr>
          <w:p w14:paraId="2E8B45E0" w14:textId="77777777" w:rsidR="00821C68" w:rsidRPr="00C0304F" w:rsidRDefault="00821C68" w:rsidP="00C24C1D"/>
        </w:tc>
      </w:tr>
    </w:tbl>
    <w:p w14:paraId="34273DCC" w14:textId="77777777" w:rsidR="00785EAD" w:rsidRPr="00C0304F" w:rsidRDefault="00785EAD" w:rsidP="00785E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7A7BEC" w14:textId="4EF3F5CD" w:rsidR="00785EAD" w:rsidRPr="00C0304F" w:rsidRDefault="00785EAD" w:rsidP="00785EAD">
      <w:r w:rsidRPr="00C0304F">
        <w:t xml:space="preserve">Unpaired t-test comparing Fano Factors of neuronal activity in single-peaked </w:t>
      </w:r>
      <w:r w:rsidR="00431C8C" w:rsidRPr="00C0304F">
        <w:t>neurons and in complex neurons</w:t>
      </w:r>
      <w:r w:rsidR="00934332" w:rsidRPr="00C0304F">
        <w:t>.</w:t>
      </w:r>
    </w:p>
    <w:tbl>
      <w:tblPr>
        <w:tblStyle w:val="TableGrid"/>
        <w:tblW w:w="9073" w:type="dxa"/>
        <w:tblLayout w:type="fixed"/>
        <w:tblLook w:val="04A0" w:firstRow="1" w:lastRow="0" w:firstColumn="1" w:lastColumn="0" w:noHBand="0" w:noVBand="1"/>
      </w:tblPr>
      <w:tblGrid>
        <w:gridCol w:w="1816"/>
        <w:gridCol w:w="1092"/>
        <w:gridCol w:w="1184"/>
        <w:gridCol w:w="1006"/>
        <w:gridCol w:w="1057"/>
        <w:gridCol w:w="1360"/>
        <w:gridCol w:w="1558"/>
      </w:tblGrid>
      <w:tr w:rsidR="00C94CDB" w:rsidRPr="00C0304F" w14:paraId="0155908C" w14:textId="77777777" w:rsidTr="00C94CDB">
        <w:trPr>
          <w:trHeight w:val="225"/>
        </w:trPr>
        <w:tc>
          <w:tcPr>
            <w:tcW w:w="1816" w:type="dxa"/>
          </w:tcPr>
          <w:p w14:paraId="55F0EB25" w14:textId="77777777" w:rsidR="00785EAD" w:rsidRPr="00C0304F" w:rsidRDefault="00785EAD" w:rsidP="00C24C1D">
            <w:pPr>
              <w:jc w:val="center"/>
            </w:pPr>
            <w:r w:rsidRPr="00C0304F">
              <w:t>Group</w:t>
            </w:r>
          </w:p>
        </w:tc>
        <w:tc>
          <w:tcPr>
            <w:tcW w:w="1092" w:type="dxa"/>
          </w:tcPr>
          <w:p w14:paraId="1679BF30" w14:textId="77777777" w:rsidR="00785EAD" w:rsidRPr="00C0304F" w:rsidRDefault="00785EAD" w:rsidP="00C24C1D">
            <w:pPr>
              <w:jc w:val="center"/>
            </w:pPr>
            <w:r w:rsidRPr="00C0304F">
              <w:t>Mean</w:t>
            </w:r>
          </w:p>
        </w:tc>
        <w:tc>
          <w:tcPr>
            <w:tcW w:w="1184" w:type="dxa"/>
          </w:tcPr>
          <w:p w14:paraId="57A8589F" w14:textId="77777777" w:rsidR="00785EAD" w:rsidRPr="00C0304F" w:rsidRDefault="00785EAD" w:rsidP="00C24C1D">
            <w:pPr>
              <w:jc w:val="center"/>
            </w:pPr>
            <w:r w:rsidRPr="00C0304F">
              <w:t>Standard deviation</w:t>
            </w:r>
          </w:p>
        </w:tc>
        <w:tc>
          <w:tcPr>
            <w:tcW w:w="1006" w:type="dxa"/>
          </w:tcPr>
          <w:p w14:paraId="705CB0D6" w14:textId="77777777" w:rsidR="00785EAD" w:rsidRPr="00C0304F" w:rsidRDefault="00785EAD" w:rsidP="00C24C1D">
            <w:pPr>
              <w:jc w:val="center"/>
            </w:pPr>
            <w:r w:rsidRPr="00C0304F">
              <w:t>N (FRA)</w:t>
            </w:r>
          </w:p>
        </w:tc>
        <w:tc>
          <w:tcPr>
            <w:tcW w:w="1057" w:type="dxa"/>
          </w:tcPr>
          <w:p w14:paraId="2EF90338" w14:textId="77777777" w:rsidR="00785EAD" w:rsidRPr="00C0304F" w:rsidRDefault="00785EAD" w:rsidP="00C24C1D">
            <w:pPr>
              <w:jc w:val="center"/>
            </w:pPr>
            <w:r w:rsidRPr="00C0304F">
              <w:t>t value</w:t>
            </w:r>
          </w:p>
        </w:tc>
        <w:tc>
          <w:tcPr>
            <w:tcW w:w="1360" w:type="dxa"/>
          </w:tcPr>
          <w:p w14:paraId="21FD5064" w14:textId="77777777" w:rsidR="00785EAD" w:rsidRPr="00C0304F" w:rsidRDefault="00785EAD" w:rsidP="00C24C1D">
            <w:pPr>
              <w:jc w:val="center"/>
            </w:pPr>
            <w:r w:rsidRPr="00C0304F">
              <w:t>p value</w:t>
            </w:r>
          </w:p>
        </w:tc>
        <w:tc>
          <w:tcPr>
            <w:tcW w:w="1558" w:type="dxa"/>
          </w:tcPr>
          <w:p w14:paraId="0E01C607" w14:textId="77777777" w:rsidR="00785EAD" w:rsidRPr="00C0304F" w:rsidRDefault="00785EAD" w:rsidP="00C24C1D">
            <w:pPr>
              <w:jc w:val="center"/>
            </w:pPr>
            <w:r w:rsidRPr="00C0304F">
              <w:t>Effect size</w:t>
            </w:r>
          </w:p>
          <w:p w14:paraId="7516A8C5" w14:textId="77777777" w:rsidR="00785EAD" w:rsidRPr="00C0304F" w:rsidRDefault="00785EAD" w:rsidP="00C24C1D">
            <w:pPr>
              <w:jc w:val="center"/>
            </w:pPr>
            <w:r w:rsidRPr="00C0304F">
              <w:t>(Cohen’s d)</w:t>
            </w:r>
          </w:p>
        </w:tc>
      </w:tr>
      <w:tr w:rsidR="00694834" w:rsidRPr="00C0304F" w14:paraId="637F5886" w14:textId="77777777" w:rsidTr="00C94CDB">
        <w:trPr>
          <w:trHeight w:val="220"/>
        </w:trPr>
        <w:tc>
          <w:tcPr>
            <w:tcW w:w="1816" w:type="dxa"/>
          </w:tcPr>
          <w:p w14:paraId="4A96EB74" w14:textId="77777777" w:rsidR="00694834" w:rsidRPr="00C0304F" w:rsidRDefault="00694834" w:rsidP="00694834">
            <w:r w:rsidRPr="00C0304F">
              <w:t>Single-peaked</w:t>
            </w:r>
          </w:p>
        </w:tc>
        <w:tc>
          <w:tcPr>
            <w:tcW w:w="1092" w:type="dxa"/>
          </w:tcPr>
          <w:p w14:paraId="1AD39B82" w14:textId="1A9B8FAE" w:rsidR="00694834" w:rsidRPr="00C0304F" w:rsidRDefault="00694834" w:rsidP="00694834">
            <w:r w:rsidRPr="00C0304F">
              <w:t>1.547</w:t>
            </w:r>
          </w:p>
        </w:tc>
        <w:tc>
          <w:tcPr>
            <w:tcW w:w="1184" w:type="dxa"/>
          </w:tcPr>
          <w:p w14:paraId="43018B6A" w14:textId="272968AE" w:rsidR="00694834" w:rsidRPr="00C0304F" w:rsidRDefault="00694834" w:rsidP="00694834">
            <w:r w:rsidRPr="00C0304F">
              <w:t>1.957</w:t>
            </w:r>
          </w:p>
        </w:tc>
        <w:tc>
          <w:tcPr>
            <w:tcW w:w="1006" w:type="dxa"/>
          </w:tcPr>
          <w:p w14:paraId="2D4E3C66" w14:textId="77777777" w:rsidR="00694834" w:rsidRPr="00C0304F" w:rsidRDefault="00694834" w:rsidP="00694834">
            <w:r w:rsidRPr="00C0304F">
              <w:t>296</w:t>
            </w:r>
          </w:p>
        </w:tc>
        <w:tc>
          <w:tcPr>
            <w:tcW w:w="1057" w:type="dxa"/>
            <w:vMerge w:val="restart"/>
          </w:tcPr>
          <w:p w14:paraId="2D6FD532" w14:textId="07EC02E1" w:rsidR="00694834" w:rsidRPr="00C0304F" w:rsidRDefault="00694834" w:rsidP="00694834">
            <w:r w:rsidRPr="00C0304F">
              <w:t>0.638</w:t>
            </w:r>
          </w:p>
        </w:tc>
        <w:tc>
          <w:tcPr>
            <w:tcW w:w="1360" w:type="dxa"/>
            <w:vMerge w:val="restart"/>
          </w:tcPr>
          <w:p w14:paraId="3652A539" w14:textId="264CD08D" w:rsidR="00694834" w:rsidRPr="00C0304F" w:rsidRDefault="00694834" w:rsidP="00694834">
            <w:pPr>
              <w:rPr>
                <w:vertAlign w:val="superscript"/>
              </w:rPr>
            </w:pPr>
            <w:r w:rsidRPr="00C0304F">
              <w:t>0.524</w:t>
            </w:r>
          </w:p>
        </w:tc>
        <w:tc>
          <w:tcPr>
            <w:tcW w:w="1558" w:type="dxa"/>
            <w:vMerge w:val="restart"/>
          </w:tcPr>
          <w:p w14:paraId="1B994F2E" w14:textId="138104F8" w:rsidR="00694834" w:rsidRPr="00C0304F" w:rsidRDefault="00694834" w:rsidP="00694834">
            <w:r w:rsidRPr="00C0304F">
              <w:t>0.061</w:t>
            </w:r>
          </w:p>
        </w:tc>
      </w:tr>
      <w:tr w:rsidR="00C94CDB" w:rsidRPr="00C0304F" w14:paraId="4CD155A0" w14:textId="77777777" w:rsidTr="00C94CDB">
        <w:trPr>
          <w:trHeight w:val="335"/>
        </w:trPr>
        <w:tc>
          <w:tcPr>
            <w:tcW w:w="1816" w:type="dxa"/>
          </w:tcPr>
          <w:p w14:paraId="2773EB17" w14:textId="77777777" w:rsidR="00785EAD" w:rsidRPr="00C0304F" w:rsidRDefault="00785EAD" w:rsidP="00C24C1D">
            <w:r w:rsidRPr="00C0304F">
              <w:t>Complex</w:t>
            </w:r>
          </w:p>
        </w:tc>
        <w:tc>
          <w:tcPr>
            <w:tcW w:w="1092" w:type="dxa"/>
          </w:tcPr>
          <w:p w14:paraId="250EA61A" w14:textId="6F2FDC11" w:rsidR="00785EAD" w:rsidRPr="00C0304F" w:rsidRDefault="00694834" w:rsidP="00785EAD">
            <w:r w:rsidRPr="00C0304F">
              <w:t>1.423</w:t>
            </w:r>
          </w:p>
        </w:tc>
        <w:tc>
          <w:tcPr>
            <w:tcW w:w="1184" w:type="dxa"/>
          </w:tcPr>
          <w:p w14:paraId="3E06F7A1" w14:textId="787222E2" w:rsidR="00785EAD" w:rsidRPr="00C0304F" w:rsidRDefault="00785EAD" w:rsidP="00694834">
            <w:r w:rsidRPr="00C0304F">
              <w:t>2.</w:t>
            </w:r>
            <w:r w:rsidR="00694834" w:rsidRPr="00C0304F">
              <w:t>185</w:t>
            </w:r>
          </w:p>
        </w:tc>
        <w:tc>
          <w:tcPr>
            <w:tcW w:w="1006" w:type="dxa"/>
          </w:tcPr>
          <w:p w14:paraId="2C56C091" w14:textId="77777777" w:rsidR="00785EAD" w:rsidRPr="00C0304F" w:rsidRDefault="00785EAD" w:rsidP="00C24C1D">
            <w:r w:rsidRPr="00C0304F">
              <w:t>175</w:t>
            </w:r>
          </w:p>
        </w:tc>
        <w:tc>
          <w:tcPr>
            <w:tcW w:w="1057" w:type="dxa"/>
            <w:vMerge/>
          </w:tcPr>
          <w:p w14:paraId="172655CB" w14:textId="77777777" w:rsidR="00785EAD" w:rsidRPr="00C0304F" w:rsidRDefault="00785EAD" w:rsidP="00C24C1D"/>
        </w:tc>
        <w:tc>
          <w:tcPr>
            <w:tcW w:w="1360" w:type="dxa"/>
            <w:vMerge/>
          </w:tcPr>
          <w:p w14:paraId="34B5FB6D" w14:textId="77777777" w:rsidR="00785EAD" w:rsidRPr="00C0304F" w:rsidRDefault="00785EAD" w:rsidP="00C24C1D"/>
        </w:tc>
        <w:tc>
          <w:tcPr>
            <w:tcW w:w="1558" w:type="dxa"/>
            <w:vMerge/>
          </w:tcPr>
          <w:p w14:paraId="447B64A8" w14:textId="77777777" w:rsidR="00785EAD" w:rsidRPr="00C0304F" w:rsidRDefault="00785EAD" w:rsidP="00C24C1D"/>
        </w:tc>
      </w:tr>
    </w:tbl>
    <w:p w14:paraId="15CEB7BD" w14:textId="77777777" w:rsidR="00821C68" w:rsidRPr="00C0304F" w:rsidRDefault="00821C68" w:rsidP="00852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A5DDE6" w14:textId="77777777" w:rsidR="00B7668C" w:rsidRPr="00C0304F" w:rsidRDefault="00B7668C" w:rsidP="00D1192A"/>
    <w:p w14:paraId="0464BC06" w14:textId="7BE81070" w:rsidR="00B7668C" w:rsidRPr="00C0304F" w:rsidRDefault="00262502" w:rsidP="00D1192A">
      <w:r w:rsidRPr="00C0304F">
        <w:rPr>
          <w:b/>
        </w:rPr>
        <w:t>4. Figure 3A</w:t>
      </w:r>
      <w:r w:rsidRPr="00C0304F">
        <w:t xml:space="preserve"> </w:t>
      </w:r>
    </w:p>
    <w:p w14:paraId="28084181" w14:textId="5BC0F0F5" w:rsidR="00D1192A" w:rsidRPr="00C0304F" w:rsidRDefault="00D1192A" w:rsidP="00D1192A">
      <w:r w:rsidRPr="00C0304F">
        <w:t xml:space="preserve">1-way ANOVA comparing pairwise signal correlations with FRA class as a predictor.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2233"/>
        <w:gridCol w:w="1559"/>
        <w:gridCol w:w="1560"/>
        <w:gridCol w:w="1701"/>
      </w:tblGrid>
      <w:tr w:rsidR="00D1192A" w:rsidRPr="00C0304F" w14:paraId="32AFEC77" w14:textId="77777777" w:rsidTr="00723647">
        <w:tc>
          <w:tcPr>
            <w:tcW w:w="1419" w:type="dxa"/>
          </w:tcPr>
          <w:p w14:paraId="5FC5C16F" w14:textId="77777777" w:rsidR="00D1192A" w:rsidRPr="00C0304F" w:rsidRDefault="00D1192A" w:rsidP="00723647">
            <w:r w:rsidRPr="00C0304F">
              <w:t>Dependent variable</w:t>
            </w:r>
          </w:p>
        </w:tc>
        <w:tc>
          <w:tcPr>
            <w:tcW w:w="2233" w:type="dxa"/>
          </w:tcPr>
          <w:p w14:paraId="409ABBC8" w14:textId="77777777" w:rsidR="00D1192A" w:rsidRPr="00C0304F" w:rsidRDefault="00D1192A" w:rsidP="00723647">
            <w:r w:rsidRPr="00C0304F">
              <w:t>Degrees of freedom</w:t>
            </w:r>
          </w:p>
        </w:tc>
        <w:tc>
          <w:tcPr>
            <w:tcW w:w="1559" w:type="dxa"/>
          </w:tcPr>
          <w:p w14:paraId="0B22B62F" w14:textId="77777777" w:rsidR="00D1192A" w:rsidRPr="00C0304F" w:rsidRDefault="00D1192A" w:rsidP="00723647">
            <w:r w:rsidRPr="00C0304F">
              <w:t>F value</w:t>
            </w:r>
          </w:p>
        </w:tc>
        <w:tc>
          <w:tcPr>
            <w:tcW w:w="1560" w:type="dxa"/>
          </w:tcPr>
          <w:p w14:paraId="4DB3EA56" w14:textId="77777777" w:rsidR="00D1192A" w:rsidRPr="00C0304F" w:rsidRDefault="00D1192A" w:rsidP="00723647">
            <w:r w:rsidRPr="00C0304F">
              <w:t>p value</w:t>
            </w:r>
          </w:p>
        </w:tc>
        <w:tc>
          <w:tcPr>
            <w:tcW w:w="1701" w:type="dxa"/>
          </w:tcPr>
          <w:p w14:paraId="0A31C71A" w14:textId="77777777" w:rsidR="00D1192A" w:rsidRPr="00C0304F" w:rsidRDefault="00D1192A" w:rsidP="00723647">
            <w:r w:rsidRPr="00C0304F">
              <w:t>Effect size (Eta squared)</w:t>
            </w:r>
          </w:p>
        </w:tc>
      </w:tr>
      <w:tr w:rsidR="00D1192A" w:rsidRPr="00C0304F" w14:paraId="51099BE6" w14:textId="77777777" w:rsidTr="00723647">
        <w:tc>
          <w:tcPr>
            <w:tcW w:w="1419" w:type="dxa"/>
          </w:tcPr>
          <w:p w14:paraId="220F57AA" w14:textId="4EEE7F98" w:rsidR="00D1192A" w:rsidRPr="00C0304F" w:rsidRDefault="00D1192A" w:rsidP="00723647">
            <w:r w:rsidRPr="00C0304F">
              <w:t xml:space="preserve">FRA </w:t>
            </w:r>
            <w:r w:rsidR="00320910" w:rsidRPr="00C0304F">
              <w:t>class</w:t>
            </w:r>
          </w:p>
        </w:tc>
        <w:tc>
          <w:tcPr>
            <w:tcW w:w="2233" w:type="dxa"/>
          </w:tcPr>
          <w:p w14:paraId="41A2E4B5" w14:textId="77777777" w:rsidR="00D1192A" w:rsidRPr="00C0304F" w:rsidRDefault="00D1192A" w:rsidP="00723647">
            <w:r w:rsidRPr="00C0304F">
              <w:t>2</w:t>
            </w:r>
          </w:p>
        </w:tc>
        <w:tc>
          <w:tcPr>
            <w:tcW w:w="1559" w:type="dxa"/>
          </w:tcPr>
          <w:p w14:paraId="212CC654" w14:textId="77777777" w:rsidR="00D1192A" w:rsidRPr="00C0304F" w:rsidRDefault="00A61B08" w:rsidP="00723647">
            <w:r w:rsidRPr="00C0304F">
              <w:t>389.7</w:t>
            </w:r>
          </w:p>
        </w:tc>
        <w:tc>
          <w:tcPr>
            <w:tcW w:w="1560" w:type="dxa"/>
          </w:tcPr>
          <w:p w14:paraId="4DC13E6F" w14:textId="77777777" w:rsidR="00D1192A" w:rsidRPr="00C0304F" w:rsidRDefault="00A61B08" w:rsidP="00270CF6">
            <w:r w:rsidRPr="00C0304F">
              <w:t>1.557x10</w:t>
            </w:r>
            <w:r w:rsidRPr="00C0304F">
              <w:rPr>
                <w:vertAlign w:val="superscript"/>
              </w:rPr>
              <w:t>-163</w:t>
            </w:r>
          </w:p>
        </w:tc>
        <w:tc>
          <w:tcPr>
            <w:tcW w:w="1701" w:type="dxa"/>
          </w:tcPr>
          <w:p w14:paraId="098511D4" w14:textId="77777777" w:rsidR="00D1192A" w:rsidRPr="00C0304F" w:rsidRDefault="00D1192A" w:rsidP="00270CF6">
            <w:r w:rsidRPr="00C0304F">
              <w:t>0.</w:t>
            </w:r>
            <w:r w:rsidR="00A61B08" w:rsidRPr="00C0304F">
              <w:t>074</w:t>
            </w:r>
          </w:p>
        </w:tc>
      </w:tr>
    </w:tbl>
    <w:p w14:paraId="78AEB4FF" w14:textId="77777777" w:rsidR="00D1192A" w:rsidRPr="00C0304F" w:rsidRDefault="00D1192A" w:rsidP="00D1192A"/>
    <w:p w14:paraId="616290CC" w14:textId="77777777" w:rsidR="00D1192A" w:rsidRPr="00C0304F" w:rsidRDefault="00D1192A" w:rsidP="00D1192A">
      <w:r w:rsidRPr="00C0304F">
        <w:t xml:space="preserve">Post-hoc pairwise comparisons between </w:t>
      </w:r>
      <w:r w:rsidR="00E37FCC" w:rsidRPr="00C0304F">
        <w:t xml:space="preserve">signal correlations of different </w:t>
      </w:r>
      <w:r w:rsidR="00270CF6" w:rsidRPr="00C0304F">
        <w:t>FRA types p</w:t>
      </w:r>
      <w:r w:rsidRPr="00C0304F">
        <w:t xml:space="preserve">erformed on results of the above ANOVA, using Tukey’s HSD criterion.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710"/>
        <w:gridCol w:w="1350"/>
        <w:gridCol w:w="1242"/>
        <w:gridCol w:w="1484"/>
        <w:gridCol w:w="1435"/>
      </w:tblGrid>
      <w:tr w:rsidR="00E37FCC" w:rsidRPr="00C0304F" w14:paraId="6D7F8573" w14:textId="77777777" w:rsidTr="00723647">
        <w:tc>
          <w:tcPr>
            <w:tcW w:w="3505" w:type="dxa"/>
            <w:gridSpan w:val="2"/>
          </w:tcPr>
          <w:p w14:paraId="1D59CD2F" w14:textId="77777777" w:rsidR="00E37FCC" w:rsidRPr="00C0304F" w:rsidRDefault="00E37FCC" w:rsidP="00723647">
            <w:r w:rsidRPr="00C0304F">
              <w:lastRenderedPageBreak/>
              <w:t>Compared FRA types</w:t>
            </w:r>
          </w:p>
        </w:tc>
        <w:tc>
          <w:tcPr>
            <w:tcW w:w="1350" w:type="dxa"/>
          </w:tcPr>
          <w:p w14:paraId="19214D35" w14:textId="77777777" w:rsidR="00E37FCC" w:rsidRPr="00C0304F" w:rsidRDefault="00E37FCC" w:rsidP="00723647">
            <w:r w:rsidRPr="00C0304F">
              <w:t>Lower confidence interval</w:t>
            </w:r>
          </w:p>
        </w:tc>
        <w:tc>
          <w:tcPr>
            <w:tcW w:w="1242" w:type="dxa"/>
          </w:tcPr>
          <w:p w14:paraId="2D9BA885" w14:textId="77777777" w:rsidR="00E37FCC" w:rsidRPr="00C0304F" w:rsidRDefault="00E37FCC" w:rsidP="00723647">
            <w:r w:rsidRPr="00C0304F">
              <w:t>Mean</w:t>
            </w:r>
          </w:p>
        </w:tc>
        <w:tc>
          <w:tcPr>
            <w:tcW w:w="1484" w:type="dxa"/>
          </w:tcPr>
          <w:p w14:paraId="479CCDFB" w14:textId="77777777" w:rsidR="00E37FCC" w:rsidRPr="00C0304F" w:rsidRDefault="00E37FCC" w:rsidP="00723647">
            <w:r w:rsidRPr="00C0304F">
              <w:t>Upper confidence interval</w:t>
            </w:r>
          </w:p>
        </w:tc>
        <w:tc>
          <w:tcPr>
            <w:tcW w:w="1435" w:type="dxa"/>
          </w:tcPr>
          <w:p w14:paraId="659703F4" w14:textId="77777777" w:rsidR="00E37FCC" w:rsidRPr="00C0304F" w:rsidRDefault="00E37FCC" w:rsidP="00723647">
            <w:r w:rsidRPr="00C0304F">
              <w:t>p value</w:t>
            </w:r>
          </w:p>
        </w:tc>
      </w:tr>
      <w:tr w:rsidR="0064641E" w:rsidRPr="00C0304F" w14:paraId="717FD153" w14:textId="77777777" w:rsidTr="0064641E">
        <w:tc>
          <w:tcPr>
            <w:tcW w:w="1795" w:type="dxa"/>
          </w:tcPr>
          <w:p w14:paraId="502F7680" w14:textId="77777777" w:rsidR="0064641E" w:rsidRPr="00C0304F" w:rsidRDefault="0064641E" w:rsidP="00723647">
            <w:r w:rsidRPr="00C0304F">
              <w:t>Single-peaked</w:t>
            </w:r>
          </w:p>
        </w:tc>
        <w:tc>
          <w:tcPr>
            <w:tcW w:w="1710" w:type="dxa"/>
          </w:tcPr>
          <w:p w14:paraId="47E1F1BA" w14:textId="77777777" w:rsidR="0064641E" w:rsidRPr="00C0304F" w:rsidRDefault="0064641E" w:rsidP="00723647">
            <w:r w:rsidRPr="00C0304F">
              <w:t>Double-peaked</w:t>
            </w:r>
          </w:p>
        </w:tc>
        <w:tc>
          <w:tcPr>
            <w:tcW w:w="1350" w:type="dxa"/>
          </w:tcPr>
          <w:p w14:paraId="4203559F" w14:textId="77777777" w:rsidR="0064641E" w:rsidRPr="00C0304F" w:rsidRDefault="00A61B08" w:rsidP="00723647">
            <w:r w:rsidRPr="00C0304F">
              <w:t>0.0101</w:t>
            </w:r>
          </w:p>
        </w:tc>
        <w:tc>
          <w:tcPr>
            <w:tcW w:w="1242" w:type="dxa"/>
          </w:tcPr>
          <w:p w14:paraId="14F88191" w14:textId="77777777" w:rsidR="0064641E" w:rsidRPr="00C0304F" w:rsidRDefault="00A61B08" w:rsidP="00723647">
            <w:r w:rsidRPr="00C0304F">
              <w:t>0.0219</w:t>
            </w:r>
          </w:p>
        </w:tc>
        <w:tc>
          <w:tcPr>
            <w:tcW w:w="1484" w:type="dxa"/>
          </w:tcPr>
          <w:p w14:paraId="1C8F521F" w14:textId="77777777" w:rsidR="0064641E" w:rsidRPr="00C0304F" w:rsidRDefault="00A61B08" w:rsidP="00723647">
            <w:r w:rsidRPr="00C0304F">
              <w:t>0.0338</w:t>
            </w:r>
          </w:p>
        </w:tc>
        <w:tc>
          <w:tcPr>
            <w:tcW w:w="1435" w:type="dxa"/>
          </w:tcPr>
          <w:p w14:paraId="414E3CD0" w14:textId="77777777" w:rsidR="0064641E" w:rsidRPr="00C0304F" w:rsidRDefault="00A61B08" w:rsidP="00723647">
            <w:r w:rsidRPr="00C0304F">
              <w:t>4.430</w:t>
            </w:r>
            <w:r w:rsidR="004C4948" w:rsidRPr="00C0304F">
              <w:t>x10</w:t>
            </w:r>
            <w:r w:rsidR="004C4948" w:rsidRPr="00C0304F">
              <w:rPr>
                <w:vertAlign w:val="superscript"/>
              </w:rPr>
              <w:t>-5</w:t>
            </w:r>
          </w:p>
        </w:tc>
      </w:tr>
      <w:tr w:rsidR="0064641E" w:rsidRPr="00C0304F" w14:paraId="4AE1B9D7" w14:textId="77777777" w:rsidTr="0064641E">
        <w:tc>
          <w:tcPr>
            <w:tcW w:w="1795" w:type="dxa"/>
          </w:tcPr>
          <w:p w14:paraId="4F8E4E38" w14:textId="77777777" w:rsidR="0064641E" w:rsidRPr="00C0304F" w:rsidRDefault="0064641E" w:rsidP="00723647">
            <w:r w:rsidRPr="00C0304F">
              <w:t>Single-peaked</w:t>
            </w:r>
          </w:p>
        </w:tc>
        <w:tc>
          <w:tcPr>
            <w:tcW w:w="1710" w:type="dxa"/>
          </w:tcPr>
          <w:p w14:paraId="215B97EE" w14:textId="77777777" w:rsidR="0064641E" w:rsidRPr="00C0304F" w:rsidRDefault="0064641E" w:rsidP="00723647">
            <w:r w:rsidRPr="00C0304F">
              <w:t>Complex</w:t>
            </w:r>
          </w:p>
        </w:tc>
        <w:tc>
          <w:tcPr>
            <w:tcW w:w="1350" w:type="dxa"/>
          </w:tcPr>
          <w:p w14:paraId="51E05A47" w14:textId="77777777" w:rsidR="0064641E" w:rsidRPr="00C0304F" w:rsidRDefault="00A61B08" w:rsidP="004C4948">
            <w:r w:rsidRPr="00C0304F">
              <w:t>0.1928</w:t>
            </w:r>
          </w:p>
        </w:tc>
        <w:tc>
          <w:tcPr>
            <w:tcW w:w="1242" w:type="dxa"/>
          </w:tcPr>
          <w:p w14:paraId="26F44750" w14:textId="77777777" w:rsidR="0064641E" w:rsidRPr="00C0304F" w:rsidRDefault="00A61B08" w:rsidP="00723647">
            <w:r w:rsidRPr="00C0304F">
              <w:t>0.2104</w:t>
            </w:r>
          </w:p>
        </w:tc>
        <w:tc>
          <w:tcPr>
            <w:tcW w:w="1484" w:type="dxa"/>
          </w:tcPr>
          <w:p w14:paraId="046082A9" w14:textId="77777777" w:rsidR="0064641E" w:rsidRPr="00C0304F" w:rsidRDefault="00A61B08" w:rsidP="00723647">
            <w:r w:rsidRPr="00C0304F">
              <w:t>0.2281</w:t>
            </w:r>
          </w:p>
        </w:tc>
        <w:tc>
          <w:tcPr>
            <w:tcW w:w="1435" w:type="dxa"/>
          </w:tcPr>
          <w:p w14:paraId="05814286" w14:textId="77777777" w:rsidR="0064641E" w:rsidRPr="00C0304F" w:rsidRDefault="004C4948" w:rsidP="00723647">
            <w:r w:rsidRPr="00C0304F">
              <w:t>9.561x10</w:t>
            </w:r>
            <w:r w:rsidRPr="00C0304F">
              <w:rPr>
                <w:vertAlign w:val="superscript"/>
              </w:rPr>
              <w:t>-10</w:t>
            </w:r>
          </w:p>
        </w:tc>
      </w:tr>
      <w:tr w:rsidR="0064641E" w:rsidRPr="00C0304F" w14:paraId="1993783A" w14:textId="77777777" w:rsidTr="0064641E">
        <w:tc>
          <w:tcPr>
            <w:tcW w:w="1795" w:type="dxa"/>
          </w:tcPr>
          <w:p w14:paraId="50A3388F" w14:textId="77777777" w:rsidR="0064641E" w:rsidRPr="00C0304F" w:rsidRDefault="0064641E" w:rsidP="00723647">
            <w:r w:rsidRPr="00C0304F">
              <w:t>Double-Peaked</w:t>
            </w:r>
          </w:p>
        </w:tc>
        <w:tc>
          <w:tcPr>
            <w:tcW w:w="1710" w:type="dxa"/>
          </w:tcPr>
          <w:p w14:paraId="20BD9C6B" w14:textId="77777777" w:rsidR="0064641E" w:rsidRPr="00C0304F" w:rsidRDefault="0064641E" w:rsidP="00723647">
            <w:r w:rsidRPr="00C0304F">
              <w:t>Complex</w:t>
            </w:r>
          </w:p>
        </w:tc>
        <w:tc>
          <w:tcPr>
            <w:tcW w:w="1350" w:type="dxa"/>
          </w:tcPr>
          <w:p w14:paraId="25267FE0" w14:textId="77777777" w:rsidR="0064641E" w:rsidRPr="00C0304F" w:rsidRDefault="00A61B08" w:rsidP="00723647">
            <w:r w:rsidRPr="00C0304F">
              <w:t>0.1688</w:t>
            </w:r>
          </w:p>
        </w:tc>
        <w:tc>
          <w:tcPr>
            <w:tcW w:w="1242" w:type="dxa"/>
          </w:tcPr>
          <w:p w14:paraId="51048765" w14:textId="77777777" w:rsidR="0064641E" w:rsidRPr="00C0304F" w:rsidRDefault="00A61B08" w:rsidP="00723647">
            <w:r w:rsidRPr="00C0304F">
              <w:t>0.1885</w:t>
            </w:r>
          </w:p>
        </w:tc>
        <w:tc>
          <w:tcPr>
            <w:tcW w:w="1484" w:type="dxa"/>
          </w:tcPr>
          <w:p w14:paraId="35CB116C" w14:textId="77777777" w:rsidR="0064641E" w:rsidRPr="00C0304F" w:rsidRDefault="00A61B08" w:rsidP="00723647">
            <w:r w:rsidRPr="00C0304F">
              <w:t>0.2083</w:t>
            </w:r>
          </w:p>
        </w:tc>
        <w:tc>
          <w:tcPr>
            <w:tcW w:w="1435" w:type="dxa"/>
          </w:tcPr>
          <w:p w14:paraId="4A682D02" w14:textId="77777777" w:rsidR="0064641E" w:rsidRPr="00C0304F" w:rsidRDefault="004C4948" w:rsidP="00723647">
            <w:r w:rsidRPr="00C0304F">
              <w:t>9.561x10</w:t>
            </w:r>
            <w:r w:rsidRPr="00C0304F">
              <w:rPr>
                <w:vertAlign w:val="superscript"/>
              </w:rPr>
              <w:t>-10</w:t>
            </w:r>
          </w:p>
        </w:tc>
      </w:tr>
    </w:tbl>
    <w:p w14:paraId="4977FC05" w14:textId="77777777" w:rsidR="00D1192A" w:rsidRPr="00C0304F" w:rsidRDefault="00D1192A" w:rsidP="00D1192A"/>
    <w:p w14:paraId="17C8516D" w14:textId="49D1DFB2" w:rsidR="00E36FF7" w:rsidRPr="00C0304F" w:rsidRDefault="00E36FF7" w:rsidP="00E37FCC">
      <w:r w:rsidRPr="00C0304F">
        <w:rPr>
          <w:b/>
        </w:rPr>
        <w:t>5</w:t>
      </w:r>
      <w:r w:rsidR="00431C8C" w:rsidRPr="00C0304F">
        <w:rPr>
          <w:b/>
        </w:rPr>
        <w:t>.</w:t>
      </w:r>
      <w:r w:rsidRPr="00C0304F">
        <w:rPr>
          <w:b/>
        </w:rPr>
        <w:t xml:space="preserve"> Figure 3B</w:t>
      </w:r>
      <w:r w:rsidR="00431C8C" w:rsidRPr="00C0304F">
        <w:t xml:space="preserve"> </w:t>
      </w:r>
    </w:p>
    <w:p w14:paraId="1B0C3970" w14:textId="6EBD4C5E" w:rsidR="00E37FCC" w:rsidRPr="00C0304F" w:rsidRDefault="00E37FCC" w:rsidP="00E37FCC">
      <w:r w:rsidRPr="00C0304F">
        <w:t xml:space="preserve">1-way ANOVA comparing pairwise noise correlations with FRA class as a predictor in ferret.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2233"/>
        <w:gridCol w:w="1559"/>
        <w:gridCol w:w="1560"/>
        <w:gridCol w:w="1701"/>
      </w:tblGrid>
      <w:tr w:rsidR="00E37FCC" w:rsidRPr="00C0304F" w14:paraId="0C495E6F" w14:textId="77777777" w:rsidTr="00723647">
        <w:tc>
          <w:tcPr>
            <w:tcW w:w="1419" w:type="dxa"/>
          </w:tcPr>
          <w:p w14:paraId="3F044D90" w14:textId="77777777" w:rsidR="00E37FCC" w:rsidRPr="00C0304F" w:rsidRDefault="00E37FCC" w:rsidP="00723647">
            <w:r w:rsidRPr="00C0304F">
              <w:t>Dependent variable</w:t>
            </w:r>
          </w:p>
        </w:tc>
        <w:tc>
          <w:tcPr>
            <w:tcW w:w="2233" w:type="dxa"/>
          </w:tcPr>
          <w:p w14:paraId="232058EB" w14:textId="77777777" w:rsidR="00E37FCC" w:rsidRPr="00C0304F" w:rsidRDefault="00E37FCC" w:rsidP="00723647">
            <w:r w:rsidRPr="00C0304F">
              <w:t>Degrees of freedom</w:t>
            </w:r>
          </w:p>
        </w:tc>
        <w:tc>
          <w:tcPr>
            <w:tcW w:w="1559" w:type="dxa"/>
          </w:tcPr>
          <w:p w14:paraId="2AFFED6A" w14:textId="77777777" w:rsidR="00E37FCC" w:rsidRPr="00C0304F" w:rsidRDefault="00E37FCC" w:rsidP="00723647">
            <w:r w:rsidRPr="00C0304F">
              <w:t>F value</w:t>
            </w:r>
          </w:p>
        </w:tc>
        <w:tc>
          <w:tcPr>
            <w:tcW w:w="1560" w:type="dxa"/>
          </w:tcPr>
          <w:p w14:paraId="3743BE45" w14:textId="77777777" w:rsidR="00E37FCC" w:rsidRPr="00C0304F" w:rsidRDefault="00E37FCC" w:rsidP="00723647">
            <w:r w:rsidRPr="00C0304F">
              <w:t>p value</w:t>
            </w:r>
          </w:p>
        </w:tc>
        <w:tc>
          <w:tcPr>
            <w:tcW w:w="1701" w:type="dxa"/>
          </w:tcPr>
          <w:p w14:paraId="3CE730D6" w14:textId="77777777" w:rsidR="00E37FCC" w:rsidRPr="00C0304F" w:rsidRDefault="00E37FCC" w:rsidP="00723647">
            <w:r w:rsidRPr="00C0304F">
              <w:t>Effect size (Eta squared)</w:t>
            </w:r>
          </w:p>
        </w:tc>
      </w:tr>
      <w:tr w:rsidR="00E37FCC" w:rsidRPr="00C0304F" w14:paraId="122FDFDF" w14:textId="77777777" w:rsidTr="00723647">
        <w:tc>
          <w:tcPr>
            <w:tcW w:w="1419" w:type="dxa"/>
          </w:tcPr>
          <w:p w14:paraId="75B86FE2" w14:textId="7EE6BE49" w:rsidR="00E37FCC" w:rsidRPr="00C0304F" w:rsidRDefault="00E37FCC" w:rsidP="00723647">
            <w:r w:rsidRPr="00C0304F">
              <w:t xml:space="preserve">FRA </w:t>
            </w:r>
            <w:r w:rsidR="00320910" w:rsidRPr="00C0304F">
              <w:t>class</w:t>
            </w:r>
          </w:p>
        </w:tc>
        <w:tc>
          <w:tcPr>
            <w:tcW w:w="2233" w:type="dxa"/>
          </w:tcPr>
          <w:p w14:paraId="3FA92DB5" w14:textId="77777777" w:rsidR="00E37FCC" w:rsidRPr="00C0304F" w:rsidRDefault="00E37FCC" w:rsidP="00723647">
            <w:r w:rsidRPr="00C0304F">
              <w:t>2</w:t>
            </w:r>
          </w:p>
        </w:tc>
        <w:tc>
          <w:tcPr>
            <w:tcW w:w="1559" w:type="dxa"/>
          </w:tcPr>
          <w:p w14:paraId="584B554A" w14:textId="77777777" w:rsidR="00E37FCC" w:rsidRPr="00C0304F" w:rsidRDefault="00A61B08" w:rsidP="00723647">
            <w:r w:rsidRPr="00C0304F">
              <w:t>109.5</w:t>
            </w:r>
          </w:p>
        </w:tc>
        <w:tc>
          <w:tcPr>
            <w:tcW w:w="1560" w:type="dxa"/>
          </w:tcPr>
          <w:p w14:paraId="5D13DE3C" w14:textId="77777777" w:rsidR="00E37FCC" w:rsidRPr="00C0304F" w:rsidRDefault="00A61B08" w:rsidP="00723647">
            <w:r w:rsidRPr="00C0304F">
              <w:t>9.405</w:t>
            </w:r>
            <w:r w:rsidR="00F1617D" w:rsidRPr="00C0304F">
              <w:t>x10</w:t>
            </w:r>
            <w:r w:rsidRPr="00C0304F">
              <w:rPr>
                <w:vertAlign w:val="superscript"/>
              </w:rPr>
              <w:t>-48</w:t>
            </w:r>
          </w:p>
        </w:tc>
        <w:tc>
          <w:tcPr>
            <w:tcW w:w="1701" w:type="dxa"/>
          </w:tcPr>
          <w:p w14:paraId="5E418248" w14:textId="77777777" w:rsidR="00E37FCC" w:rsidRPr="00C0304F" w:rsidRDefault="00E37FCC" w:rsidP="00F1617D">
            <w:r w:rsidRPr="00C0304F">
              <w:t>0.0</w:t>
            </w:r>
            <w:r w:rsidR="00A61B08" w:rsidRPr="00C0304F">
              <w:t>22</w:t>
            </w:r>
          </w:p>
        </w:tc>
      </w:tr>
    </w:tbl>
    <w:p w14:paraId="51AC2E13" w14:textId="77777777" w:rsidR="004855F9" w:rsidRPr="00C0304F" w:rsidRDefault="004855F9" w:rsidP="00E37FCC"/>
    <w:p w14:paraId="5570745B" w14:textId="77777777" w:rsidR="00E37FCC" w:rsidRPr="00C0304F" w:rsidRDefault="00E37FCC" w:rsidP="00E37FCC">
      <w:r w:rsidRPr="00C0304F">
        <w:t xml:space="preserve">Post-hoc pairwise comparisons between noise correlations of different FRA types performed on results of the above ANOVA, using Tukey’s HSD criterion.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1710"/>
        <w:gridCol w:w="1350"/>
        <w:gridCol w:w="1242"/>
        <w:gridCol w:w="1484"/>
        <w:gridCol w:w="1435"/>
      </w:tblGrid>
      <w:tr w:rsidR="00E37FCC" w:rsidRPr="00C0304F" w14:paraId="312DFABE" w14:textId="77777777" w:rsidTr="00723647">
        <w:tc>
          <w:tcPr>
            <w:tcW w:w="3505" w:type="dxa"/>
            <w:gridSpan w:val="2"/>
          </w:tcPr>
          <w:p w14:paraId="562C9EA6" w14:textId="77777777" w:rsidR="00E37FCC" w:rsidRPr="00C0304F" w:rsidRDefault="00E37FCC" w:rsidP="00723647">
            <w:r w:rsidRPr="00C0304F">
              <w:t>Compared FRA types</w:t>
            </w:r>
          </w:p>
        </w:tc>
        <w:tc>
          <w:tcPr>
            <w:tcW w:w="1350" w:type="dxa"/>
          </w:tcPr>
          <w:p w14:paraId="08CF2D1C" w14:textId="77777777" w:rsidR="00E37FCC" w:rsidRPr="00C0304F" w:rsidRDefault="00E37FCC" w:rsidP="00723647">
            <w:r w:rsidRPr="00C0304F">
              <w:t>Lower confidence interval</w:t>
            </w:r>
          </w:p>
        </w:tc>
        <w:tc>
          <w:tcPr>
            <w:tcW w:w="1242" w:type="dxa"/>
          </w:tcPr>
          <w:p w14:paraId="0F0246BE" w14:textId="77777777" w:rsidR="00E37FCC" w:rsidRPr="00C0304F" w:rsidRDefault="00E37FCC" w:rsidP="00723647">
            <w:r w:rsidRPr="00C0304F">
              <w:t>Mean</w:t>
            </w:r>
          </w:p>
        </w:tc>
        <w:tc>
          <w:tcPr>
            <w:tcW w:w="1484" w:type="dxa"/>
          </w:tcPr>
          <w:p w14:paraId="6560AA02" w14:textId="77777777" w:rsidR="00E37FCC" w:rsidRPr="00C0304F" w:rsidRDefault="00E37FCC" w:rsidP="00723647">
            <w:r w:rsidRPr="00C0304F">
              <w:t>Upper confidence interval</w:t>
            </w:r>
          </w:p>
        </w:tc>
        <w:tc>
          <w:tcPr>
            <w:tcW w:w="1435" w:type="dxa"/>
          </w:tcPr>
          <w:p w14:paraId="4866F767" w14:textId="77777777" w:rsidR="00E37FCC" w:rsidRPr="00C0304F" w:rsidRDefault="00E37FCC" w:rsidP="00723647">
            <w:r w:rsidRPr="00C0304F">
              <w:t>p value</w:t>
            </w:r>
          </w:p>
        </w:tc>
      </w:tr>
      <w:tr w:rsidR="00E37FCC" w:rsidRPr="00C0304F" w14:paraId="0C401BBD" w14:textId="77777777" w:rsidTr="00723647">
        <w:tc>
          <w:tcPr>
            <w:tcW w:w="1795" w:type="dxa"/>
          </w:tcPr>
          <w:p w14:paraId="4BF91A13" w14:textId="77777777" w:rsidR="00E37FCC" w:rsidRPr="00C0304F" w:rsidRDefault="00E37FCC" w:rsidP="00723647">
            <w:r w:rsidRPr="00C0304F">
              <w:t>Single-peaked</w:t>
            </w:r>
          </w:p>
        </w:tc>
        <w:tc>
          <w:tcPr>
            <w:tcW w:w="1710" w:type="dxa"/>
          </w:tcPr>
          <w:p w14:paraId="2E6A1695" w14:textId="77777777" w:rsidR="00E37FCC" w:rsidRPr="00C0304F" w:rsidRDefault="00E37FCC" w:rsidP="00723647">
            <w:r w:rsidRPr="00C0304F">
              <w:t>Double-peaked</w:t>
            </w:r>
          </w:p>
        </w:tc>
        <w:tc>
          <w:tcPr>
            <w:tcW w:w="1350" w:type="dxa"/>
          </w:tcPr>
          <w:p w14:paraId="36F11724" w14:textId="77777777" w:rsidR="00E37FCC" w:rsidRPr="00C0304F" w:rsidRDefault="00A61B08" w:rsidP="00723647">
            <w:r w:rsidRPr="00C0304F">
              <w:t>-0.0066</w:t>
            </w:r>
          </w:p>
        </w:tc>
        <w:tc>
          <w:tcPr>
            <w:tcW w:w="1242" w:type="dxa"/>
          </w:tcPr>
          <w:p w14:paraId="5A117EB8" w14:textId="77777777" w:rsidR="00E37FCC" w:rsidRPr="00C0304F" w:rsidRDefault="00A61B08" w:rsidP="00723647">
            <w:r w:rsidRPr="00C0304F">
              <w:t>-0.0066</w:t>
            </w:r>
          </w:p>
        </w:tc>
        <w:tc>
          <w:tcPr>
            <w:tcW w:w="1484" w:type="dxa"/>
          </w:tcPr>
          <w:p w14:paraId="6C372CFC" w14:textId="77777777" w:rsidR="00E37FCC" w:rsidRPr="00C0304F" w:rsidRDefault="00A61B08" w:rsidP="00723647">
            <w:r w:rsidRPr="00C0304F">
              <w:t>0.0103</w:t>
            </w:r>
          </w:p>
        </w:tc>
        <w:tc>
          <w:tcPr>
            <w:tcW w:w="1435" w:type="dxa"/>
          </w:tcPr>
          <w:p w14:paraId="1BC5BF14" w14:textId="77777777" w:rsidR="00E37FCC" w:rsidRPr="00C0304F" w:rsidRDefault="00A61B08" w:rsidP="00723647">
            <w:r w:rsidRPr="00C0304F">
              <w:t>0.862</w:t>
            </w:r>
          </w:p>
        </w:tc>
      </w:tr>
      <w:tr w:rsidR="00E37FCC" w:rsidRPr="00C0304F" w14:paraId="52140BBB" w14:textId="77777777" w:rsidTr="00723647">
        <w:tc>
          <w:tcPr>
            <w:tcW w:w="1795" w:type="dxa"/>
          </w:tcPr>
          <w:p w14:paraId="1274E15A" w14:textId="77777777" w:rsidR="00E37FCC" w:rsidRPr="00C0304F" w:rsidRDefault="00E37FCC" w:rsidP="00723647">
            <w:r w:rsidRPr="00C0304F">
              <w:t>Single-peaked</w:t>
            </w:r>
          </w:p>
        </w:tc>
        <w:tc>
          <w:tcPr>
            <w:tcW w:w="1710" w:type="dxa"/>
          </w:tcPr>
          <w:p w14:paraId="28F5FC4F" w14:textId="77777777" w:rsidR="00E37FCC" w:rsidRPr="00C0304F" w:rsidRDefault="00E37FCC" w:rsidP="00723647">
            <w:r w:rsidRPr="00C0304F">
              <w:t>Complex</w:t>
            </w:r>
          </w:p>
        </w:tc>
        <w:tc>
          <w:tcPr>
            <w:tcW w:w="1350" w:type="dxa"/>
          </w:tcPr>
          <w:p w14:paraId="7FDD2887" w14:textId="77777777" w:rsidR="00E37FCC" w:rsidRPr="00C0304F" w:rsidRDefault="00A61B08" w:rsidP="00723647">
            <w:r w:rsidRPr="00C0304F">
              <w:t>0.0662</w:t>
            </w:r>
          </w:p>
        </w:tc>
        <w:tc>
          <w:tcPr>
            <w:tcW w:w="1242" w:type="dxa"/>
          </w:tcPr>
          <w:p w14:paraId="6268CE55" w14:textId="77777777" w:rsidR="00E37FCC" w:rsidRPr="00C0304F" w:rsidRDefault="00A61B08" w:rsidP="00723647">
            <w:r w:rsidRPr="00C0304F">
              <w:t>0.0788</w:t>
            </w:r>
          </w:p>
        </w:tc>
        <w:tc>
          <w:tcPr>
            <w:tcW w:w="1484" w:type="dxa"/>
          </w:tcPr>
          <w:p w14:paraId="69C0867E" w14:textId="77777777" w:rsidR="00E37FCC" w:rsidRPr="00C0304F" w:rsidRDefault="00A61B08" w:rsidP="00723647">
            <w:r w:rsidRPr="00C0304F">
              <w:t>0.0913</w:t>
            </w:r>
          </w:p>
        </w:tc>
        <w:tc>
          <w:tcPr>
            <w:tcW w:w="1435" w:type="dxa"/>
          </w:tcPr>
          <w:p w14:paraId="19F47408" w14:textId="77777777" w:rsidR="00E37FCC" w:rsidRPr="00C0304F" w:rsidRDefault="00E37FCC" w:rsidP="00723647">
            <w:r w:rsidRPr="00C0304F">
              <w:t>9.561x10</w:t>
            </w:r>
            <w:r w:rsidRPr="00C0304F">
              <w:rPr>
                <w:vertAlign w:val="superscript"/>
              </w:rPr>
              <w:t>-10</w:t>
            </w:r>
          </w:p>
        </w:tc>
      </w:tr>
      <w:tr w:rsidR="00E37FCC" w:rsidRPr="00C0304F" w14:paraId="63C2785B" w14:textId="77777777" w:rsidTr="00723647">
        <w:tc>
          <w:tcPr>
            <w:tcW w:w="1795" w:type="dxa"/>
          </w:tcPr>
          <w:p w14:paraId="6612E0F2" w14:textId="77777777" w:rsidR="00E37FCC" w:rsidRPr="00C0304F" w:rsidRDefault="00E37FCC" w:rsidP="00723647">
            <w:r w:rsidRPr="00C0304F">
              <w:t>Double-Peaked</w:t>
            </w:r>
          </w:p>
        </w:tc>
        <w:tc>
          <w:tcPr>
            <w:tcW w:w="1710" w:type="dxa"/>
          </w:tcPr>
          <w:p w14:paraId="7D4C7FD9" w14:textId="77777777" w:rsidR="00E37FCC" w:rsidRPr="00C0304F" w:rsidRDefault="00E37FCC" w:rsidP="00723647">
            <w:r w:rsidRPr="00C0304F">
              <w:t>Complex</w:t>
            </w:r>
          </w:p>
        </w:tc>
        <w:tc>
          <w:tcPr>
            <w:tcW w:w="1350" w:type="dxa"/>
          </w:tcPr>
          <w:p w14:paraId="7AD1A329" w14:textId="77777777" w:rsidR="00E37FCC" w:rsidRPr="00C0304F" w:rsidRDefault="00A61B08" w:rsidP="00723647">
            <w:r w:rsidRPr="00C0304F">
              <w:t>0.0629</w:t>
            </w:r>
          </w:p>
        </w:tc>
        <w:tc>
          <w:tcPr>
            <w:tcW w:w="1242" w:type="dxa"/>
          </w:tcPr>
          <w:p w14:paraId="576D5B7F" w14:textId="77777777" w:rsidR="00E37FCC" w:rsidRPr="00C0304F" w:rsidRDefault="00A61B08" w:rsidP="00723647">
            <w:r w:rsidRPr="00C0304F">
              <w:t>0.0769</w:t>
            </w:r>
          </w:p>
        </w:tc>
        <w:tc>
          <w:tcPr>
            <w:tcW w:w="1484" w:type="dxa"/>
          </w:tcPr>
          <w:p w14:paraId="195BFDDE" w14:textId="77777777" w:rsidR="00E37FCC" w:rsidRPr="00C0304F" w:rsidRDefault="00A61B08" w:rsidP="00723647">
            <w:r w:rsidRPr="00C0304F">
              <w:t>0.0910</w:t>
            </w:r>
          </w:p>
        </w:tc>
        <w:tc>
          <w:tcPr>
            <w:tcW w:w="1435" w:type="dxa"/>
          </w:tcPr>
          <w:p w14:paraId="7926E23F" w14:textId="77777777" w:rsidR="00E37FCC" w:rsidRPr="00C0304F" w:rsidRDefault="00E37FCC" w:rsidP="00723647">
            <w:r w:rsidRPr="00C0304F">
              <w:t>9.561x10</w:t>
            </w:r>
            <w:r w:rsidRPr="00C0304F">
              <w:rPr>
                <w:vertAlign w:val="superscript"/>
              </w:rPr>
              <w:t>-10</w:t>
            </w:r>
          </w:p>
        </w:tc>
      </w:tr>
    </w:tbl>
    <w:p w14:paraId="3690236F" w14:textId="77777777" w:rsidR="00D1192A" w:rsidRPr="00C0304F" w:rsidRDefault="00D1192A" w:rsidP="00852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2AC3423" w14:textId="77777777" w:rsidR="006330EB" w:rsidRPr="00C0304F" w:rsidRDefault="006330EB" w:rsidP="00874670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3DA67FF" w14:textId="273AAD32" w:rsidR="00E36FF7" w:rsidRPr="00C0304F" w:rsidRDefault="005C7DF5" w:rsidP="00874670">
      <w:r w:rsidRPr="00C0304F">
        <w:rPr>
          <w:b/>
        </w:rPr>
        <w:t>6</w:t>
      </w:r>
      <w:r w:rsidR="00035789" w:rsidRPr="00C0304F">
        <w:rPr>
          <w:b/>
        </w:rPr>
        <w:t>.</w:t>
      </w:r>
      <w:r w:rsidR="00E36FF7" w:rsidRPr="00C0304F">
        <w:rPr>
          <w:b/>
        </w:rPr>
        <w:t xml:space="preserve"> Figure 4C</w:t>
      </w:r>
      <w:r w:rsidR="00035789" w:rsidRPr="00C0304F">
        <w:t xml:space="preserve"> </w:t>
      </w:r>
    </w:p>
    <w:p w14:paraId="33590240" w14:textId="5AEA1985" w:rsidR="00874670" w:rsidRPr="00C0304F" w:rsidRDefault="00874670" w:rsidP="00874670">
      <w:r w:rsidRPr="00C0304F">
        <w:t>Unpaired t-test comparing the BF variation along the tonotopic gradient in single-peaked neurons and in double-peaked neurons in ferret.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075"/>
        <w:gridCol w:w="1165"/>
        <w:gridCol w:w="991"/>
        <w:gridCol w:w="1040"/>
        <w:gridCol w:w="1338"/>
        <w:gridCol w:w="1533"/>
      </w:tblGrid>
      <w:tr w:rsidR="00874670" w:rsidRPr="00C0304F" w14:paraId="1CC1BA81" w14:textId="77777777" w:rsidTr="00C24C1D">
        <w:trPr>
          <w:trHeight w:val="263"/>
        </w:trPr>
        <w:tc>
          <w:tcPr>
            <w:tcW w:w="1787" w:type="dxa"/>
          </w:tcPr>
          <w:p w14:paraId="78B81B6D" w14:textId="77777777" w:rsidR="00874670" w:rsidRPr="00C0304F" w:rsidRDefault="00874670" w:rsidP="00C24C1D">
            <w:pPr>
              <w:jc w:val="center"/>
            </w:pPr>
            <w:r w:rsidRPr="00C0304F">
              <w:t>Group</w:t>
            </w:r>
          </w:p>
        </w:tc>
        <w:tc>
          <w:tcPr>
            <w:tcW w:w="1075" w:type="dxa"/>
          </w:tcPr>
          <w:p w14:paraId="4A011E0E" w14:textId="77777777" w:rsidR="00874670" w:rsidRPr="00C0304F" w:rsidRDefault="00874670" w:rsidP="00C24C1D">
            <w:pPr>
              <w:jc w:val="center"/>
            </w:pPr>
            <w:r w:rsidRPr="00C0304F">
              <w:t>Mean</w:t>
            </w:r>
          </w:p>
        </w:tc>
        <w:tc>
          <w:tcPr>
            <w:tcW w:w="1165" w:type="dxa"/>
          </w:tcPr>
          <w:p w14:paraId="27EAE9DC" w14:textId="77777777" w:rsidR="00874670" w:rsidRPr="00C0304F" w:rsidRDefault="00874670" w:rsidP="00C24C1D">
            <w:pPr>
              <w:jc w:val="center"/>
            </w:pPr>
            <w:r w:rsidRPr="00C0304F">
              <w:t>Standard deviation</w:t>
            </w:r>
          </w:p>
        </w:tc>
        <w:tc>
          <w:tcPr>
            <w:tcW w:w="991" w:type="dxa"/>
          </w:tcPr>
          <w:p w14:paraId="7A1A708A" w14:textId="77777777" w:rsidR="00874670" w:rsidRPr="00C0304F" w:rsidRDefault="00874670" w:rsidP="00C24C1D">
            <w:pPr>
              <w:jc w:val="center"/>
            </w:pPr>
            <w:r w:rsidRPr="00C0304F">
              <w:t>N (FRA)</w:t>
            </w:r>
          </w:p>
        </w:tc>
        <w:tc>
          <w:tcPr>
            <w:tcW w:w="1040" w:type="dxa"/>
          </w:tcPr>
          <w:p w14:paraId="635C533E" w14:textId="77777777" w:rsidR="00874670" w:rsidRPr="00C0304F" w:rsidRDefault="00874670" w:rsidP="00C24C1D">
            <w:pPr>
              <w:jc w:val="center"/>
            </w:pPr>
            <w:r w:rsidRPr="00C0304F">
              <w:t>t value</w:t>
            </w:r>
          </w:p>
        </w:tc>
        <w:tc>
          <w:tcPr>
            <w:tcW w:w="1338" w:type="dxa"/>
          </w:tcPr>
          <w:p w14:paraId="67F26E21" w14:textId="77777777" w:rsidR="00874670" w:rsidRPr="00C0304F" w:rsidRDefault="00874670" w:rsidP="00C24C1D">
            <w:pPr>
              <w:jc w:val="center"/>
            </w:pPr>
            <w:r w:rsidRPr="00C0304F">
              <w:t>p value</w:t>
            </w:r>
          </w:p>
        </w:tc>
        <w:tc>
          <w:tcPr>
            <w:tcW w:w="1533" w:type="dxa"/>
          </w:tcPr>
          <w:p w14:paraId="5A77C473" w14:textId="77777777" w:rsidR="00874670" w:rsidRPr="00C0304F" w:rsidRDefault="00874670" w:rsidP="00C24C1D">
            <w:pPr>
              <w:jc w:val="center"/>
            </w:pPr>
            <w:r w:rsidRPr="00C0304F">
              <w:t>Effect size</w:t>
            </w:r>
          </w:p>
          <w:p w14:paraId="3FB84F29" w14:textId="77777777" w:rsidR="00874670" w:rsidRPr="00C0304F" w:rsidRDefault="00874670" w:rsidP="00C24C1D">
            <w:pPr>
              <w:jc w:val="center"/>
            </w:pPr>
            <w:r w:rsidRPr="00C0304F">
              <w:t>(Cohen’s d)</w:t>
            </w:r>
          </w:p>
        </w:tc>
      </w:tr>
      <w:tr w:rsidR="00874670" w:rsidRPr="00C0304F" w14:paraId="22A33202" w14:textId="77777777" w:rsidTr="00C24C1D">
        <w:trPr>
          <w:trHeight w:val="257"/>
        </w:trPr>
        <w:tc>
          <w:tcPr>
            <w:tcW w:w="1787" w:type="dxa"/>
          </w:tcPr>
          <w:p w14:paraId="4F1C9BD6" w14:textId="77777777" w:rsidR="00874670" w:rsidRPr="00C0304F" w:rsidRDefault="00874670" w:rsidP="00C24C1D">
            <w:r w:rsidRPr="00C0304F">
              <w:t>Single-peaked</w:t>
            </w:r>
          </w:p>
        </w:tc>
        <w:tc>
          <w:tcPr>
            <w:tcW w:w="1075" w:type="dxa"/>
          </w:tcPr>
          <w:p w14:paraId="17934AB2" w14:textId="77777777" w:rsidR="00874670" w:rsidRPr="00C0304F" w:rsidRDefault="001162F4" w:rsidP="00C24C1D">
            <w:r w:rsidRPr="00C0304F">
              <w:t>0.755</w:t>
            </w:r>
          </w:p>
        </w:tc>
        <w:tc>
          <w:tcPr>
            <w:tcW w:w="1165" w:type="dxa"/>
          </w:tcPr>
          <w:p w14:paraId="08A53C00" w14:textId="77777777" w:rsidR="00874670" w:rsidRPr="00C0304F" w:rsidRDefault="001162F4" w:rsidP="00C24C1D">
            <w:r w:rsidRPr="00C0304F">
              <w:t>0.746</w:t>
            </w:r>
          </w:p>
        </w:tc>
        <w:tc>
          <w:tcPr>
            <w:tcW w:w="991" w:type="dxa"/>
          </w:tcPr>
          <w:p w14:paraId="45FB7B5B" w14:textId="77777777" w:rsidR="00874670" w:rsidRPr="00C0304F" w:rsidRDefault="001162F4" w:rsidP="00C24C1D">
            <w:r w:rsidRPr="00C0304F">
              <w:t>296</w:t>
            </w:r>
          </w:p>
        </w:tc>
        <w:tc>
          <w:tcPr>
            <w:tcW w:w="1040" w:type="dxa"/>
            <w:vMerge w:val="restart"/>
          </w:tcPr>
          <w:p w14:paraId="5BB8241B" w14:textId="77777777" w:rsidR="00874670" w:rsidRPr="00C0304F" w:rsidRDefault="001162F4" w:rsidP="00C24C1D">
            <w:r w:rsidRPr="00C0304F">
              <w:t>2.425</w:t>
            </w:r>
          </w:p>
        </w:tc>
        <w:tc>
          <w:tcPr>
            <w:tcW w:w="1338" w:type="dxa"/>
            <w:vMerge w:val="restart"/>
          </w:tcPr>
          <w:p w14:paraId="424DF5AD" w14:textId="77777777" w:rsidR="00874670" w:rsidRPr="00C0304F" w:rsidRDefault="001162F4" w:rsidP="00C24C1D">
            <w:pPr>
              <w:rPr>
                <w:vertAlign w:val="superscript"/>
              </w:rPr>
            </w:pPr>
            <w:r w:rsidRPr="00C0304F">
              <w:t>0.016</w:t>
            </w:r>
          </w:p>
        </w:tc>
        <w:tc>
          <w:tcPr>
            <w:tcW w:w="1533" w:type="dxa"/>
            <w:vMerge w:val="restart"/>
          </w:tcPr>
          <w:p w14:paraId="43D6CDD5" w14:textId="77777777" w:rsidR="00874670" w:rsidRPr="00C0304F" w:rsidRDefault="001162F4" w:rsidP="00C24C1D">
            <w:r w:rsidRPr="00C0304F">
              <w:t>0.216</w:t>
            </w:r>
          </w:p>
        </w:tc>
      </w:tr>
      <w:tr w:rsidR="00874670" w:rsidRPr="00C0304F" w14:paraId="5BADBBC4" w14:textId="77777777" w:rsidTr="00C24C1D">
        <w:trPr>
          <w:trHeight w:val="392"/>
        </w:trPr>
        <w:tc>
          <w:tcPr>
            <w:tcW w:w="1787" w:type="dxa"/>
          </w:tcPr>
          <w:p w14:paraId="69C23118" w14:textId="77777777" w:rsidR="00874670" w:rsidRPr="00C0304F" w:rsidRDefault="00874670" w:rsidP="00C24C1D">
            <w:r w:rsidRPr="00C0304F">
              <w:t>Double-peaked</w:t>
            </w:r>
          </w:p>
        </w:tc>
        <w:tc>
          <w:tcPr>
            <w:tcW w:w="1075" w:type="dxa"/>
          </w:tcPr>
          <w:p w14:paraId="59E252AA" w14:textId="77777777" w:rsidR="00874670" w:rsidRPr="00C0304F" w:rsidRDefault="001162F4" w:rsidP="00C24C1D">
            <w:r w:rsidRPr="00C0304F">
              <w:t>0.914</w:t>
            </w:r>
          </w:p>
        </w:tc>
        <w:tc>
          <w:tcPr>
            <w:tcW w:w="1165" w:type="dxa"/>
          </w:tcPr>
          <w:p w14:paraId="5A8A21A4" w14:textId="77777777" w:rsidR="00874670" w:rsidRPr="00C0304F" w:rsidRDefault="001162F4" w:rsidP="00C24C1D">
            <w:r w:rsidRPr="00C0304F">
              <w:t>0.725</w:t>
            </w:r>
          </w:p>
        </w:tc>
        <w:tc>
          <w:tcPr>
            <w:tcW w:w="991" w:type="dxa"/>
          </w:tcPr>
          <w:p w14:paraId="00398146" w14:textId="77777777" w:rsidR="00874670" w:rsidRPr="00C0304F" w:rsidRDefault="001162F4" w:rsidP="00C24C1D">
            <w:r w:rsidRPr="00C0304F">
              <w:t>220</w:t>
            </w:r>
          </w:p>
        </w:tc>
        <w:tc>
          <w:tcPr>
            <w:tcW w:w="1040" w:type="dxa"/>
            <w:vMerge/>
          </w:tcPr>
          <w:p w14:paraId="39211519" w14:textId="77777777" w:rsidR="00874670" w:rsidRPr="00C0304F" w:rsidRDefault="00874670" w:rsidP="00C24C1D"/>
        </w:tc>
        <w:tc>
          <w:tcPr>
            <w:tcW w:w="1338" w:type="dxa"/>
            <w:vMerge/>
          </w:tcPr>
          <w:p w14:paraId="4533428A" w14:textId="77777777" w:rsidR="00874670" w:rsidRPr="00C0304F" w:rsidRDefault="00874670" w:rsidP="00C24C1D"/>
        </w:tc>
        <w:tc>
          <w:tcPr>
            <w:tcW w:w="1533" w:type="dxa"/>
            <w:vMerge/>
          </w:tcPr>
          <w:p w14:paraId="5A8C83EB" w14:textId="77777777" w:rsidR="00874670" w:rsidRPr="00C0304F" w:rsidRDefault="00874670" w:rsidP="00C24C1D"/>
        </w:tc>
      </w:tr>
    </w:tbl>
    <w:p w14:paraId="33092F89" w14:textId="77777777" w:rsidR="001162F4" w:rsidRPr="00C0304F" w:rsidRDefault="001162F4" w:rsidP="00116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7172BD" w14:textId="2E597069" w:rsidR="001162F4" w:rsidRPr="00C0304F" w:rsidRDefault="001162F4" w:rsidP="001162F4">
      <w:r w:rsidRPr="00C0304F">
        <w:t>Unpaired t-test comparing the BF variation along the tonotopic gradient in single-peaked neurons and in complex neurons in ferret.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075"/>
        <w:gridCol w:w="1165"/>
        <w:gridCol w:w="991"/>
        <w:gridCol w:w="1040"/>
        <w:gridCol w:w="1338"/>
        <w:gridCol w:w="1533"/>
      </w:tblGrid>
      <w:tr w:rsidR="001162F4" w:rsidRPr="00C0304F" w14:paraId="7829A637" w14:textId="77777777" w:rsidTr="00C24C1D">
        <w:trPr>
          <w:trHeight w:val="263"/>
        </w:trPr>
        <w:tc>
          <w:tcPr>
            <w:tcW w:w="1787" w:type="dxa"/>
          </w:tcPr>
          <w:p w14:paraId="554B7993" w14:textId="77777777" w:rsidR="001162F4" w:rsidRPr="00C0304F" w:rsidRDefault="001162F4" w:rsidP="00C24C1D">
            <w:pPr>
              <w:jc w:val="center"/>
            </w:pPr>
            <w:r w:rsidRPr="00C0304F">
              <w:t>Group</w:t>
            </w:r>
          </w:p>
        </w:tc>
        <w:tc>
          <w:tcPr>
            <w:tcW w:w="1075" w:type="dxa"/>
          </w:tcPr>
          <w:p w14:paraId="4B83F018" w14:textId="77777777" w:rsidR="001162F4" w:rsidRPr="00C0304F" w:rsidRDefault="001162F4" w:rsidP="00C24C1D">
            <w:pPr>
              <w:jc w:val="center"/>
            </w:pPr>
            <w:r w:rsidRPr="00C0304F">
              <w:t>Mean</w:t>
            </w:r>
          </w:p>
        </w:tc>
        <w:tc>
          <w:tcPr>
            <w:tcW w:w="1165" w:type="dxa"/>
          </w:tcPr>
          <w:p w14:paraId="1F9EA495" w14:textId="77777777" w:rsidR="001162F4" w:rsidRPr="00C0304F" w:rsidRDefault="001162F4" w:rsidP="00C24C1D">
            <w:pPr>
              <w:jc w:val="center"/>
            </w:pPr>
            <w:r w:rsidRPr="00C0304F">
              <w:t>Standard deviation</w:t>
            </w:r>
          </w:p>
        </w:tc>
        <w:tc>
          <w:tcPr>
            <w:tcW w:w="991" w:type="dxa"/>
          </w:tcPr>
          <w:p w14:paraId="241CB622" w14:textId="77777777" w:rsidR="001162F4" w:rsidRPr="00C0304F" w:rsidRDefault="001162F4" w:rsidP="00C24C1D">
            <w:pPr>
              <w:jc w:val="center"/>
            </w:pPr>
            <w:r w:rsidRPr="00C0304F">
              <w:t>N (FRA)</w:t>
            </w:r>
          </w:p>
        </w:tc>
        <w:tc>
          <w:tcPr>
            <w:tcW w:w="1040" w:type="dxa"/>
          </w:tcPr>
          <w:p w14:paraId="7C83ED32" w14:textId="77777777" w:rsidR="001162F4" w:rsidRPr="00C0304F" w:rsidRDefault="001162F4" w:rsidP="00C24C1D">
            <w:pPr>
              <w:jc w:val="center"/>
            </w:pPr>
            <w:r w:rsidRPr="00C0304F">
              <w:t>t value</w:t>
            </w:r>
          </w:p>
        </w:tc>
        <w:tc>
          <w:tcPr>
            <w:tcW w:w="1338" w:type="dxa"/>
          </w:tcPr>
          <w:p w14:paraId="6C2F95DE" w14:textId="77777777" w:rsidR="001162F4" w:rsidRPr="00C0304F" w:rsidRDefault="001162F4" w:rsidP="00C24C1D">
            <w:pPr>
              <w:jc w:val="center"/>
            </w:pPr>
            <w:r w:rsidRPr="00C0304F">
              <w:t>p value</w:t>
            </w:r>
          </w:p>
        </w:tc>
        <w:tc>
          <w:tcPr>
            <w:tcW w:w="1533" w:type="dxa"/>
          </w:tcPr>
          <w:p w14:paraId="7895457B" w14:textId="77777777" w:rsidR="001162F4" w:rsidRPr="00C0304F" w:rsidRDefault="001162F4" w:rsidP="00C24C1D">
            <w:pPr>
              <w:jc w:val="center"/>
            </w:pPr>
            <w:r w:rsidRPr="00C0304F">
              <w:t>Effect size</w:t>
            </w:r>
          </w:p>
          <w:p w14:paraId="119765D0" w14:textId="77777777" w:rsidR="001162F4" w:rsidRPr="00C0304F" w:rsidRDefault="001162F4" w:rsidP="00C24C1D">
            <w:pPr>
              <w:jc w:val="center"/>
            </w:pPr>
            <w:r w:rsidRPr="00C0304F">
              <w:t>(Cohen’s d)</w:t>
            </w:r>
          </w:p>
        </w:tc>
      </w:tr>
      <w:tr w:rsidR="001162F4" w:rsidRPr="00C0304F" w14:paraId="3370ABFA" w14:textId="77777777" w:rsidTr="00C24C1D">
        <w:trPr>
          <w:trHeight w:val="257"/>
        </w:trPr>
        <w:tc>
          <w:tcPr>
            <w:tcW w:w="1787" w:type="dxa"/>
          </w:tcPr>
          <w:p w14:paraId="70DA7B06" w14:textId="77777777" w:rsidR="001162F4" w:rsidRPr="00C0304F" w:rsidRDefault="001162F4" w:rsidP="00C24C1D">
            <w:r w:rsidRPr="00C0304F">
              <w:t>Single-peaked</w:t>
            </w:r>
          </w:p>
        </w:tc>
        <w:tc>
          <w:tcPr>
            <w:tcW w:w="1075" w:type="dxa"/>
          </w:tcPr>
          <w:p w14:paraId="08AE7684" w14:textId="77777777" w:rsidR="001162F4" w:rsidRPr="00C0304F" w:rsidRDefault="001162F4" w:rsidP="00C24C1D">
            <w:r w:rsidRPr="00C0304F">
              <w:t>0.755</w:t>
            </w:r>
          </w:p>
        </w:tc>
        <w:tc>
          <w:tcPr>
            <w:tcW w:w="1165" w:type="dxa"/>
          </w:tcPr>
          <w:p w14:paraId="280557A2" w14:textId="77777777" w:rsidR="001162F4" w:rsidRPr="00C0304F" w:rsidRDefault="001162F4" w:rsidP="00C24C1D">
            <w:r w:rsidRPr="00C0304F">
              <w:t>0.746</w:t>
            </w:r>
          </w:p>
        </w:tc>
        <w:tc>
          <w:tcPr>
            <w:tcW w:w="991" w:type="dxa"/>
          </w:tcPr>
          <w:p w14:paraId="6FFFA5BC" w14:textId="77777777" w:rsidR="001162F4" w:rsidRPr="00C0304F" w:rsidRDefault="001162F4" w:rsidP="00C24C1D">
            <w:r w:rsidRPr="00C0304F">
              <w:t>296</w:t>
            </w:r>
          </w:p>
        </w:tc>
        <w:tc>
          <w:tcPr>
            <w:tcW w:w="1040" w:type="dxa"/>
            <w:vMerge w:val="restart"/>
          </w:tcPr>
          <w:p w14:paraId="3D860CDE" w14:textId="77777777" w:rsidR="001162F4" w:rsidRPr="00C0304F" w:rsidRDefault="001162F4" w:rsidP="00C24C1D">
            <w:r w:rsidRPr="00C0304F">
              <w:t>6.829</w:t>
            </w:r>
          </w:p>
        </w:tc>
        <w:tc>
          <w:tcPr>
            <w:tcW w:w="1338" w:type="dxa"/>
            <w:vMerge w:val="restart"/>
          </w:tcPr>
          <w:p w14:paraId="5AA865F5" w14:textId="77777777" w:rsidR="001162F4" w:rsidRPr="00C0304F" w:rsidRDefault="001162F4" w:rsidP="00C24C1D">
            <w:pPr>
              <w:rPr>
                <w:vertAlign w:val="superscript"/>
              </w:rPr>
            </w:pPr>
            <w:r w:rsidRPr="00C0304F">
              <w:t>2.676x10</w:t>
            </w:r>
            <w:r w:rsidRPr="00C0304F">
              <w:rPr>
                <w:vertAlign w:val="superscript"/>
              </w:rPr>
              <w:t>-11</w:t>
            </w:r>
          </w:p>
        </w:tc>
        <w:tc>
          <w:tcPr>
            <w:tcW w:w="1533" w:type="dxa"/>
            <w:vMerge w:val="restart"/>
          </w:tcPr>
          <w:p w14:paraId="095C4285" w14:textId="77777777" w:rsidR="001162F4" w:rsidRPr="00C0304F" w:rsidRDefault="001162F4" w:rsidP="00C24C1D">
            <w:r w:rsidRPr="00C0304F">
              <w:t>0.654</w:t>
            </w:r>
          </w:p>
        </w:tc>
      </w:tr>
      <w:tr w:rsidR="001162F4" w:rsidRPr="00C0304F" w14:paraId="74D1BF34" w14:textId="77777777" w:rsidTr="00C24C1D">
        <w:trPr>
          <w:trHeight w:val="392"/>
        </w:trPr>
        <w:tc>
          <w:tcPr>
            <w:tcW w:w="1787" w:type="dxa"/>
          </w:tcPr>
          <w:p w14:paraId="0482707D" w14:textId="77777777" w:rsidR="001162F4" w:rsidRPr="00C0304F" w:rsidRDefault="001162F4" w:rsidP="00C24C1D">
            <w:r w:rsidRPr="00C0304F">
              <w:t>Complex</w:t>
            </w:r>
          </w:p>
        </w:tc>
        <w:tc>
          <w:tcPr>
            <w:tcW w:w="1075" w:type="dxa"/>
          </w:tcPr>
          <w:p w14:paraId="1B2216A5" w14:textId="77777777" w:rsidR="001162F4" w:rsidRPr="00C0304F" w:rsidRDefault="001162F4" w:rsidP="00C24C1D">
            <w:r w:rsidRPr="00C0304F">
              <w:t>1.300</w:t>
            </w:r>
          </w:p>
        </w:tc>
        <w:tc>
          <w:tcPr>
            <w:tcW w:w="1165" w:type="dxa"/>
          </w:tcPr>
          <w:p w14:paraId="05CB8A5E" w14:textId="77777777" w:rsidR="001162F4" w:rsidRPr="00C0304F" w:rsidRDefault="001162F4" w:rsidP="00C24C1D">
            <w:r w:rsidRPr="00C0304F">
              <w:t>0.966</w:t>
            </w:r>
          </w:p>
        </w:tc>
        <w:tc>
          <w:tcPr>
            <w:tcW w:w="991" w:type="dxa"/>
          </w:tcPr>
          <w:p w14:paraId="6C87E421" w14:textId="77777777" w:rsidR="001162F4" w:rsidRPr="00C0304F" w:rsidRDefault="001162F4" w:rsidP="00C24C1D">
            <w:r w:rsidRPr="00C0304F">
              <w:t>173</w:t>
            </w:r>
          </w:p>
        </w:tc>
        <w:tc>
          <w:tcPr>
            <w:tcW w:w="1040" w:type="dxa"/>
            <w:vMerge/>
          </w:tcPr>
          <w:p w14:paraId="3447B7BB" w14:textId="77777777" w:rsidR="001162F4" w:rsidRPr="00C0304F" w:rsidRDefault="001162F4" w:rsidP="00C24C1D"/>
        </w:tc>
        <w:tc>
          <w:tcPr>
            <w:tcW w:w="1338" w:type="dxa"/>
            <w:vMerge/>
          </w:tcPr>
          <w:p w14:paraId="3E605095" w14:textId="77777777" w:rsidR="001162F4" w:rsidRPr="00C0304F" w:rsidRDefault="001162F4" w:rsidP="00C24C1D"/>
        </w:tc>
        <w:tc>
          <w:tcPr>
            <w:tcW w:w="1533" w:type="dxa"/>
            <w:vMerge/>
          </w:tcPr>
          <w:p w14:paraId="10004131" w14:textId="77777777" w:rsidR="001162F4" w:rsidRPr="00C0304F" w:rsidRDefault="001162F4" w:rsidP="00C24C1D"/>
        </w:tc>
      </w:tr>
    </w:tbl>
    <w:p w14:paraId="2DA115E4" w14:textId="77777777" w:rsidR="001162F4" w:rsidRPr="00C0304F" w:rsidRDefault="001162F4" w:rsidP="001162F4"/>
    <w:p w14:paraId="17D1AA2A" w14:textId="5EA48DDC" w:rsidR="001162F4" w:rsidRPr="00C0304F" w:rsidRDefault="001162F4" w:rsidP="001162F4">
      <w:r w:rsidRPr="00C0304F">
        <w:t>Unpaired t-test comparing the BF variation along the tonotopic gradient in double-peaked neurons and in complex neurons in ferret.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075"/>
        <w:gridCol w:w="1165"/>
        <w:gridCol w:w="991"/>
        <w:gridCol w:w="1040"/>
        <w:gridCol w:w="1338"/>
        <w:gridCol w:w="1533"/>
      </w:tblGrid>
      <w:tr w:rsidR="001162F4" w:rsidRPr="00C0304F" w14:paraId="29978511" w14:textId="77777777" w:rsidTr="00C24C1D">
        <w:trPr>
          <w:trHeight w:val="263"/>
        </w:trPr>
        <w:tc>
          <w:tcPr>
            <w:tcW w:w="1787" w:type="dxa"/>
          </w:tcPr>
          <w:p w14:paraId="6179DB08" w14:textId="77777777" w:rsidR="001162F4" w:rsidRPr="00C0304F" w:rsidRDefault="001162F4" w:rsidP="00C24C1D">
            <w:pPr>
              <w:jc w:val="center"/>
            </w:pPr>
            <w:r w:rsidRPr="00C0304F">
              <w:lastRenderedPageBreak/>
              <w:t>Group</w:t>
            </w:r>
          </w:p>
        </w:tc>
        <w:tc>
          <w:tcPr>
            <w:tcW w:w="1075" w:type="dxa"/>
          </w:tcPr>
          <w:p w14:paraId="1AD4B094" w14:textId="77777777" w:rsidR="001162F4" w:rsidRPr="00C0304F" w:rsidRDefault="001162F4" w:rsidP="00C24C1D">
            <w:pPr>
              <w:jc w:val="center"/>
            </w:pPr>
            <w:r w:rsidRPr="00C0304F">
              <w:t>Mean</w:t>
            </w:r>
          </w:p>
        </w:tc>
        <w:tc>
          <w:tcPr>
            <w:tcW w:w="1165" w:type="dxa"/>
          </w:tcPr>
          <w:p w14:paraId="6C86DC1B" w14:textId="77777777" w:rsidR="001162F4" w:rsidRPr="00C0304F" w:rsidRDefault="001162F4" w:rsidP="00C24C1D">
            <w:pPr>
              <w:jc w:val="center"/>
            </w:pPr>
            <w:r w:rsidRPr="00C0304F">
              <w:t>Standard deviation</w:t>
            </w:r>
          </w:p>
        </w:tc>
        <w:tc>
          <w:tcPr>
            <w:tcW w:w="991" w:type="dxa"/>
          </w:tcPr>
          <w:p w14:paraId="0CB6D672" w14:textId="77777777" w:rsidR="001162F4" w:rsidRPr="00C0304F" w:rsidRDefault="001162F4" w:rsidP="00C24C1D">
            <w:pPr>
              <w:jc w:val="center"/>
            </w:pPr>
            <w:r w:rsidRPr="00C0304F">
              <w:t>N (FRA)</w:t>
            </w:r>
          </w:p>
        </w:tc>
        <w:tc>
          <w:tcPr>
            <w:tcW w:w="1040" w:type="dxa"/>
          </w:tcPr>
          <w:p w14:paraId="5D4D96C6" w14:textId="77777777" w:rsidR="001162F4" w:rsidRPr="00C0304F" w:rsidRDefault="001162F4" w:rsidP="00C24C1D">
            <w:pPr>
              <w:jc w:val="center"/>
            </w:pPr>
            <w:r w:rsidRPr="00C0304F">
              <w:t>t value</w:t>
            </w:r>
          </w:p>
        </w:tc>
        <w:tc>
          <w:tcPr>
            <w:tcW w:w="1338" w:type="dxa"/>
          </w:tcPr>
          <w:p w14:paraId="049E0F16" w14:textId="77777777" w:rsidR="001162F4" w:rsidRPr="00C0304F" w:rsidRDefault="001162F4" w:rsidP="00C24C1D">
            <w:pPr>
              <w:jc w:val="center"/>
            </w:pPr>
            <w:r w:rsidRPr="00C0304F">
              <w:t>p value</w:t>
            </w:r>
          </w:p>
        </w:tc>
        <w:tc>
          <w:tcPr>
            <w:tcW w:w="1533" w:type="dxa"/>
          </w:tcPr>
          <w:p w14:paraId="3EB57AB6" w14:textId="77777777" w:rsidR="001162F4" w:rsidRPr="00C0304F" w:rsidRDefault="001162F4" w:rsidP="00C24C1D">
            <w:pPr>
              <w:jc w:val="center"/>
            </w:pPr>
            <w:r w:rsidRPr="00C0304F">
              <w:t>Effect size</w:t>
            </w:r>
          </w:p>
          <w:p w14:paraId="5331690A" w14:textId="77777777" w:rsidR="001162F4" w:rsidRPr="00C0304F" w:rsidRDefault="001162F4" w:rsidP="00C24C1D">
            <w:pPr>
              <w:jc w:val="center"/>
            </w:pPr>
            <w:r w:rsidRPr="00C0304F">
              <w:t>(Cohen’s d)</w:t>
            </w:r>
          </w:p>
        </w:tc>
      </w:tr>
      <w:tr w:rsidR="001162F4" w:rsidRPr="00C0304F" w14:paraId="680764BB" w14:textId="77777777" w:rsidTr="00C24C1D">
        <w:trPr>
          <w:trHeight w:val="257"/>
        </w:trPr>
        <w:tc>
          <w:tcPr>
            <w:tcW w:w="1787" w:type="dxa"/>
          </w:tcPr>
          <w:p w14:paraId="34D8AE40" w14:textId="77777777" w:rsidR="001162F4" w:rsidRPr="00C0304F" w:rsidRDefault="001162F4" w:rsidP="001162F4">
            <w:r w:rsidRPr="00C0304F">
              <w:t>Double-peaked</w:t>
            </w:r>
          </w:p>
        </w:tc>
        <w:tc>
          <w:tcPr>
            <w:tcW w:w="1075" w:type="dxa"/>
          </w:tcPr>
          <w:p w14:paraId="77A19541" w14:textId="77777777" w:rsidR="001162F4" w:rsidRPr="00C0304F" w:rsidRDefault="001162F4" w:rsidP="001162F4">
            <w:r w:rsidRPr="00C0304F">
              <w:t>0.914</w:t>
            </w:r>
          </w:p>
        </w:tc>
        <w:tc>
          <w:tcPr>
            <w:tcW w:w="1165" w:type="dxa"/>
          </w:tcPr>
          <w:p w14:paraId="0CE7CDCF" w14:textId="77777777" w:rsidR="001162F4" w:rsidRPr="00C0304F" w:rsidRDefault="001162F4" w:rsidP="001162F4">
            <w:r w:rsidRPr="00C0304F">
              <w:t>0.725</w:t>
            </w:r>
          </w:p>
        </w:tc>
        <w:tc>
          <w:tcPr>
            <w:tcW w:w="991" w:type="dxa"/>
          </w:tcPr>
          <w:p w14:paraId="33CF46F5" w14:textId="77777777" w:rsidR="001162F4" w:rsidRPr="00C0304F" w:rsidRDefault="001162F4" w:rsidP="001162F4">
            <w:r w:rsidRPr="00C0304F">
              <w:t>220</w:t>
            </w:r>
          </w:p>
        </w:tc>
        <w:tc>
          <w:tcPr>
            <w:tcW w:w="1040" w:type="dxa"/>
            <w:vMerge w:val="restart"/>
          </w:tcPr>
          <w:p w14:paraId="31E1E6CB" w14:textId="77777777" w:rsidR="001162F4" w:rsidRPr="00C0304F" w:rsidRDefault="001162F4" w:rsidP="001162F4">
            <w:r w:rsidRPr="00C0304F">
              <w:t>4.521</w:t>
            </w:r>
          </w:p>
        </w:tc>
        <w:tc>
          <w:tcPr>
            <w:tcW w:w="1338" w:type="dxa"/>
            <w:vMerge w:val="restart"/>
          </w:tcPr>
          <w:p w14:paraId="425FBFA8" w14:textId="77777777" w:rsidR="001162F4" w:rsidRPr="00C0304F" w:rsidRDefault="001162F4" w:rsidP="001162F4">
            <w:pPr>
              <w:rPr>
                <w:vertAlign w:val="superscript"/>
              </w:rPr>
            </w:pPr>
            <w:r w:rsidRPr="00C0304F">
              <w:t>8.154x10</w:t>
            </w:r>
            <w:r w:rsidRPr="00C0304F">
              <w:rPr>
                <w:vertAlign w:val="superscript"/>
              </w:rPr>
              <w:t>-6</w:t>
            </w:r>
          </w:p>
        </w:tc>
        <w:tc>
          <w:tcPr>
            <w:tcW w:w="1533" w:type="dxa"/>
            <w:vMerge w:val="restart"/>
          </w:tcPr>
          <w:p w14:paraId="6E485590" w14:textId="77777777" w:rsidR="001162F4" w:rsidRPr="00C0304F" w:rsidRDefault="001162F4" w:rsidP="001162F4">
            <w:r w:rsidRPr="00C0304F">
              <w:t>0.459</w:t>
            </w:r>
          </w:p>
        </w:tc>
      </w:tr>
      <w:tr w:rsidR="001162F4" w:rsidRPr="00C0304F" w14:paraId="075A2C77" w14:textId="77777777" w:rsidTr="00C24C1D">
        <w:trPr>
          <w:trHeight w:val="392"/>
        </w:trPr>
        <w:tc>
          <w:tcPr>
            <w:tcW w:w="1787" w:type="dxa"/>
          </w:tcPr>
          <w:p w14:paraId="7EB037AA" w14:textId="77777777" w:rsidR="001162F4" w:rsidRPr="00C0304F" w:rsidRDefault="001162F4" w:rsidP="00C24C1D">
            <w:r w:rsidRPr="00C0304F">
              <w:t>Complex</w:t>
            </w:r>
          </w:p>
        </w:tc>
        <w:tc>
          <w:tcPr>
            <w:tcW w:w="1075" w:type="dxa"/>
          </w:tcPr>
          <w:p w14:paraId="49547DE0" w14:textId="77777777" w:rsidR="001162F4" w:rsidRPr="00C0304F" w:rsidRDefault="001162F4" w:rsidP="00C24C1D">
            <w:r w:rsidRPr="00C0304F">
              <w:t>1.300</w:t>
            </w:r>
          </w:p>
        </w:tc>
        <w:tc>
          <w:tcPr>
            <w:tcW w:w="1165" w:type="dxa"/>
          </w:tcPr>
          <w:p w14:paraId="496DE3CD" w14:textId="77777777" w:rsidR="001162F4" w:rsidRPr="00C0304F" w:rsidRDefault="001162F4" w:rsidP="00C24C1D">
            <w:r w:rsidRPr="00C0304F">
              <w:t>0.966</w:t>
            </w:r>
          </w:p>
        </w:tc>
        <w:tc>
          <w:tcPr>
            <w:tcW w:w="991" w:type="dxa"/>
          </w:tcPr>
          <w:p w14:paraId="17C8F8C1" w14:textId="77777777" w:rsidR="001162F4" w:rsidRPr="00C0304F" w:rsidRDefault="001162F4" w:rsidP="00C24C1D">
            <w:r w:rsidRPr="00C0304F">
              <w:t>173</w:t>
            </w:r>
          </w:p>
        </w:tc>
        <w:tc>
          <w:tcPr>
            <w:tcW w:w="1040" w:type="dxa"/>
            <w:vMerge/>
          </w:tcPr>
          <w:p w14:paraId="13FBD052" w14:textId="77777777" w:rsidR="001162F4" w:rsidRPr="00C0304F" w:rsidRDefault="001162F4" w:rsidP="00C24C1D"/>
        </w:tc>
        <w:tc>
          <w:tcPr>
            <w:tcW w:w="1338" w:type="dxa"/>
            <w:vMerge/>
          </w:tcPr>
          <w:p w14:paraId="3E7382DA" w14:textId="77777777" w:rsidR="001162F4" w:rsidRPr="00C0304F" w:rsidRDefault="001162F4" w:rsidP="00C24C1D"/>
        </w:tc>
        <w:tc>
          <w:tcPr>
            <w:tcW w:w="1533" w:type="dxa"/>
            <w:vMerge/>
          </w:tcPr>
          <w:p w14:paraId="706FAD59" w14:textId="77777777" w:rsidR="001162F4" w:rsidRPr="00C0304F" w:rsidRDefault="001162F4" w:rsidP="00C24C1D"/>
        </w:tc>
      </w:tr>
    </w:tbl>
    <w:p w14:paraId="296891E5" w14:textId="77777777" w:rsidR="001162F4" w:rsidRPr="00C0304F" w:rsidRDefault="001162F4" w:rsidP="001162F4"/>
    <w:p w14:paraId="2BB1CEAA" w14:textId="77777777" w:rsidR="00874670" w:rsidRPr="00C0304F" w:rsidRDefault="00874670" w:rsidP="008520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4F1E860" w14:textId="26ED14D1" w:rsidR="00E36FF7" w:rsidRPr="00C0304F" w:rsidRDefault="005C7DF5" w:rsidP="00E36FF7">
      <w:r w:rsidRPr="00C0304F">
        <w:rPr>
          <w:b/>
        </w:rPr>
        <w:t>7</w:t>
      </w:r>
      <w:r w:rsidR="00E36FF7" w:rsidRPr="00C0304F">
        <w:rPr>
          <w:b/>
        </w:rPr>
        <w:t>. Figure 5D</w:t>
      </w:r>
      <w:r w:rsidR="00E36FF7" w:rsidRPr="00C0304F">
        <w:t xml:space="preserve"> </w:t>
      </w:r>
    </w:p>
    <w:p w14:paraId="2F6C9533" w14:textId="77777777" w:rsidR="00E36FF7" w:rsidRPr="00C0304F" w:rsidRDefault="00E36FF7" w:rsidP="00E36FF7">
      <w:r w:rsidRPr="00C0304F">
        <w:t>Unpaired t-test comparing the local BF variation in single-peaked neurons and in double-peaked neurons in mice.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075"/>
        <w:gridCol w:w="1165"/>
        <w:gridCol w:w="991"/>
        <w:gridCol w:w="1040"/>
        <w:gridCol w:w="1338"/>
        <w:gridCol w:w="1533"/>
      </w:tblGrid>
      <w:tr w:rsidR="00E36FF7" w:rsidRPr="00C0304F" w14:paraId="0CFD42C8" w14:textId="77777777" w:rsidTr="004B2C59">
        <w:trPr>
          <w:trHeight w:val="263"/>
        </w:trPr>
        <w:tc>
          <w:tcPr>
            <w:tcW w:w="1787" w:type="dxa"/>
          </w:tcPr>
          <w:p w14:paraId="73A495B3" w14:textId="77777777" w:rsidR="00E36FF7" w:rsidRPr="00C0304F" w:rsidRDefault="00E36FF7" w:rsidP="004B2C59">
            <w:pPr>
              <w:jc w:val="center"/>
            </w:pPr>
            <w:r w:rsidRPr="00C0304F">
              <w:t>Group</w:t>
            </w:r>
          </w:p>
        </w:tc>
        <w:tc>
          <w:tcPr>
            <w:tcW w:w="1075" w:type="dxa"/>
          </w:tcPr>
          <w:p w14:paraId="0C0FDB82" w14:textId="77777777" w:rsidR="00E36FF7" w:rsidRPr="00C0304F" w:rsidRDefault="00E36FF7" w:rsidP="004B2C59">
            <w:pPr>
              <w:jc w:val="center"/>
            </w:pPr>
            <w:r w:rsidRPr="00C0304F">
              <w:t>Mean</w:t>
            </w:r>
          </w:p>
        </w:tc>
        <w:tc>
          <w:tcPr>
            <w:tcW w:w="1165" w:type="dxa"/>
          </w:tcPr>
          <w:p w14:paraId="5764B7DB" w14:textId="77777777" w:rsidR="00E36FF7" w:rsidRPr="00C0304F" w:rsidRDefault="00E36FF7" w:rsidP="004B2C59">
            <w:pPr>
              <w:jc w:val="center"/>
            </w:pPr>
            <w:r w:rsidRPr="00C0304F">
              <w:t>Standard deviation</w:t>
            </w:r>
          </w:p>
        </w:tc>
        <w:tc>
          <w:tcPr>
            <w:tcW w:w="991" w:type="dxa"/>
          </w:tcPr>
          <w:p w14:paraId="4DEE3E26" w14:textId="77777777" w:rsidR="00E36FF7" w:rsidRPr="00C0304F" w:rsidRDefault="00E36FF7" w:rsidP="004B2C59">
            <w:pPr>
              <w:jc w:val="center"/>
            </w:pPr>
            <w:r w:rsidRPr="00C0304F">
              <w:t>N (FRA)</w:t>
            </w:r>
          </w:p>
        </w:tc>
        <w:tc>
          <w:tcPr>
            <w:tcW w:w="1040" w:type="dxa"/>
          </w:tcPr>
          <w:p w14:paraId="47D31FBB" w14:textId="77777777" w:rsidR="00E36FF7" w:rsidRPr="00C0304F" w:rsidRDefault="00E36FF7" w:rsidP="004B2C59">
            <w:pPr>
              <w:jc w:val="center"/>
            </w:pPr>
            <w:r w:rsidRPr="00C0304F">
              <w:t>t value</w:t>
            </w:r>
          </w:p>
        </w:tc>
        <w:tc>
          <w:tcPr>
            <w:tcW w:w="1338" w:type="dxa"/>
          </w:tcPr>
          <w:p w14:paraId="0975204E" w14:textId="77777777" w:rsidR="00E36FF7" w:rsidRPr="00C0304F" w:rsidRDefault="00E36FF7" w:rsidP="004B2C59">
            <w:pPr>
              <w:jc w:val="center"/>
            </w:pPr>
            <w:r w:rsidRPr="00C0304F">
              <w:t>p value</w:t>
            </w:r>
          </w:p>
        </w:tc>
        <w:tc>
          <w:tcPr>
            <w:tcW w:w="1533" w:type="dxa"/>
          </w:tcPr>
          <w:p w14:paraId="6D64FBDE" w14:textId="77777777" w:rsidR="00E36FF7" w:rsidRPr="00C0304F" w:rsidRDefault="00E36FF7" w:rsidP="004B2C59">
            <w:pPr>
              <w:jc w:val="center"/>
            </w:pPr>
            <w:r w:rsidRPr="00C0304F">
              <w:t>Effect size</w:t>
            </w:r>
          </w:p>
          <w:p w14:paraId="561F61F1" w14:textId="77777777" w:rsidR="00E36FF7" w:rsidRPr="00C0304F" w:rsidRDefault="00E36FF7" w:rsidP="004B2C59">
            <w:pPr>
              <w:jc w:val="center"/>
            </w:pPr>
            <w:r w:rsidRPr="00C0304F">
              <w:t>(Cohen’s d)</w:t>
            </w:r>
          </w:p>
        </w:tc>
      </w:tr>
      <w:tr w:rsidR="00E36FF7" w:rsidRPr="00C0304F" w14:paraId="1E53B368" w14:textId="77777777" w:rsidTr="004B2C59">
        <w:trPr>
          <w:trHeight w:val="257"/>
        </w:trPr>
        <w:tc>
          <w:tcPr>
            <w:tcW w:w="1787" w:type="dxa"/>
          </w:tcPr>
          <w:p w14:paraId="6AF7992B" w14:textId="77777777" w:rsidR="00E36FF7" w:rsidRPr="00C0304F" w:rsidRDefault="00E36FF7" w:rsidP="004B2C59">
            <w:r w:rsidRPr="00C0304F">
              <w:t>Single-peaked</w:t>
            </w:r>
          </w:p>
        </w:tc>
        <w:tc>
          <w:tcPr>
            <w:tcW w:w="1075" w:type="dxa"/>
          </w:tcPr>
          <w:p w14:paraId="37BBEE66" w14:textId="77777777" w:rsidR="00E36FF7" w:rsidRPr="00C0304F" w:rsidRDefault="00E36FF7" w:rsidP="004B2C59">
            <w:r w:rsidRPr="00C0304F">
              <w:t>2.579</w:t>
            </w:r>
          </w:p>
        </w:tc>
        <w:tc>
          <w:tcPr>
            <w:tcW w:w="1165" w:type="dxa"/>
          </w:tcPr>
          <w:p w14:paraId="3FB5888F" w14:textId="77777777" w:rsidR="00E36FF7" w:rsidRPr="00C0304F" w:rsidRDefault="00E36FF7" w:rsidP="004B2C59">
            <w:r w:rsidRPr="00C0304F">
              <w:t>2.414</w:t>
            </w:r>
          </w:p>
        </w:tc>
        <w:tc>
          <w:tcPr>
            <w:tcW w:w="991" w:type="dxa"/>
          </w:tcPr>
          <w:p w14:paraId="3244B70F" w14:textId="77777777" w:rsidR="00E36FF7" w:rsidRPr="00C0304F" w:rsidRDefault="00E36FF7" w:rsidP="004B2C59">
            <w:r w:rsidRPr="00C0304F">
              <w:t>202</w:t>
            </w:r>
          </w:p>
        </w:tc>
        <w:tc>
          <w:tcPr>
            <w:tcW w:w="1040" w:type="dxa"/>
            <w:vMerge w:val="restart"/>
          </w:tcPr>
          <w:p w14:paraId="112F7D83" w14:textId="34768A5B" w:rsidR="00E36FF7" w:rsidRPr="00C0304F" w:rsidRDefault="00E36FF7" w:rsidP="004B2C59">
            <w:r w:rsidRPr="00C0304F">
              <w:t>0.464</w:t>
            </w:r>
          </w:p>
        </w:tc>
        <w:tc>
          <w:tcPr>
            <w:tcW w:w="1338" w:type="dxa"/>
            <w:vMerge w:val="restart"/>
          </w:tcPr>
          <w:p w14:paraId="65EED3DE" w14:textId="77777777" w:rsidR="00E36FF7" w:rsidRPr="00C0304F" w:rsidRDefault="00E36FF7" w:rsidP="004B2C59">
            <w:pPr>
              <w:rPr>
                <w:vertAlign w:val="superscript"/>
              </w:rPr>
            </w:pPr>
            <w:r w:rsidRPr="00C0304F">
              <w:t>0.643</w:t>
            </w:r>
          </w:p>
        </w:tc>
        <w:tc>
          <w:tcPr>
            <w:tcW w:w="1533" w:type="dxa"/>
            <w:vMerge w:val="restart"/>
          </w:tcPr>
          <w:p w14:paraId="1642DE37" w14:textId="77777777" w:rsidR="00E36FF7" w:rsidRPr="00C0304F" w:rsidRDefault="00E36FF7" w:rsidP="004B2C59">
            <w:r w:rsidRPr="00C0304F">
              <w:t>-0.060</w:t>
            </w:r>
          </w:p>
        </w:tc>
      </w:tr>
      <w:tr w:rsidR="00E36FF7" w:rsidRPr="00C0304F" w14:paraId="5A754F56" w14:textId="77777777" w:rsidTr="004B2C59">
        <w:trPr>
          <w:trHeight w:val="392"/>
        </w:trPr>
        <w:tc>
          <w:tcPr>
            <w:tcW w:w="1787" w:type="dxa"/>
          </w:tcPr>
          <w:p w14:paraId="0C1664F1" w14:textId="77777777" w:rsidR="00E36FF7" w:rsidRPr="00C0304F" w:rsidRDefault="00E36FF7" w:rsidP="004B2C59">
            <w:r w:rsidRPr="00C0304F">
              <w:t>Double-peaked</w:t>
            </w:r>
          </w:p>
        </w:tc>
        <w:tc>
          <w:tcPr>
            <w:tcW w:w="1075" w:type="dxa"/>
          </w:tcPr>
          <w:p w14:paraId="522B21F4" w14:textId="77777777" w:rsidR="00E36FF7" w:rsidRPr="00C0304F" w:rsidRDefault="00E36FF7" w:rsidP="004B2C59">
            <w:r w:rsidRPr="00C0304F">
              <w:t>2.737</w:t>
            </w:r>
          </w:p>
        </w:tc>
        <w:tc>
          <w:tcPr>
            <w:tcW w:w="1165" w:type="dxa"/>
          </w:tcPr>
          <w:p w14:paraId="5BC27484" w14:textId="77777777" w:rsidR="00E36FF7" w:rsidRPr="00C0304F" w:rsidRDefault="00E36FF7" w:rsidP="004B2C59">
            <w:r w:rsidRPr="00C0304F">
              <w:t>3.148</w:t>
            </w:r>
          </w:p>
        </w:tc>
        <w:tc>
          <w:tcPr>
            <w:tcW w:w="991" w:type="dxa"/>
          </w:tcPr>
          <w:p w14:paraId="4DFCD4DA" w14:textId="77777777" w:rsidR="00E36FF7" w:rsidRPr="00C0304F" w:rsidRDefault="00E36FF7" w:rsidP="004B2C59">
            <w:r w:rsidRPr="00C0304F">
              <w:t>87</w:t>
            </w:r>
          </w:p>
        </w:tc>
        <w:tc>
          <w:tcPr>
            <w:tcW w:w="1040" w:type="dxa"/>
            <w:vMerge/>
          </w:tcPr>
          <w:p w14:paraId="777E946C" w14:textId="77777777" w:rsidR="00E36FF7" w:rsidRPr="00C0304F" w:rsidRDefault="00E36FF7" w:rsidP="004B2C59"/>
        </w:tc>
        <w:tc>
          <w:tcPr>
            <w:tcW w:w="1338" w:type="dxa"/>
            <w:vMerge/>
          </w:tcPr>
          <w:p w14:paraId="4E10DC49" w14:textId="77777777" w:rsidR="00E36FF7" w:rsidRPr="00C0304F" w:rsidRDefault="00E36FF7" w:rsidP="004B2C59"/>
        </w:tc>
        <w:tc>
          <w:tcPr>
            <w:tcW w:w="1533" w:type="dxa"/>
            <w:vMerge/>
          </w:tcPr>
          <w:p w14:paraId="77DFA978" w14:textId="77777777" w:rsidR="00E36FF7" w:rsidRPr="00C0304F" w:rsidRDefault="00E36FF7" w:rsidP="004B2C59"/>
        </w:tc>
      </w:tr>
    </w:tbl>
    <w:p w14:paraId="61718210" w14:textId="77777777" w:rsidR="00E36FF7" w:rsidRPr="00C0304F" w:rsidRDefault="00E36FF7" w:rsidP="00E36F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978843" w14:textId="77777777" w:rsidR="00E36FF7" w:rsidRPr="00C0304F" w:rsidRDefault="00E36FF7" w:rsidP="00E36FF7">
      <w:r w:rsidRPr="00C0304F">
        <w:t>Unpaired t-test comparing the local BF variation in single-peaked neurons and in complex neurons in mice.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075"/>
        <w:gridCol w:w="1165"/>
        <w:gridCol w:w="991"/>
        <w:gridCol w:w="1040"/>
        <w:gridCol w:w="1338"/>
        <w:gridCol w:w="1533"/>
      </w:tblGrid>
      <w:tr w:rsidR="00E36FF7" w:rsidRPr="00C0304F" w14:paraId="23CBE034" w14:textId="77777777" w:rsidTr="004B2C59">
        <w:trPr>
          <w:trHeight w:val="263"/>
        </w:trPr>
        <w:tc>
          <w:tcPr>
            <w:tcW w:w="1787" w:type="dxa"/>
          </w:tcPr>
          <w:p w14:paraId="02535420" w14:textId="77777777" w:rsidR="00E36FF7" w:rsidRPr="00C0304F" w:rsidRDefault="00E36FF7" w:rsidP="004B2C59">
            <w:pPr>
              <w:jc w:val="center"/>
            </w:pPr>
            <w:r w:rsidRPr="00C0304F">
              <w:t>Group</w:t>
            </w:r>
          </w:p>
        </w:tc>
        <w:tc>
          <w:tcPr>
            <w:tcW w:w="1075" w:type="dxa"/>
          </w:tcPr>
          <w:p w14:paraId="51CF04AC" w14:textId="77777777" w:rsidR="00E36FF7" w:rsidRPr="00C0304F" w:rsidRDefault="00E36FF7" w:rsidP="004B2C59">
            <w:pPr>
              <w:jc w:val="center"/>
            </w:pPr>
            <w:r w:rsidRPr="00C0304F">
              <w:t>Mean</w:t>
            </w:r>
          </w:p>
        </w:tc>
        <w:tc>
          <w:tcPr>
            <w:tcW w:w="1165" w:type="dxa"/>
          </w:tcPr>
          <w:p w14:paraId="0DF32B68" w14:textId="77777777" w:rsidR="00E36FF7" w:rsidRPr="00C0304F" w:rsidRDefault="00E36FF7" w:rsidP="004B2C59">
            <w:pPr>
              <w:jc w:val="center"/>
            </w:pPr>
            <w:r w:rsidRPr="00C0304F">
              <w:t>Standard deviation</w:t>
            </w:r>
          </w:p>
        </w:tc>
        <w:tc>
          <w:tcPr>
            <w:tcW w:w="991" w:type="dxa"/>
          </w:tcPr>
          <w:p w14:paraId="44D4F4FF" w14:textId="77777777" w:rsidR="00E36FF7" w:rsidRPr="00C0304F" w:rsidRDefault="00E36FF7" w:rsidP="004B2C59">
            <w:pPr>
              <w:jc w:val="center"/>
            </w:pPr>
            <w:r w:rsidRPr="00C0304F">
              <w:t>N (FRA)</w:t>
            </w:r>
          </w:p>
        </w:tc>
        <w:tc>
          <w:tcPr>
            <w:tcW w:w="1040" w:type="dxa"/>
          </w:tcPr>
          <w:p w14:paraId="38C7A7AA" w14:textId="77777777" w:rsidR="00E36FF7" w:rsidRPr="00C0304F" w:rsidRDefault="00E36FF7" w:rsidP="004B2C59">
            <w:pPr>
              <w:jc w:val="center"/>
            </w:pPr>
            <w:r w:rsidRPr="00C0304F">
              <w:t>t value</w:t>
            </w:r>
          </w:p>
        </w:tc>
        <w:tc>
          <w:tcPr>
            <w:tcW w:w="1338" w:type="dxa"/>
          </w:tcPr>
          <w:p w14:paraId="5E77F41B" w14:textId="77777777" w:rsidR="00E36FF7" w:rsidRPr="00C0304F" w:rsidRDefault="00E36FF7" w:rsidP="004B2C59">
            <w:pPr>
              <w:jc w:val="center"/>
            </w:pPr>
            <w:r w:rsidRPr="00C0304F">
              <w:t>p value</w:t>
            </w:r>
          </w:p>
        </w:tc>
        <w:tc>
          <w:tcPr>
            <w:tcW w:w="1533" w:type="dxa"/>
          </w:tcPr>
          <w:p w14:paraId="3ADC975C" w14:textId="77777777" w:rsidR="00E36FF7" w:rsidRPr="00C0304F" w:rsidRDefault="00E36FF7" w:rsidP="004B2C59">
            <w:pPr>
              <w:jc w:val="center"/>
            </w:pPr>
            <w:r w:rsidRPr="00C0304F">
              <w:t>Effect size</w:t>
            </w:r>
          </w:p>
          <w:p w14:paraId="3BA77F4F" w14:textId="77777777" w:rsidR="00E36FF7" w:rsidRPr="00C0304F" w:rsidRDefault="00E36FF7" w:rsidP="004B2C59">
            <w:pPr>
              <w:jc w:val="center"/>
            </w:pPr>
            <w:r w:rsidRPr="00C0304F">
              <w:t>(Cohen’s d)</w:t>
            </w:r>
          </w:p>
        </w:tc>
      </w:tr>
      <w:tr w:rsidR="00E36FF7" w:rsidRPr="00C0304F" w14:paraId="4204F20C" w14:textId="77777777" w:rsidTr="004B2C59">
        <w:trPr>
          <w:trHeight w:val="257"/>
        </w:trPr>
        <w:tc>
          <w:tcPr>
            <w:tcW w:w="1787" w:type="dxa"/>
          </w:tcPr>
          <w:p w14:paraId="5F64F0F2" w14:textId="77777777" w:rsidR="00E36FF7" w:rsidRPr="00C0304F" w:rsidRDefault="00E36FF7" w:rsidP="004B2C59">
            <w:r w:rsidRPr="00C0304F">
              <w:t>Single-peaked</w:t>
            </w:r>
          </w:p>
        </w:tc>
        <w:tc>
          <w:tcPr>
            <w:tcW w:w="1075" w:type="dxa"/>
          </w:tcPr>
          <w:p w14:paraId="3E7C6DBF" w14:textId="77777777" w:rsidR="00E36FF7" w:rsidRPr="00C0304F" w:rsidRDefault="00E36FF7" w:rsidP="004B2C59">
            <w:r w:rsidRPr="00C0304F">
              <w:t>2.579</w:t>
            </w:r>
          </w:p>
        </w:tc>
        <w:tc>
          <w:tcPr>
            <w:tcW w:w="1165" w:type="dxa"/>
          </w:tcPr>
          <w:p w14:paraId="468B1F90" w14:textId="77777777" w:rsidR="00E36FF7" w:rsidRPr="00C0304F" w:rsidRDefault="00E36FF7" w:rsidP="004B2C59">
            <w:r w:rsidRPr="00C0304F">
              <w:t>2.414</w:t>
            </w:r>
          </w:p>
        </w:tc>
        <w:tc>
          <w:tcPr>
            <w:tcW w:w="991" w:type="dxa"/>
          </w:tcPr>
          <w:p w14:paraId="6246B5B8" w14:textId="77777777" w:rsidR="00E36FF7" w:rsidRPr="00C0304F" w:rsidRDefault="00E36FF7" w:rsidP="004B2C59">
            <w:r w:rsidRPr="00C0304F">
              <w:t>202</w:t>
            </w:r>
          </w:p>
        </w:tc>
        <w:tc>
          <w:tcPr>
            <w:tcW w:w="1040" w:type="dxa"/>
            <w:vMerge w:val="restart"/>
          </w:tcPr>
          <w:p w14:paraId="4DB64EF3" w14:textId="0BE92B8A" w:rsidR="00E36FF7" w:rsidRPr="00C0304F" w:rsidRDefault="00E36FF7" w:rsidP="004B2C59">
            <w:r w:rsidRPr="00C0304F">
              <w:t>4.337</w:t>
            </w:r>
          </w:p>
        </w:tc>
        <w:tc>
          <w:tcPr>
            <w:tcW w:w="1338" w:type="dxa"/>
            <w:vMerge w:val="restart"/>
          </w:tcPr>
          <w:p w14:paraId="65FFAAD3" w14:textId="77777777" w:rsidR="00E36FF7" w:rsidRPr="00C0304F" w:rsidRDefault="00E36FF7" w:rsidP="004B2C59">
            <w:pPr>
              <w:rPr>
                <w:vertAlign w:val="superscript"/>
              </w:rPr>
            </w:pPr>
            <w:r w:rsidRPr="00C0304F">
              <w:t>2.029x10</w:t>
            </w:r>
            <w:r w:rsidRPr="00C0304F">
              <w:rPr>
                <w:vertAlign w:val="superscript"/>
              </w:rPr>
              <w:t>-5</w:t>
            </w:r>
          </w:p>
        </w:tc>
        <w:tc>
          <w:tcPr>
            <w:tcW w:w="1533" w:type="dxa"/>
            <w:vMerge w:val="restart"/>
          </w:tcPr>
          <w:p w14:paraId="1C4945BC" w14:textId="77777777" w:rsidR="00E36FF7" w:rsidRPr="00C0304F" w:rsidRDefault="00E36FF7" w:rsidP="004B2C59">
            <w:r w:rsidRPr="00C0304F">
              <w:t>-0.584</w:t>
            </w:r>
          </w:p>
        </w:tc>
      </w:tr>
      <w:tr w:rsidR="00E36FF7" w:rsidRPr="00C0304F" w14:paraId="5994ED66" w14:textId="77777777" w:rsidTr="004B2C59">
        <w:trPr>
          <w:trHeight w:val="392"/>
        </w:trPr>
        <w:tc>
          <w:tcPr>
            <w:tcW w:w="1787" w:type="dxa"/>
          </w:tcPr>
          <w:p w14:paraId="52C68B67" w14:textId="77777777" w:rsidR="00E36FF7" w:rsidRPr="00C0304F" w:rsidRDefault="00E36FF7" w:rsidP="004B2C59">
            <w:r w:rsidRPr="00C0304F">
              <w:t>Complex</w:t>
            </w:r>
          </w:p>
        </w:tc>
        <w:tc>
          <w:tcPr>
            <w:tcW w:w="1075" w:type="dxa"/>
          </w:tcPr>
          <w:p w14:paraId="25DECE7A" w14:textId="77777777" w:rsidR="00E36FF7" w:rsidRPr="00C0304F" w:rsidRDefault="00E36FF7" w:rsidP="004B2C59">
            <w:r w:rsidRPr="00C0304F">
              <w:t>4.148</w:t>
            </w:r>
          </w:p>
        </w:tc>
        <w:tc>
          <w:tcPr>
            <w:tcW w:w="1165" w:type="dxa"/>
          </w:tcPr>
          <w:p w14:paraId="6FA3F2E9" w14:textId="77777777" w:rsidR="00E36FF7" w:rsidRPr="00C0304F" w:rsidRDefault="00E36FF7" w:rsidP="004B2C59">
            <w:r w:rsidRPr="00C0304F">
              <w:t>3.313</w:t>
            </w:r>
          </w:p>
        </w:tc>
        <w:tc>
          <w:tcPr>
            <w:tcW w:w="991" w:type="dxa"/>
          </w:tcPr>
          <w:p w14:paraId="7FAAD79E" w14:textId="77777777" w:rsidR="00E36FF7" w:rsidRPr="00C0304F" w:rsidRDefault="00E36FF7" w:rsidP="004B2C59">
            <w:r w:rsidRPr="00C0304F">
              <w:t>76</w:t>
            </w:r>
          </w:p>
        </w:tc>
        <w:tc>
          <w:tcPr>
            <w:tcW w:w="1040" w:type="dxa"/>
            <w:vMerge/>
          </w:tcPr>
          <w:p w14:paraId="581EB5B8" w14:textId="77777777" w:rsidR="00E36FF7" w:rsidRPr="00C0304F" w:rsidRDefault="00E36FF7" w:rsidP="004B2C59"/>
        </w:tc>
        <w:tc>
          <w:tcPr>
            <w:tcW w:w="1338" w:type="dxa"/>
            <w:vMerge/>
          </w:tcPr>
          <w:p w14:paraId="2D2E2E49" w14:textId="77777777" w:rsidR="00E36FF7" w:rsidRPr="00C0304F" w:rsidRDefault="00E36FF7" w:rsidP="004B2C59"/>
        </w:tc>
        <w:tc>
          <w:tcPr>
            <w:tcW w:w="1533" w:type="dxa"/>
            <w:vMerge/>
          </w:tcPr>
          <w:p w14:paraId="5FB26336" w14:textId="77777777" w:rsidR="00E36FF7" w:rsidRPr="00C0304F" w:rsidRDefault="00E36FF7" w:rsidP="004B2C59"/>
        </w:tc>
      </w:tr>
    </w:tbl>
    <w:p w14:paraId="416459A4" w14:textId="77777777" w:rsidR="00E36FF7" w:rsidRPr="00C0304F" w:rsidRDefault="00E36FF7" w:rsidP="00E36FF7"/>
    <w:p w14:paraId="41CFBE85" w14:textId="77777777" w:rsidR="00E36FF7" w:rsidRPr="00C0304F" w:rsidRDefault="00E36FF7" w:rsidP="00E36FF7">
      <w:r w:rsidRPr="00C0304F">
        <w:t>Paired t-test comparing the local BF variation in double-peaked neurons and in the second peak of double-peaked neurons in mice.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075"/>
        <w:gridCol w:w="1165"/>
        <w:gridCol w:w="991"/>
        <w:gridCol w:w="1040"/>
        <w:gridCol w:w="1338"/>
        <w:gridCol w:w="1533"/>
      </w:tblGrid>
      <w:tr w:rsidR="00E36FF7" w:rsidRPr="00C0304F" w14:paraId="4F79AC17" w14:textId="77777777" w:rsidTr="004B2C59">
        <w:trPr>
          <w:trHeight w:val="263"/>
        </w:trPr>
        <w:tc>
          <w:tcPr>
            <w:tcW w:w="1787" w:type="dxa"/>
          </w:tcPr>
          <w:p w14:paraId="59CCDB44" w14:textId="77777777" w:rsidR="00E36FF7" w:rsidRPr="00C0304F" w:rsidRDefault="00E36FF7" w:rsidP="004B2C59">
            <w:pPr>
              <w:jc w:val="center"/>
            </w:pPr>
            <w:r w:rsidRPr="00C0304F">
              <w:t>Group</w:t>
            </w:r>
          </w:p>
        </w:tc>
        <w:tc>
          <w:tcPr>
            <w:tcW w:w="1075" w:type="dxa"/>
          </w:tcPr>
          <w:p w14:paraId="2304AF93" w14:textId="77777777" w:rsidR="00E36FF7" w:rsidRPr="00C0304F" w:rsidRDefault="00E36FF7" w:rsidP="004B2C59">
            <w:pPr>
              <w:jc w:val="center"/>
            </w:pPr>
            <w:r w:rsidRPr="00C0304F">
              <w:t>Mean</w:t>
            </w:r>
          </w:p>
        </w:tc>
        <w:tc>
          <w:tcPr>
            <w:tcW w:w="1165" w:type="dxa"/>
          </w:tcPr>
          <w:p w14:paraId="05D05526" w14:textId="77777777" w:rsidR="00E36FF7" w:rsidRPr="00C0304F" w:rsidRDefault="00E36FF7" w:rsidP="004B2C59">
            <w:pPr>
              <w:jc w:val="center"/>
            </w:pPr>
            <w:r w:rsidRPr="00C0304F">
              <w:t>Standard deviation</w:t>
            </w:r>
          </w:p>
        </w:tc>
        <w:tc>
          <w:tcPr>
            <w:tcW w:w="991" w:type="dxa"/>
          </w:tcPr>
          <w:p w14:paraId="245F55DE" w14:textId="77777777" w:rsidR="00E36FF7" w:rsidRPr="00C0304F" w:rsidRDefault="00E36FF7" w:rsidP="004B2C59">
            <w:pPr>
              <w:jc w:val="center"/>
            </w:pPr>
            <w:r w:rsidRPr="00C0304F">
              <w:t>N (FRA)</w:t>
            </w:r>
          </w:p>
        </w:tc>
        <w:tc>
          <w:tcPr>
            <w:tcW w:w="1040" w:type="dxa"/>
          </w:tcPr>
          <w:p w14:paraId="786DEEED" w14:textId="77777777" w:rsidR="00E36FF7" w:rsidRPr="00C0304F" w:rsidRDefault="00E36FF7" w:rsidP="004B2C59">
            <w:pPr>
              <w:jc w:val="center"/>
            </w:pPr>
            <w:r w:rsidRPr="00C0304F">
              <w:t>t value</w:t>
            </w:r>
          </w:p>
        </w:tc>
        <w:tc>
          <w:tcPr>
            <w:tcW w:w="1338" w:type="dxa"/>
          </w:tcPr>
          <w:p w14:paraId="2C73ECAA" w14:textId="77777777" w:rsidR="00E36FF7" w:rsidRPr="00C0304F" w:rsidRDefault="00E36FF7" w:rsidP="004B2C59">
            <w:pPr>
              <w:jc w:val="center"/>
            </w:pPr>
            <w:r w:rsidRPr="00C0304F">
              <w:t>p value</w:t>
            </w:r>
          </w:p>
        </w:tc>
        <w:tc>
          <w:tcPr>
            <w:tcW w:w="1533" w:type="dxa"/>
          </w:tcPr>
          <w:p w14:paraId="764B0541" w14:textId="77777777" w:rsidR="00E36FF7" w:rsidRPr="00C0304F" w:rsidRDefault="00E36FF7" w:rsidP="004B2C59">
            <w:pPr>
              <w:jc w:val="center"/>
            </w:pPr>
            <w:r w:rsidRPr="00C0304F">
              <w:t>Effect size</w:t>
            </w:r>
          </w:p>
          <w:p w14:paraId="3715841A" w14:textId="77777777" w:rsidR="00E36FF7" w:rsidRPr="00C0304F" w:rsidRDefault="00E36FF7" w:rsidP="004B2C59">
            <w:pPr>
              <w:jc w:val="center"/>
            </w:pPr>
            <w:r w:rsidRPr="00C0304F">
              <w:t>(Cohen’s d)</w:t>
            </w:r>
          </w:p>
        </w:tc>
      </w:tr>
      <w:tr w:rsidR="00E36FF7" w:rsidRPr="00C0304F" w14:paraId="24B14106" w14:textId="77777777" w:rsidTr="004B2C59">
        <w:trPr>
          <w:trHeight w:val="257"/>
        </w:trPr>
        <w:tc>
          <w:tcPr>
            <w:tcW w:w="1787" w:type="dxa"/>
          </w:tcPr>
          <w:p w14:paraId="09CBD59C" w14:textId="77777777" w:rsidR="00E36FF7" w:rsidRPr="00C0304F" w:rsidRDefault="00E36FF7" w:rsidP="004B2C59">
            <w:r w:rsidRPr="00C0304F">
              <w:t>Double-peaked</w:t>
            </w:r>
          </w:p>
        </w:tc>
        <w:tc>
          <w:tcPr>
            <w:tcW w:w="1075" w:type="dxa"/>
          </w:tcPr>
          <w:p w14:paraId="6BCE80AF" w14:textId="77777777" w:rsidR="00E36FF7" w:rsidRPr="00C0304F" w:rsidRDefault="00E36FF7" w:rsidP="004B2C59">
            <w:r w:rsidRPr="00C0304F">
              <w:t>2.737</w:t>
            </w:r>
          </w:p>
        </w:tc>
        <w:tc>
          <w:tcPr>
            <w:tcW w:w="1165" w:type="dxa"/>
          </w:tcPr>
          <w:p w14:paraId="6C2BB08F" w14:textId="77777777" w:rsidR="00E36FF7" w:rsidRPr="00C0304F" w:rsidRDefault="00E36FF7" w:rsidP="004B2C59">
            <w:r w:rsidRPr="00C0304F">
              <w:t>3.148</w:t>
            </w:r>
          </w:p>
        </w:tc>
        <w:tc>
          <w:tcPr>
            <w:tcW w:w="991" w:type="dxa"/>
          </w:tcPr>
          <w:p w14:paraId="632148DF" w14:textId="77777777" w:rsidR="00E36FF7" w:rsidRPr="00C0304F" w:rsidRDefault="00E36FF7" w:rsidP="004B2C59">
            <w:r w:rsidRPr="00C0304F">
              <w:t>87</w:t>
            </w:r>
          </w:p>
        </w:tc>
        <w:tc>
          <w:tcPr>
            <w:tcW w:w="1040" w:type="dxa"/>
            <w:vMerge w:val="restart"/>
          </w:tcPr>
          <w:p w14:paraId="0EF574A6" w14:textId="71B7D515" w:rsidR="00E36FF7" w:rsidRPr="00C0304F" w:rsidRDefault="00E36FF7" w:rsidP="004B2C59">
            <w:r w:rsidRPr="00C0304F">
              <w:t>1.149</w:t>
            </w:r>
          </w:p>
        </w:tc>
        <w:tc>
          <w:tcPr>
            <w:tcW w:w="1338" w:type="dxa"/>
            <w:vMerge w:val="restart"/>
          </w:tcPr>
          <w:p w14:paraId="7988AB6A" w14:textId="77777777" w:rsidR="00E36FF7" w:rsidRPr="00C0304F" w:rsidRDefault="00E36FF7" w:rsidP="004B2C59">
            <w:pPr>
              <w:rPr>
                <w:vertAlign w:val="superscript"/>
              </w:rPr>
            </w:pPr>
            <w:r w:rsidRPr="00C0304F">
              <w:t>0.254</w:t>
            </w:r>
          </w:p>
        </w:tc>
        <w:tc>
          <w:tcPr>
            <w:tcW w:w="1533" w:type="dxa"/>
            <w:vMerge w:val="restart"/>
          </w:tcPr>
          <w:p w14:paraId="0B24FAAC" w14:textId="77777777" w:rsidR="00E36FF7" w:rsidRPr="00C0304F" w:rsidRDefault="00E36FF7" w:rsidP="004B2C59">
            <w:r w:rsidRPr="00C0304F">
              <w:t>-0.140</w:t>
            </w:r>
          </w:p>
        </w:tc>
      </w:tr>
      <w:tr w:rsidR="00E36FF7" w:rsidRPr="00C0304F" w14:paraId="672E0BA6" w14:textId="77777777" w:rsidTr="004B2C59">
        <w:trPr>
          <w:trHeight w:val="392"/>
        </w:trPr>
        <w:tc>
          <w:tcPr>
            <w:tcW w:w="1787" w:type="dxa"/>
          </w:tcPr>
          <w:p w14:paraId="3F1840EC" w14:textId="77777777" w:rsidR="00E36FF7" w:rsidRPr="00C0304F" w:rsidRDefault="00E36FF7" w:rsidP="004B2C59">
            <w:r w:rsidRPr="00C0304F">
              <w:t>Peak2</w:t>
            </w:r>
          </w:p>
        </w:tc>
        <w:tc>
          <w:tcPr>
            <w:tcW w:w="1075" w:type="dxa"/>
          </w:tcPr>
          <w:p w14:paraId="207F6AFD" w14:textId="77777777" w:rsidR="00E36FF7" w:rsidRPr="00C0304F" w:rsidRDefault="00E36FF7" w:rsidP="004B2C59">
            <w:r w:rsidRPr="00C0304F">
              <w:t>3.194</w:t>
            </w:r>
          </w:p>
        </w:tc>
        <w:tc>
          <w:tcPr>
            <w:tcW w:w="1165" w:type="dxa"/>
          </w:tcPr>
          <w:p w14:paraId="533829CD" w14:textId="77777777" w:rsidR="00E36FF7" w:rsidRPr="00C0304F" w:rsidRDefault="00E36FF7" w:rsidP="004B2C59">
            <w:r w:rsidRPr="00C0304F">
              <w:t>3.369</w:t>
            </w:r>
          </w:p>
        </w:tc>
        <w:tc>
          <w:tcPr>
            <w:tcW w:w="991" w:type="dxa"/>
          </w:tcPr>
          <w:p w14:paraId="2CA878A9" w14:textId="77777777" w:rsidR="00E36FF7" w:rsidRPr="00C0304F" w:rsidRDefault="00E36FF7" w:rsidP="004B2C59">
            <w:r w:rsidRPr="00C0304F">
              <w:t>87</w:t>
            </w:r>
          </w:p>
        </w:tc>
        <w:tc>
          <w:tcPr>
            <w:tcW w:w="1040" w:type="dxa"/>
            <w:vMerge/>
          </w:tcPr>
          <w:p w14:paraId="5629C768" w14:textId="77777777" w:rsidR="00E36FF7" w:rsidRPr="00C0304F" w:rsidRDefault="00E36FF7" w:rsidP="004B2C59"/>
        </w:tc>
        <w:tc>
          <w:tcPr>
            <w:tcW w:w="1338" w:type="dxa"/>
            <w:vMerge/>
          </w:tcPr>
          <w:p w14:paraId="1BD3BCB9" w14:textId="77777777" w:rsidR="00E36FF7" w:rsidRPr="00C0304F" w:rsidRDefault="00E36FF7" w:rsidP="004B2C59"/>
        </w:tc>
        <w:tc>
          <w:tcPr>
            <w:tcW w:w="1533" w:type="dxa"/>
            <w:vMerge/>
          </w:tcPr>
          <w:p w14:paraId="24FBB3D0" w14:textId="77777777" w:rsidR="00E36FF7" w:rsidRPr="00C0304F" w:rsidRDefault="00E36FF7" w:rsidP="004B2C59"/>
        </w:tc>
      </w:tr>
    </w:tbl>
    <w:p w14:paraId="6C81DE61" w14:textId="77777777" w:rsidR="00E36FF7" w:rsidRPr="00C0304F" w:rsidRDefault="00E36FF7" w:rsidP="00E36FF7"/>
    <w:p w14:paraId="5619CCC5" w14:textId="77777777" w:rsidR="00DB25D5" w:rsidRPr="00C0304F" w:rsidRDefault="00DB25D5" w:rsidP="00C24C1D">
      <w:pPr>
        <w:rPr>
          <w:b/>
        </w:rPr>
      </w:pPr>
    </w:p>
    <w:p w14:paraId="1A3E7B10" w14:textId="074ABFE3" w:rsidR="00E36FF7" w:rsidRPr="00C0304F" w:rsidRDefault="005C7DF5" w:rsidP="00C24C1D">
      <w:r w:rsidRPr="00C0304F">
        <w:rPr>
          <w:b/>
        </w:rPr>
        <w:t>8</w:t>
      </w:r>
      <w:r w:rsidR="006330EB" w:rsidRPr="00C0304F">
        <w:rPr>
          <w:b/>
        </w:rPr>
        <w:t>.</w:t>
      </w:r>
      <w:r w:rsidR="00E36FF7" w:rsidRPr="00C0304F">
        <w:rPr>
          <w:b/>
        </w:rPr>
        <w:t xml:space="preserve"> Figure 5E</w:t>
      </w:r>
      <w:r w:rsidR="006330EB" w:rsidRPr="00C0304F">
        <w:t xml:space="preserve"> </w:t>
      </w:r>
    </w:p>
    <w:p w14:paraId="5F522CBE" w14:textId="29B38060" w:rsidR="00C24C1D" w:rsidRPr="00C0304F" w:rsidRDefault="00C24C1D" w:rsidP="00C24C1D">
      <w:r w:rsidRPr="00C0304F">
        <w:t>Unpaired t-test comparing the</w:t>
      </w:r>
      <w:r w:rsidR="003A22DD" w:rsidRPr="00C0304F">
        <w:t xml:space="preserve"> local</w:t>
      </w:r>
      <w:r w:rsidRPr="00C0304F">
        <w:t xml:space="preserve"> BF variation in single-peaked neurons in ferret</w:t>
      </w:r>
      <w:r w:rsidR="003A22DD" w:rsidRPr="00C0304F">
        <w:t>s and mice without accounting for ACx span and hearing range</w:t>
      </w:r>
      <w:r w:rsidRPr="00C0304F"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87"/>
        <w:gridCol w:w="1075"/>
        <w:gridCol w:w="1165"/>
        <w:gridCol w:w="991"/>
        <w:gridCol w:w="1040"/>
        <w:gridCol w:w="1338"/>
        <w:gridCol w:w="1533"/>
      </w:tblGrid>
      <w:tr w:rsidR="00C24C1D" w:rsidRPr="00C0304F" w14:paraId="3B65ABD1" w14:textId="77777777" w:rsidTr="00C24C1D">
        <w:trPr>
          <w:trHeight w:val="263"/>
        </w:trPr>
        <w:tc>
          <w:tcPr>
            <w:tcW w:w="1787" w:type="dxa"/>
          </w:tcPr>
          <w:p w14:paraId="6E8B5ED2" w14:textId="77777777" w:rsidR="00C24C1D" w:rsidRPr="00C0304F" w:rsidRDefault="00C24C1D" w:rsidP="00C24C1D">
            <w:pPr>
              <w:jc w:val="center"/>
            </w:pPr>
            <w:r w:rsidRPr="00C0304F">
              <w:t>Group</w:t>
            </w:r>
          </w:p>
        </w:tc>
        <w:tc>
          <w:tcPr>
            <w:tcW w:w="1075" w:type="dxa"/>
          </w:tcPr>
          <w:p w14:paraId="73C18A68" w14:textId="77777777" w:rsidR="00C24C1D" w:rsidRPr="00C0304F" w:rsidRDefault="00C24C1D" w:rsidP="00C24C1D">
            <w:pPr>
              <w:jc w:val="center"/>
            </w:pPr>
            <w:r w:rsidRPr="00C0304F">
              <w:t>Mean</w:t>
            </w:r>
          </w:p>
        </w:tc>
        <w:tc>
          <w:tcPr>
            <w:tcW w:w="1165" w:type="dxa"/>
          </w:tcPr>
          <w:p w14:paraId="62E7BC2E" w14:textId="77777777" w:rsidR="00C24C1D" w:rsidRPr="00C0304F" w:rsidRDefault="00C24C1D" w:rsidP="00C24C1D">
            <w:pPr>
              <w:jc w:val="center"/>
            </w:pPr>
            <w:r w:rsidRPr="00C0304F">
              <w:t>Standard deviation</w:t>
            </w:r>
          </w:p>
        </w:tc>
        <w:tc>
          <w:tcPr>
            <w:tcW w:w="991" w:type="dxa"/>
          </w:tcPr>
          <w:p w14:paraId="6F2B090D" w14:textId="77777777" w:rsidR="00C24C1D" w:rsidRPr="00C0304F" w:rsidRDefault="00C24C1D" w:rsidP="00C24C1D">
            <w:pPr>
              <w:jc w:val="center"/>
            </w:pPr>
            <w:r w:rsidRPr="00C0304F">
              <w:t>N (FRA)</w:t>
            </w:r>
          </w:p>
        </w:tc>
        <w:tc>
          <w:tcPr>
            <w:tcW w:w="1040" w:type="dxa"/>
          </w:tcPr>
          <w:p w14:paraId="6107177B" w14:textId="77777777" w:rsidR="00C24C1D" w:rsidRPr="00C0304F" w:rsidRDefault="00C24C1D" w:rsidP="00C24C1D">
            <w:pPr>
              <w:jc w:val="center"/>
            </w:pPr>
            <w:r w:rsidRPr="00C0304F">
              <w:t>t value</w:t>
            </w:r>
          </w:p>
        </w:tc>
        <w:tc>
          <w:tcPr>
            <w:tcW w:w="1338" w:type="dxa"/>
          </w:tcPr>
          <w:p w14:paraId="681CA8EA" w14:textId="77777777" w:rsidR="00C24C1D" w:rsidRPr="00C0304F" w:rsidRDefault="00C24C1D" w:rsidP="00C24C1D">
            <w:pPr>
              <w:jc w:val="center"/>
            </w:pPr>
            <w:r w:rsidRPr="00C0304F">
              <w:t>p value</w:t>
            </w:r>
          </w:p>
        </w:tc>
        <w:tc>
          <w:tcPr>
            <w:tcW w:w="1533" w:type="dxa"/>
          </w:tcPr>
          <w:p w14:paraId="2E89140B" w14:textId="77777777" w:rsidR="00C24C1D" w:rsidRPr="00C0304F" w:rsidRDefault="00C24C1D" w:rsidP="00C24C1D">
            <w:pPr>
              <w:jc w:val="center"/>
            </w:pPr>
            <w:r w:rsidRPr="00C0304F">
              <w:t>Effect size</w:t>
            </w:r>
          </w:p>
          <w:p w14:paraId="5BD2A736" w14:textId="77777777" w:rsidR="00C24C1D" w:rsidRPr="00C0304F" w:rsidRDefault="00C24C1D" w:rsidP="00C24C1D">
            <w:pPr>
              <w:jc w:val="center"/>
            </w:pPr>
            <w:r w:rsidRPr="00C0304F">
              <w:t>(Cohen’s d)</w:t>
            </w:r>
          </w:p>
        </w:tc>
      </w:tr>
      <w:tr w:rsidR="00C24C1D" w:rsidRPr="00C0304F" w14:paraId="170BA64E" w14:textId="77777777" w:rsidTr="00C24C1D">
        <w:trPr>
          <w:trHeight w:val="257"/>
        </w:trPr>
        <w:tc>
          <w:tcPr>
            <w:tcW w:w="1787" w:type="dxa"/>
          </w:tcPr>
          <w:p w14:paraId="467D4BAA" w14:textId="77777777" w:rsidR="00C24C1D" w:rsidRPr="00C0304F" w:rsidRDefault="003A22DD" w:rsidP="00C24C1D">
            <w:r w:rsidRPr="00C0304F">
              <w:t>Ferret</w:t>
            </w:r>
          </w:p>
        </w:tc>
        <w:tc>
          <w:tcPr>
            <w:tcW w:w="1075" w:type="dxa"/>
          </w:tcPr>
          <w:p w14:paraId="4FCC9153" w14:textId="106A0595" w:rsidR="00C24C1D" w:rsidRPr="00C0304F" w:rsidRDefault="003E02BD" w:rsidP="00C24C1D">
            <w:r w:rsidRPr="00C0304F">
              <w:t>1.326</w:t>
            </w:r>
          </w:p>
        </w:tc>
        <w:tc>
          <w:tcPr>
            <w:tcW w:w="1165" w:type="dxa"/>
          </w:tcPr>
          <w:p w14:paraId="75EFEB73" w14:textId="176AEC70" w:rsidR="00C24C1D" w:rsidRPr="00C0304F" w:rsidRDefault="003E02BD" w:rsidP="00C24C1D">
            <w:r w:rsidRPr="00C0304F">
              <w:t>1.632</w:t>
            </w:r>
          </w:p>
        </w:tc>
        <w:tc>
          <w:tcPr>
            <w:tcW w:w="991" w:type="dxa"/>
          </w:tcPr>
          <w:p w14:paraId="102893DD" w14:textId="0FF167E0" w:rsidR="00C24C1D" w:rsidRPr="00C0304F" w:rsidRDefault="003E02BD" w:rsidP="00C24C1D">
            <w:r w:rsidRPr="00C0304F">
              <w:t>272</w:t>
            </w:r>
          </w:p>
        </w:tc>
        <w:tc>
          <w:tcPr>
            <w:tcW w:w="1040" w:type="dxa"/>
            <w:vMerge w:val="restart"/>
          </w:tcPr>
          <w:p w14:paraId="7FBD4D23" w14:textId="3975A7EC" w:rsidR="00C24C1D" w:rsidRPr="00C0304F" w:rsidRDefault="003E02BD" w:rsidP="00C24C1D">
            <w:r w:rsidRPr="00C0304F">
              <w:t>5.619</w:t>
            </w:r>
          </w:p>
        </w:tc>
        <w:tc>
          <w:tcPr>
            <w:tcW w:w="1338" w:type="dxa"/>
            <w:vMerge w:val="restart"/>
          </w:tcPr>
          <w:p w14:paraId="1C453F56" w14:textId="3C7AB000" w:rsidR="00C24C1D" w:rsidRPr="00C0304F" w:rsidRDefault="003E02BD" w:rsidP="00C24C1D">
            <w:pPr>
              <w:rPr>
                <w:vertAlign w:val="superscript"/>
              </w:rPr>
            </w:pPr>
            <w:r w:rsidRPr="00C0304F">
              <w:t>2.508</w:t>
            </w:r>
            <w:r w:rsidR="003A22DD" w:rsidRPr="00C0304F">
              <w:t>x10</w:t>
            </w:r>
            <w:r w:rsidRPr="00C0304F">
              <w:rPr>
                <w:vertAlign w:val="superscript"/>
              </w:rPr>
              <w:t>-8</w:t>
            </w:r>
          </w:p>
        </w:tc>
        <w:tc>
          <w:tcPr>
            <w:tcW w:w="1533" w:type="dxa"/>
            <w:vMerge w:val="restart"/>
          </w:tcPr>
          <w:p w14:paraId="279B9764" w14:textId="583080B1" w:rsidR="00C24C1D" w:rsidRPr="00C0304F" w:rsidRDefault="003E02BD" w:rsidP="00C24C1D">
            <w:r w:rsidRPr="00C0304F">
              <w:t>-0.401</w:t>
            </w:r>
          </w:p>
        </w:tc>
      </w:tr>
      <w:tr w:rsidR="00C24C1D" w:rsidRPr="00C0304F" w14:paraId="4A364FC8" w14:textId="77777777" w:rsidTr="00C24C1D">
        <w:trPr>
          <w:trHeight w:val="392"/>
        </w:trPr>
        <w:tc>
          <w:tcPr>
            <w:tcW w:w="1787" w:type="dxa"/>
          </w:tcPr>
          <w:p w14:paraId="34F7C30C" w14:textId="77777777" w:rsidR="00C24C1D" w:rsidRPr="00C0304F" w:rsidRDefault="003A22DD" w:rsidP="00C24C1D">
            <w:r w:rsidRPr="00C0304F">
              <w:t>Mice</w:t>
            </w:r>
          </w:p>
        </w:tc>
        <w:tc>
          <w:tcPr>
            <w:tcW w:w="1075" w:type="dxa"/>
          </w:tcPr>
          <w:p w14:paraId="20026C7E" w14:textId="3E2D734B" w:rsidR="00C24C1D" w:rsidRPr="00C0304F" w:rsidRDefault="006A77A5" w:rsidP="00C24C1D">
            <w:r w:rsidRPr="00C0304F">
              <w:t>2.176</w:t>
            </w:r>
          </w:p>
        </w:tc>
        <w:tc>
          <w:tcPr>
            <w:tcW w:w="1165" w:type="dxa"/>
          </w:tcPr>
          <w:p w14:paraId="1808DC0B" w14:textId="31B95CD6" w:rsidR="00C24C1D" w:rsidRPr="00C0304F" w:rsidRDefault="006A77A5" w:rsidP="00C24C1D">
            <w:r w:rsidRPr="00C0304F">
              <w:t>2.279</w:t>
            </w:r>
          </w:p>
        </w:tc>
        <w:tc>
          <w:tcPr>
            <w:tcW w:w="991" w:type="dxa"/>
          </w:tcPr>
          <w:p w14:paraId="26EE434D" w14:textId="6C48A559" w:rsidR="00C24C1D" w:rsidRPr="00C0304F" w:rsidRDefault="006A77A5" w:rsidP="00C24C1D">
            <w:r w:rsidRPr="00C0304F">
              <w:t>709</w:t>
            </w:r>
          </w:p>
        </w:tc>
        <w:tc>
          <w:tcPr>
            <w:tcW w:w="1040" w:type="dxa"/>
            <w:vMerge/>
          </w:tcPr>
          <w:p w14:paraId="1D98A862" w14:textId="77777777" w:rsidR="00C24C1D" w:rsidRPr="00C0304F" w:rsidRDefault="00C24C1D" w:rsidP="00C24C1D"/>
        </w:tc>
        <w:tc>
          <w:tcPr>
            <w:tcW w:w="1338" w:type="dxa"/>
            <w:vMerge/>
          </w:tcPr>
          <w:p w14:paraId="04806F0D" w14:textId="77777777" w:rsidR="00C24C1D" w:rsidRPr="00C0304F" w:rsidRDefault="00C24C1D" w:rsidP="00C24C1D"/>
        </w:tc>
        <w:tc>
          <w:tcPr>
            <w:tcW w:w="1533" w:type="dxa"/>
            <w:vMerge/>
          </w:tcPr>
          <w:p w14:paraId="4E310915" w14:textId="77777777" w:rsidR="00C24C1D" w:rsidRPr="00C0304F" w:rsidRDefault="00C24C1D" w:rsidP="00C24C1D"/>
        </w:tc>
      </w:tr>
    </w:tbl>
    <w:p w14:paraId="209F8DBD" w14:textId="77777777" w:rsidR="00C24C1D" w:rsidRPr="00C0304F" w:rsidRDefault="00C24C1D" w:rsidP="00C24C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40D5C96" w14:textId="2ED9C2F1" w:rsidR="006330EB" w:rsidRPr="00C0304F" w:rsidRDefault="006330EB" w:rsidP="00EB1066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3186B2B" w14:textId="77777777" w:rsidR="00934A07" w:rsidRPr="00C0304F" w:rsidRDefault="00934A07" w:rsidP="00EB1066">
      <w:pPr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7241CFD" w14:textId="64B1E247" w:rsidR="00E36FF7" w:rsidRPr="00C0304F" w:rsidRDefault="005C7DF5" w:rsidP="00EB1066">
      <w:r w:rsidRPr="00C0304F">
        <w:rPr>
          <w:b/>
        </w:rPr>
        <w:lastRenderedPageBreak/>
        <w:t>9</w:t>
      </w:r>
      <w:r w:rsidR="006330EB" w:rsidRPr="00C0304F">
        <w:rPr>
          <w:b/>
        </w:rPr>
        <w:t>.</w:t>
      </w:r>
      <w:r w:rsidR="00E36FF7" w:rsidRPr="00C0304F">
        <w:rPr>
          <w:b/>
        </w:rPr>
        <w:t xml:space="preserve"> Figure 5F</w:t>
      </w:r>
      <w:r w:rsidR="006330EB" w:rsidRPr="00C0304F">
        <w:t xml:space="preserve"> </w:t>
      </w:r>
    </w:p>
    <w:p w14:paraId="2FA5A090" w14:textId="73569AB3" w:rsidR="00EB1066" w:rsidRPr="00C0304F" w:rsidRDefault="00EB1066" w:rsidP="00EB1066">
      <w:r w:rsidRPr="00C0304F">
        <w:t xml:space="preserve">2-way ANOVA comparing the proportion of BFs within expected range with FRA class and species as predictors.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9"/>
        <w:gridCol w:w="2233"/>
        <w:gridCol w:w="1559"/>
        <w:gridCol w:w="1560"/>
        <w:gridCol w:w="1701"/>
      </w:tblGrid>
      <w:tr w:rsidR="00EB1066" w:rsidRPr="00C0304F" w14:paraId="3321E729" w14:textId="77777777" w:rsidTr="00723647">
        <w:tc>
          <w:tcPr>
            <w:tcW w:w="1419" w:type="dxa"/>
          </w:tcPr>
          <w:p w14:paraId="000D8564" w14:textId="77777777" w:rsidR="00EB1066" w:rsidRPr="00C0304F" w:rsidRDefault="00EB1066" w:rsidP="00723647">
            <w:r w:rsidRPr="00C0304F">
              <w:t>Dependent variable</w:t>
            </w:r>
          </w:p>
        </w:tc>
        <w:tc>
          <w:tcPr>
            <w:tcW w:w="2233" w:type="dxa"/>
          </w:tcPr>
          <w:p w14:paraId="21C2EEF9" w14:textId="77777777" w:rsidR="00EB1066" w:rsidRPr="00C0304F" w:rsidRDefault="00EB1066" w:rsidP="00723647">
            <w:r w:rsidRPr="00C0304F">
              <w:t>Degrees of freedom</w:t>
            </w:r>
          </w:p>
        </w:tc>
        <w:tc>
          <w:tcPr>
            <w:tcW w:w="1559" w:type="dxa"/>
          </w:tcPr>
          <w:p w14:paraId="4E568F4A" w14:textId="77777777" w:rsidR="00EB1066" w:rsidRPr="00C0304F" w:rsidRDefault="00EB1066" w:rsidP="00723647">
            <w:r w:rsidRPr="00C0304F">
              <w:t>F value</w:t>
            </w:r>
          </w:p>
        </w:tc>
        <w:tc>
          <w:tcPr>
            <w:tcW w:w="1560" w:type="dxa"/>
          </w:tcPr>
          <w:p w14:paraId="69C3E046" w14:textId="77777777" w:rsidR="00EB1066" w:rsidRPr="00C0304F" w:rsidRDefault="00EB1066" w:rsidP="00723647">
            <w:r w:rsidRPr="00C0304F">
              <w:t>p value</w:t>
            </w:r>
          </w:p>
        </w:tc>
        <w:tc>
          <w:tcPr>
            <w:tcW w:w="1701" w:type="dxa"/>
          </w:tcPr>
          <w:p w14:paraId="1A7FC7D5" w14:textId="77777777" w:rsidR="00EB1066" w:rsidRPr="00C0304F" w:rsidRDefault="00EB1066" w:rsidP="00723647">
            <w:r w:rsidRPr="00C0304F">
              <w:t>Effect size (Eta squared)</w:t>
            </w:r>
          </w:p>
        </w:tc>
      </w:tr>
      <w:tr w:rsidR="00EB1066" w:rsidRPr="00C0304F" w14:paraId="6C00C912" w14:textId="77777777" w:rsidTr="00723647">
        <w:tc>
          <w:tcPr>
            <w:tcW w:w="1419" w:type="dxa"/>
          </w:tcPr>
          <w:p w14:paraId="36ADCCE3" w14:textId="73D1071B" w:rsidR="00EB1066" w:rsidRPr="00C0304F" w:rsidRDefault="00EB1066" w:rsidP="00EB1066">
            <w:r w:rsidRPr="00C0304F">
              <w:t xml:space="preserve">FRA </w:t>
            </w:r>
            <w:r w:rsidR="00320910" w:rsidRPr="00C0304F">
              <w:t>class</w:t>
            </w:r>
          </w:p>
        </w:tc>
        <w:tc>
          <w:tcPr>
            <w:tcW w:w="2233" w:type="dxa"/>
          </w:tcPr>
          <w:p w14:paraId="4499F4C2" w14:textId="6E876B7E" w:rsidR="00EB1066" w:rsidRPr="00C0304F" w:rsidRDefault="00320910" w:rsidP="00723647">
            <w:r w:rsidRPr="00C0304F">
              <w:t>2</w:t>
            </w:r>
          </w:p>
        </w:tc>
        <w:tc>
          <w:tcPr>
            <w:tcW w:w="1559" w:type="dxa"/>
          </w:tcPr>
          <w:p w14:paraId="614F9D94" w14:textId="629FD254" w:rsidR="00EB1066" w:rsidRPr="00C0304F" w:rsidRDefault="00EB66D6" w:rsidP="00723647">
            <w:r>
              <w:t>8.41</w:t>
            </w:r>
          </w:p>
        </w:tc>
        <w:tc>
          <w:tcPr>
            <w:tcW w:w="1560" w:type="dxa"/>
          </w:tcPr>
          <w:p w14:paraId="465D0E35" w14:textId="196A415F" w:rsidR="00EB1066" w:rsidRPr="00EB66D6" w:rsidRDefault="00EB66D6" w:rsidP="00723647">
            <w:pPr>
              <w:rPr>
                <w:rFonts w:cstheme="minorHAnsi"/>
              </w:rPr>
            </w:pPr>
            <w:r w:rsidRPr="00EB66D6">
              <w:rPr>
                <w:rFonts w:cstheme="minorHAnsi"/>
              </w:rPr>
              <w:t>4.3 x 10</w:t>
            </w:r>
            <w:r w:rsidRPr="00EB66D6">
              <w:rPr>
                <w:rFonts w:cstheme="minorHAnsi"/>
                <w:vertAlign w:val="superscript"/>
              </w:rPr>
              <w:t>-4</w:t>
            </w:r>
          </w:p>
        </w:tc>
        <w:tc>
          <w:tcPr>
            <w:tcW w:w="1701" w:type="dxa"/>
          </w:tcPr>
          <w:p w14:paraId="7AF6E01E" w14:textId="6DD92C8D" w:rsidR="00EB1066" w:rsidRPr="00C0304F" w:rsidRDefault="00F87776" w:rsidP="00723647">
            <w:r w:rsidRPr="00C0304F">
              <w:t>0.</w:t>
            </w:r>
            <w:r w:rsidR="00EB66D6">
              <w:t>14</w:t>
            </w:r>
          </w:p>
        </w:tc>
      </w:tr>
      <w:tr w:rsidR="00723647" w:rsidRPr="00C0304F" w14:paraId="062EAEDB" w14:textId="77777777" w:rsidTr="00723647">
        <w:tc>
          <w:tcPr>
            <w:tcW w:w="1419" w:type="dxa"/>
          </w:tcPr>
          <w:p w14:paraId="752EA036" w14:textId="77777777" w:rsidR="00723647" w:rsidRPr="00C0304F" w:rsidRDefault="00723647" w:rsidP="00723647">
            <w:r w:rsidRPr="00C0304F">
              <w:t>Species</w:t>
            </w:r>
          </w:p>
        </w:tc>
        <w:tc>
          <w:tcPr>
            <w:tcW w:w="2233" w:type="dxa"/>
          </w:tcPr>
          <w:p w14:paraId="18C52E62" w14:textId="77777777" w:rsidR="00723647" w:rsidRPr="00C0304F" w:rsidRDefault="00723647" w:rsidP="00723647">
            <w:r w:rsidRPr="00C0304F">
              <w:t>1</w:t>
            </w:r>
          </w:p>
        </w:tc>
        <w:tc>
          <w:tcPr>
            <w:tcW w:w="1559" w:type="dxa"/>
          </w:tcPr>
          <w:p w14:paraId="5F911554" w14:textId="319B43F7" w:rsidR="00723647" w:rsidRPr="00C0304F" w:rsidRDefault="00EB66D6" w:rsidP="00EB66D6">
            <w:r>
              <w:t>3</w:t>
            </w:r>
            <w:r w:rsidR="00320910" w:rsidRPr="00C0304F">
              <w:t>.</w:t>
            </w:r>
            <w:r>
              <w:t>72</w:t>
            </w:r>
          </w:p>
        </w:tc>
        <w:tc>
          <w:tcPr>
            <w:tcW w:w="1560" w:type="dxa"/>
          </w:tcPr>
          <w:p w14:paraId="5BEC2C67" w14:textId="2B1EDAE5" w:rsidR="00723647" w:rsidRPr="00C0304F" w:rsidRDefault="00F87776" w:rsidP="00723647">
            <w:r w:rsidRPr="00C0304F">
              <w:t>0.</w:t>
            </w:r>
            <w:r w:rsidR="00EB66D6">
              <w:t>06</w:t>
            </w:r>
          </w:p>
        </w:tc>
        <w:tc>
          <w:tcPr>
            <w:tcW w:w="1701" w:type="dxa"/>
          </w:tcPr>
          <w:p w14:paraId="0E70530C" w14:textId="7FA33E51" w:rsidR="00723647" w:rsidRPr="00C0304F" w:rsidRDefault="00F87776" w:rsidP="00723647">
            <w:r w:rsidRPr="00C0304F">
              <w:t>0.0</w:t>
            </w:r>
            <w:r w:rsidR="00EB66D6">
              <w:t>3</w:t>
            </w:r>
          </w:p>
        </w:tc>
      </w:tr>
      <w:tr w:rsidR="00723647" w:rsidRPr="00C0304F" w14:paraId="54C983AC" w14:textId="77777777" w:rsidTr="00723647">
        <w:tc>
          <w:tcPr>
            <w:tcW w:w="1419" w:type="dxa"/>
          </w:tcPr>
          <w:p w14:paraId="47F6C393" w14:textId="77777777" w:rsidR="00723647" w:rsidRPr="00C0304F" w:rsidRDefault="00723647" w:rsidP="00723647">
            <w:r w:rsidRPr="00C0304F">
              <w:t>Interaction</w:t>
            </w:r>
          </w:p>
        </w:tc>
        <w:tc>
          <w:tcPr>
            <w:tcW w:w="2233" w:type="dxa"/>
          </w:tcPr>
          <w:p w14:paraId="60B9CB32" w14:textId="45ECC642" w:rsidR="00723647" w:rsidRPr="00C0304F" w:rsidRDefault="00320910" w:rsidP="00723647">
            <w:r w:rsidRPr="00C0304F">
              <w:t>2</w:t>
            </w:r>
          </w:p>
        </w:tc>
        <w:tc>
          <w:tcPr>
            <w:tcW w:w="1559" w:type="dxa"/>
          </w:tcPr>
          <w:p w14:paraId="52B5337A" w14:textId="1129D882" w:rsidR="00723647" w:rsidRPr="00C0304F" w:rsidRDefault="00EB66D6" w:rsidP="00723647">
            <w:r>
              <w:t>1.66</w:t>
            </w:r>
          </w:p>
        </w:tc>
        <w:tc>
          <w:tcPr>
            <w:tcW w:w="1560" w:type="dxa"/>
          </w:tcPr>
          <w:p w14:paraId="0C84A1E5" w14:textId="57F2CAD8" w:rsidR="00723647" w:rsidRPr="00C0304F" w:rsidRDefault="00EB66D6" w:rsidP="00723647">
            <w:r>
              <w:t>0.19</w:t>
            </w:r>
          </w:p>
        </w:tc>
        <w:tc>
          <w:tcPr>
            <w:tcW w:w="1701" w:type="dxa"/>
          </w:tcPr>
          <w:p w14:paraId="5743881C" w14:textId="7AD211E3" w:rsidR="00723647" w:rsidRPr="00C0304F" w:rsidRDefault="00F87776" w:rsidP="00EB66D6">
            <w:r w:rsidRPr="00C0304F">
              <w:t>0.</w:t>
            </w:r>
            <w:r w:rsidR="00EB66D6">
              <w:t>03</w:t>
            </w:r>
          </w:p>
        </w:tc>
      </w:tr>
    </w:tbl>
    <w:p w14:paraId="51CD2DBB" w14:textId="77777777" w:rsidR="00EB1066" w:rsidRPr="00C0304F" w:rsidRDefault="00EB1066" w:rsidP="00EB1066"/>
    <w:p w14:paraId="47604D61" w14:textId="77777777" w:rsidR="00EB1066" w:rsidRPr="00C0304F" w:rsidRDefault="00EB1066" w:rsidP="00EB1066">
      <w:r w:rsidRPr="00C0304F">
        <w:t xml:space="preserve">Post-hoc pairwise comparisons between </w:t>
      </w:r>
      <w:r w:rsidR="00723647" w:rsidRPr="00C0304F">
        <w:t>the proportion of BFs within expected range</w:t>
      </w:r>
      <w:r w:rsidRPr="00C0304F">
        <w:t xml:space="preserve"> </w:t>
      </w:r>
      <w:r w:rsidR="00723647" w:rsidRPr="00C0304F">
        <w:t xml:space="preserve">for </w:t>
      </w:r>
      <w:r w:rsidRPr="00C0304F">
        <w:t xml:space="preserve">different FRA types </w:t>
      </w:r>
      <w:r w:rsidR="00723647" w:rsidRPr="00C0304F">
        <w:t xml:space="preserve">in mice </w:t>
      </w:r>
      <w:r w:rsidR="005406B8" w:rsidRPr="00C0304F">
        <w:t>relative</w:t>
      </w:r>
      <w:r w:rsidR="00723647" w:rsidRPr="00C0304F">
        <w:t xml:space="preserve"> to ferrets. P</w:t>
      </w:r>
      <w:r w:rsidRPr="00C0304F">
        <w:t xml:space="preserve">erformed on results of the above ANOVA, using Tukey’s HSD criterion.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350"/>
        <w:gridCol w:w="1377"/>
        <w:gridCol w:w="1349"/>
        <w:gridCol w:w="1435"/>
      </w:tblGrid>
      <w:tr w:rsidR="00723647" w:rsidRPr="00C0304F" w14:paraId="5081DE0E" w14:textId="77777777" w:rsidTr="00AC7331">
        <w:tc>
          <w:tcPr>
            <w:tcW w:w="3505" w:type="dxa"/>
          </w:tcPr>
          <w:p w14:paraId="54855209" w14:textId="77777777" w:rsidR="00723647" w:rsidRPr="00C0304F" w:rsidRDefault="00723647" w:rsidP="00723647">
            <w:r w:rsidRPr="00C0304F">
              <w:t>FRA types compared between mice and ferrets</w:t>
            </w:r>
          </w:p>
        </w:tc>
        <w:tc>
          <w:tcPr>
            <w:tcW w:w="1350" w:type="dxa"/>
          </w:tcPr>
          <w:p w14:paraId="19A90E45" w14:textId="77777777" w:rsidR="00723647" w:rsidRPr="00C0304F" w:rsidRDefault="00723647" w:rsidP="00723647">
            <w:r w:rsidRPr="00C0304F">
              <w:t>Lower confidence interval</w:t>
            </w:r>
          </w:p>
        </w:tc>
        <w:tc>
          <w:tcPr>
            <w:tcW w:w="1377" w:type="dxa"/>
          </w:tcPr>
          <w:p w14:paraId="05952F3B" w14:textId="77777777" w:rsidR="00723647" w:rsidRPr="00C0304F" w:rsidRDefault="00723647" w:rsidP="00723647">
            <w:r w:rsidRPr="00C0304F">
              <w:t>Mean</w:t>
            </w:r>
          </w:p>
        </w:tc>
        <w:tc>
          <w:tcPr>
            <w:tcW w:w="1349" w:type="dxa"/>
          </w:tcPr>
          <w:p w14:paraId="4741ACD2" w14:textId="77777777" w:rsidR="00723647" w:rsidRPr="00C0304F" w:rsidRDefault="00723647" w:rsidP="00723647">
            <w:r w:rsidRPr="00C0304F">
              <w:t>Upper confidence interval</w:t>
            </w:r>
          </w:p>
        </w:tc>
        <w:tc>
          <w:tcPr>
            <w:tcW w:w="1435" w:type="dxa"/>
          </w:tcPr>
          <w:p w14:paraId="3D8FCB95" w14:textId="77777777" w:rsidR="00723647" w:rsidRPr="00C0304F" w:rsidRDefault="00723647" w:rsidP="00723647">
            <w:r w:rsidRPr="00C0304F">
              <w:t>p value</w:t>
            </w:r>
          </w:p>
        </w:tc>
      </w:tr>
      <w:tr w:rsidR="00723647" w:rsidRPr="00C0304F" w14:paraId="28C34DBB" w14:textId="77777777" w:rsidTr="00AC7331">
        <w:tc>
          <w:tcPr>
            <w:tcW w:w="3505" w:type="dxa"/>
          </w:tcPr>
          <w:p w14:paraId="2130B181" w14:textId="77777777" w:rsidR="00723647" w:rsidRPr="00C0304F" w:rsidRDefault="00723647" w:rsidP="00723647">
            <w:r w:rsidRPr="00C0304F">
              <w:t>Single-peaked</w:t>
            </w:r>
            <w:r w:rsidR="005406B8" w:rsidRPr="00C0304F">
              <w:t xml:space="preserve"> (BF</w:t>
            </w:r>
            <w:r w:rsidR="005406B8" w:rsidRPr="00C0304F">
              <w:rPr>
                <w:vertAlign w:val="subscript"/>
              </w:rPr>
              <w:t>s</w:t>
            </w:r>
            <w:r w:rsidR="005406B8" w:rsidRPr="00C0304F">
              <w:t>)</w:t>
            </w:r>
          </w:p>
        </w:tc>
        <w:tc>
          <w:tcPr>
            <w:tcW w:w="1350" w:type="dxa"/>
          </w:tcPr>
          <w:p w14:paraId="64166359" w14:textId="21ECF50B" w:rsidR="00723647" w:rsidRPr="00C0304F" w:rsidRDefault="00F2068C" w:rsidP="00723647">
            <w:r w:rsidRPr="00C0304F">
              <w:t>-0.</w:t>
            </w:r>
            <w:r w:rsidR="00EB66D6">
              <w:t>31</w:t>
            </w:r>
          </w:p>
        </w:tc>
        <w:tc>
          <w:tcPr>
            <w:tcW w:w="1377" w:type="dxa"/>
          </w:tcPr>
          <w:p w14:paraId="49EE4418" w14:textId="1BB0BB8A" w:rsidR="00723647" w:rsidRPr="00C0304F" w:rsidRDefault="00F2068C" w:rsidP="00F2068C">
            <w:r w:rsidRPr="00C0304F">
              <w:t>-</w:t>
            </w:r>
            <w:r w:rsidR="00EB66D6">
              <w:t>6</w:t>
            </w:r>
            <w:r w:rsidRPr="00C0304F">
              <w:t>.</w:t>
            </w:r>
            <w:r w:rsidR="00EB66D6">
              <w:t>7</w:t>
            </w:r>
            <w:r w:rsidR="00AC7331" w:rsidRPr="00C0304F">
              <w:t>x10</w:t>
            </w:r>
            <w:r w:rsidR="00EB66D6">
              <w:rPr>
                <w:vertAlign w:val="superscript"/>
              </w:rPr>
              <w:t>-2</w:t>
            </w:r>
          </w:p>
        </w:tc>
        <w:tc>
          <w:tcPr>
            <w:tcW w:w="1349" w:type="dxa"/>
          </w:tcPr>
          <w:p w14:paraId="54B722BC" w14:textId="47EED7D2" w:rsidR="00723647" w:rsidRPr="00C0304F" w:rsidRDefault="00F2068C" w:rsidP="00F2068C">
            <w:r w:rsidRPr="00C0304F">
              <w:t>0.</w:t>
            </w:r>
            <w:r w:rsidR="00EB66D6">
              <w:t>18</w:t>
            </w:r>
          </w:p>
        </w:tc>
        <w:tc>
          <w:tcPr>
            <w:tcW w:w="1435" w:type="dxa"/>
          </w:tcPr>
          <w:p w14:paraId="10BC7438" w14:textId="7A18EEB2" w:rsidR="00723647" w:rsidRPr="00C0304F" w:rsidRDefault="00EB66D6" w:rsidP="00F2068C">
            <w:r>
              <w:t>0.97</w:t>
            </w:r>
          </w:p>
        </w:tc>
      </w:tr>
      <w:tr w:rsidR="00723647" w:rsidRPr="00C0304F" w14:paraId="1BF7E4AC" w14:textId="77777777" w:rsidTr="00AC7331">
        <w:tc>
          <w:tcPr>
            <w:tcW w:w="3505" w:type="dxa"/>
          </w:tcPr>
          <w:p w14:paraId="6789BA0D" w14:textId="77777777" w:rsidR="00723647" w:rsidRPr="00C0304F" w:rsidRDefault="00723647" w:rsidP="00723647">
            <w:r w:rsidRPr="00C0304F">
              <w:t>Double-peaked</w:t>
            </w:r>
            <w:r w:rsidR="005406B8" w:rsidRPr="00C0304F">
              <w:t xml:space="preserve"> (BF</w:t>
            </w:r>
            <w:r w:rsidR="005406B8" w:rsidRPr="00C0304F">
              <w:rPr>
                <w:vertAlign w:val="subscript"/>
              </w:rPr>
              <w:t>d</w:t>
            </w:r>
            <w:r w:rsidR="005406B8" w:rsidRPr="00C0304F">
              <w:t>)</w:t>
            </w:r>
          </w:p>
        </w:tc>
        <w:tc>
          <w:tcPr>
            <w:tcW w:w="1350" w:type="dxa"/>
          </w:tcPr>
          <w:p w14:paraId="29B36AA0" w14:textId="31DBC23E" w:rsidR="00723647" w:rsidRPr="00C0304F" w:rsidRDefault="00F2068C" w:rsidP="00EB66D6">
            <w:r w:rsidRPr="00C0304F">
              <w:t>-0.4</w:t>
            </w:r>
            <w:r w:rsidR="00EB66D6">
              <w:t>7</w:t>
            </w:r>
          </w:p>
        </w:tc>
        <w:tc>
          <w:tcPr>
            <w:tcW w:w="1377" w:type="dxa"/>
          </w:tcPr>
          <w:p w14:paraId="630E5729" w14:textId="457FCEF0" w:rsidR="00723647" w:rsidRPr="00C0304F" w:rsidRDefault="00F2068C" w:rsidP="00723647">
            <w:r w:rsidRPr="00C0304F">
              <w:t>-0.</w:t>
            </w:r>
            <w:r w:rsidR="00EB66D6">
              <w:t>22</w:t>
            </w:r>
          </w:p>
        </w:tc>
        <w:tc>
          <w:tcPr>
            <w:tcW w:w="1349" w:type="dxa"/>
          </w:tcPr>
          <w:p w14:paraId="3832B455" w14:textId="64E88DBA" w:rsidR="00723647" w:rsidRPr="00C0304F" w:rsidRDefault="00EB66D6" w:rsidP="00723647">
            <w:r>
              <w:t>3.2x10</w:t>
            </w:r>
            <w:r w:rsidRPr="00EB66D6">
              <w:rPr>
                <w:vertAlign w:val="superscript"/>
              </w:rPr>
              <w:t>-2</w:t>
            </w:r>
          </w:p>
        </w:tc>
        <w:tc>
          <w:tcPr>
            <w:tcW w:w="1435" w:type="dxa"/>
          </w:tcPr>
          <w:p w14:paraId="0C3D0510" w14:textId="3B80CCE5" w:rsidR="00723647" w:rsidRPr="00C0304F" w:rsidRDefault="00F2068C" w:rsidP="00723647">
            <w:r w:rsidRPr="00C0304F">
              <w:t>0.</w:t>
            </w:r>
            <w:r w:rsidR="00EB66D6">
              <w:t>12</w:t>
            </w:r>
          </w:p>
        </w:tc>
      </w:tr>
      <w:tr w:rsidR="00723647" w14:paraId="76C2BDE3" w14:textId="77777777" w:rsidTr="00AC7331">
        <w:tc>
          <w:tcPr>
            <w:tcW w:w="3505" w:type="dxa"/>
          </w:tcPr>
          <w:p w14:paraId="100C5442" w14:textId="77777777" w:rsidR="00723647" w:rsidRPr="00C0304F" w:rsidRDefault="00723647" w:rsidP="00723647">
            <w:r w:rsidRPr="00C0304F">
              <w:t>Complex</w:t>
            </w:r>
            <w:r w:rsidR="005406B8" w:rsidRPr="00C0304F">
              <w:t xml:space="preserve"> (BF</w:t>
            </w:r>
            <w:r w:rsidR="005406B8" w:rsidRPr="00C0304F">
              <w:rPr>
                <w:vertAlign w:val="subscript"/>
              </w:rPr>
              <w:t>d</w:t>
            </w:r>
            <w:r w:rsidR="005406B8" w:rsidRPr="00C0304F">
              <w:t>)</w:t>
            </w:r>
          </w:p>
        </w:tc>
        <w:tc>
          <w:tcPr>
            <w:tcW w:w="1350" w:type="dxa"/>
          </w:tcPr>
          <w:p w14:paraId="44091D2D" w14:textId="561ED7CB" w:rsidR="00723647" w:rsidRPr="00C0304F" w:rsidRDefault="00F2068C" w:rsidP="00723647">
            <w:r w:rsidRPr="00C0304F">
              <w:t>-0.2</w:t>
            </w:r>
            <w:r w:rsidR="00EB66D6">
              <w:t>5</w:t>
            </w:r>
          </w:p>
        </w:tc>
        <w:tc>
          <w:tcPr>
            <w:tcW w:w="1377" w:type="dxa"/>
          </w:tcPr>
          <w:p w14:paraId="2CB11FD7" w14:textId="7E9B4DA4" w:rsidR="00723647" w:rsidRPr="00C0304F" w:rsidRDefault="00EB66D6" w:rsidP="00723647">
            <w:r>
              <w:t>-1.8x10</w:t>
            </w:r>
            <w:r w:rsidRPr="00EB66D6">
              <w:rPr>
                <w:vertAlign w:val="superscript"/>
              </w:rPr>
              <w:t>-3</w:t>
            </w:r>
          </w:p>
        </w:tc>
        <w:tc>
          <w:tcPr>
            <w:tcW w:w="1349" w:type="dxa"/>
          </w:tcPr>
          <w:p w14:paraId="221F4270" w14:textId="26243774" w:rsidR="00723647" w:rsidRPr="00C0304F" w:rsidRDefault="00F2068C" w:rsidP="00EB66D6">
            <w:r w:rsidRPr="00C0304F">
              <w:t>0.</w:t>
            </w:r>
            <w:r w:rsidR="00EB66D6">
              <w:t>25</w:t>
            </w:r>
          </w:p>
        </w:tc>
        <w:tc>
          <w:tcPr>
            <w:tcW w:w="1435" w:type="dxa"/>
          </w:tcPr>
          <w:p w14:paraId="24449988" w14:textId="327C25A7" w:rsidR="00723647" w:rsidRPr="00C0304F" w:rsidRDefault="00EB66D6" w:rsidP="00723647">
            <w:r>
              <w:t>1.00</w:t>
            </w:r>
            <w:bookmarkStart w:id="0" w:name="_GoBack"/>
            <w:bookmarkEnd w:id="0"/>
          </w:p>
        </w:tc>
      </w:tr>
    </w:tbl>
    <w:p w14:paraId="5F147851" w14:textId="77777777" w:rsidR="00723647" w:rsidRPr="00852025" w:rsidRDefault="00723647" w:rsidP="007236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ADCFA9" w14:textId="3BB2D8C1" w:rsidR="00E36FF7" w:rsidRDefault="00E36FF7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n-GB"/>
        </w:rPr>
      </w:pPr>
    </w:p>
    <w:sectPr w:rsidR="00E36F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68AE"/>
    <w:multiLevelType w:val="multilevel"/>
    <w:tmpl w:val="407A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25DF3"/>
    <w:multiLevelType w:val="multilevel"/>
    <w:tmpl w:val="D6A6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A1AC7"/>
    <w:multiLevelType w:val="multilevel"/>
    <w:tmpl w:val="EB12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1096B"/>
    <w:multiLevelType w:val="multilevel"/>
    <w:tmpl w:val="1106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394282"/>
    <w:multiLevelType w:val="multilevel"/>
    <w:tmpl w:val="68C8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511398"/>
    <w:multiLevelType w:val="multilevel"/>
    <w:tmpl w:val="B0D4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E27B3"/>
    <w:multiLevelType w:val="multilevel"/>
    <w:tmpl w:val="4D6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BD35E5"/>
    <w:multiLevelType w:val="multilevel"/>
    <w:tmpl w:val="C484A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365DBC"/>
    <w:multiLevelType w:val="multilevel"/>
    <w:tmpl w:val="9844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5D307F"/>
    <w:multiLevelType w:val="multilevel"/>
    <w:tmpl w:val="8CB20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384B28"/>
    <w:multiLevelType w:val="multilevel"/>
    <w:tmpl w:val="E1A03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3226BE"/>
    <w:multiLevelType w:val="multilevel"/>
    <w:tmpl w:val="1B9CA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057241"/>
    <w:multiLevelType w:val="multilevel"/>
    <w:tmpl w:val="0FB0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C590E"/>
    <w:multiLevelType w:val="multilevel"/>
    <w:tmpl w:val="63FE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"/>
  </w:num>
  <w:num w:numId="5">
    <w:abstractNumId w:val="13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3"/>
  </w:num>
  <w:num w:numId="12">
    <w:abstractNumId w:val="4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EC"/>
    <w:rsid w:val="00005176"/>
    <w:rsid w:val="00035789"/>
    <w:rsid w:val="0008509B"/>
    <w:rsid w:val="00101BD7"/>
    <w:rsid w:val="001162F4"/>
    <w:rsid w:val="002043AC"/>
    <w:rsid w:val="00262502"/>
    <w:rsid w:val="00270CF6"/>
    <w:rsid w:val="00297876"/>
    <w:rsid w:val="003041C5"/>
    <w:rsid w:val="00320910"/>
    <w:rsid w:val="003412FA"/>
    <w:rsid w:val="003A22DD"/>
    <w:rsid w:val="003E02BD"/>
    <w:rsid w:val="00431C8C"/>
    <w:rsid w:val="00444239"/>
    <w:rsid w:val="00474B63"/>
    <w:rsid w:val="004855F9"/>
    <w:rsid w:val="004C4948"/>
    <w:rsid w:val="00501C42"/>
    <w:rsid w:val="005406B8"/>
    <w:rsid w:val="00583542"/>
    <w:rsid w:val="005866C1"/>
    <w:rsid w:val="005C7DF5"/>
    <w:rsid w:val="005F1217"/>
    <w:rsid w:val="006330EB"/>
    <w:rsid w:val="0064641E"/>
    <w:rsid w:val="00694834"/>
    <w:rsid w:val="006A77A5"/>
    <w:rsid w:val="006C2C4F"/>
    <w:rsid w:val="00723647"/>
    <w:rsid w:val="00731C9D"/>
    <w:rsid w:val="00751DCB"/>
    <w:rsid w:val="00777ADF"/>
    <w:rsid w:val="00785B3B"/>
    <w:rsid w:val="00785EAD"/>
    <w:rsid w:val="008038A7"/>
    <w:rsid w:val="00813DDB"/>
    <w:rsid w:val="00820E51"/>
    <w:rsid w:val="00821C68"/>
    <w:rsid w:val="00852025"/>
    <w:rsid w:val="00874670"/>
    <w:rsid w:val="00925B10"/>
    <w:rsid w:val="00934332"/>
    <w:rsid w:val="00934A07"/>
    <w:rsid w:val="009655D0"/>
    <w:rsid w:val="00A2202E"/>
    <w:rsid w:val="00A61B08"/>
    <w:rsid w:val="00A65B87"/>
    <w:rsid w:val="00A75992"/>
    <w:rsid w:val="00A91739"/>
    <w:rsid w:val="00AC7331"/>
    <w:rsid w:val="00B7668C"/>
    <w:rsid w:val="00B97D6F"/>
    <w:rsid w:val="00C0304F"/>
    <w:rsid w:val="00C24C1D"/>
    <w:rsid w:val="00C5679F"/>
    <w:rsid w:val="00C94CDB"/>
    <w:rsid w:val="00CA5106"/>
    <w:rsid w:val="00D1192A"/>
    <w:rsid w:val="00D14B1C"/>
    <w:rsid w:val="00D24625"/>
    <w:rsid w:val="00D443EC"/>
    <w:rsid w:val="00DA1507"/>
    <w:rsid w:val="00DB25D5"/>
    <w:rsid w:val="00DD0906"/>
    <w:rsid w:val="00DE329A"/>
    <w:rsid w:val="00E36FF7"/>
    <w:rsid w:val="00E37FCC"/>
    <w:rsid w:val="00E45C76"/>
    <w:rsid w:val="00EB1066"/>
    <w:rsid w:val="00EB66D6"/>
    <w:rsid w:val="00EE3B47"/>
    <w:rsid w:val="00F1617D"/>
    <w:rsid w:val="00F2068C"/>
    <w:rsid w:val="00F87776"/>
    <w:rsid w:val="00FA3D63"/>
    <w:rsid w:val="00FC3E02"/>
    <w:rsid w:val="00FD6031"/>
    <w:rsid w:val="00FE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7337"/>
  <w15:chartTrackingRefBased/>
  <w15:docId w15:val="{756DE500-8948-4465-BB93-64C3AC76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2025"/>
    <w:rPr>
      <w:color w:val="0000FF"/>
      <w:u w:val="single"/>
    </w:rPr>
  </w:style>
  <w:style w:type="table" w:styleId="TableGrid">
    <w:name w:val="Table Grid"/>
    <w:basedOn w:val="TableNormal"/>
    <w:uiPriority w:val="59"/>
    <w:rsid w:val="00821C6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59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5C7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C7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8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382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6500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6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9100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44168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2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231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855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948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0408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2613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707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444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1320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0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30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814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13325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1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0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0194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46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12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6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50834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787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4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639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2199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5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63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5968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002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43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2882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672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6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413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7483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8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702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0252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6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576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28110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6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5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910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10364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8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4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9315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9652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7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1018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48878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0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3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5337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1233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3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77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64582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68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Gaucher</dc:creator>
  <cp:keywords/>
  <dc:description/>
  <cp:lastModifiedBy>Quentin Gaucher</cp:lastModifiedBy>
  <cp:revision>8</cp:revision>
  <dcterms:created xsi:type="dcterms:W3CDTF">2020-03-29T19:25:00Z</dcterms:created>
  <dcterms:modified xsi:type="dcterms:W3CDTF">2020-04-18T05:54:00Z</dcterms:modified>
</cp:coreProperties>
</file>