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C9C0C" w14:textId="77777777" w:rsidR="003F5CDA" w:rsidRPr="009C1CD1" w:rsidRDefault="003F5CDA" w:rsidP="003F5CDA">
      <w:pPr>
        <w:outlineLvl w:val="0"/>
        <w:rPr>
          <w:b/>
        </w:rPr>
      </w:pPr>
      <w:r w:rsidRPr="009C1CD1">
        <w:rPr>
          <w:b/>
        </w:rPr>
        <w:t>Supplementa</w:t>
      </w:r>
      <w:r>
        <w:rPr>
          <w:b/>
        </w:rPr>
        <w:t xml:space="preserve">ry File </w:t>
      </w:r>
      <w:r w:rsidRPr="009C1CD1">
        <w:rPr>
          <w:b/>
        </w:rPr>
        <w:t>3.</w:t>
      </w:r>
    </w:p>
    <w:tbl>
      <w:tblPr>
        <w:tblStyle w:val="TableGrid"/>
        <w:tblW w:w="12793" w:type="dxa"/>
        <w:tblLook w:val="04A0" w:firstRow="1" w:lastRow="0" w:firstColumn="1" w:lastColumn="0" w:noHBand="0" w:noVBand="1"/>
      </w:tblPr>
      <w:tblGrid>
        <w:gridCol w:w="5772"/>
        <w:gridCol w:w="1739"/>
        <w:gridCol w:w="1758"/>
        <w:gridCol w:w="1644"/>
        <w:gridCol w:w="1880"/>
      </w:tblGrid>
      <w:tr w:rsidR="003F5CDA" w:rsidRPr="008E1FE4" w14:paraId="57770466" w14:textId="77777777" w:rsidTr="007E7C98">
        <w:tc>
          <w:tcPr>
            <w:tcW w:w="6009" w:type="dxa"/>
          </w:tcPr>
          <w:p w14:paraId="2AEB6B00" w14:textId="77777777" w:rsidR="003F5CDA" w:rsidRPr="008E1FE4" w:rsidRDefault="003F5CDA" w:rsidP="007E7C98">
            <w:pPr>
              <w:rPr>
                <w:b/>
              </w:rPr>
            </w:pPr>
            <w:r>
              <w:rPr>
                <w:b/>
              </w:rPr>
              <w:t>Behavioral context</w:t>
            </w:r>
          </w:p>
        </w:tc>
        <w:tc>
          <w:tcPr>
            <w:tcW w:w="1769" w:type="dxa"/>
          </w:tcPr>
          <w:p w14:paraId="2474B565" w14:textId="77777777" w:rsidR="003F5CDA" w:rsidRPr="008E1FE4" w:rsidRDefault="003F5CDA" w:rsidP="007E7C98">
            <w:pPr>
              <w:rPr>
                <w:b/>
              </w:rPr>
            </w:pPr>
            <w:r>
              <w:rPr>
                <w:b/>
              </w:rPr>
              <w:t>Watson’s test</w:t>
            </w:r>
          </w:p>
        </w:tc>
        <w:tc>
          <w:tcPr>
            <w:tcW w:w="1624" w:type="dxa"/>
          </w:tcPr>
          <w:p w14:paraId="2C5FA7BA" w14:textId="77777777" w:rsidR="003F5CDA" w:rsidRPr="008E1FE4" w:rsidRDefault="003F5CDA" w:rsidP="007E7C98">
            <w:pPr>
              <w:rPr>
                <w:b/>
              </w:rPr>
            </w:pPr>
            <w:r w:rsidRPr="008E1FE4">
              <w:rPr>
                <w:b/>
              </w:rPr>
              <w:t>Left-</w:t>
            </w:r>
            <w:r>
              <w:rPr>
                <w:b/>
              </w:rPr>
              <w:t>right FL</w:t>
            </w:r>
          </w:p>
        </w:tc>
        <w:tc>
          <w:tcPr>
            <w:tcW w:w="1654" w:type="dxa"/>
          </w:tcPr>
          <w:p w14:paraId="6CB261B6" w14:textId="77777777" w:rsidR="003F5CDA" w:rsidRPr="008E1FE4" w:rsidRDefault="003F5CDA" w:rsidP="007E7C98">
            <w:pPr>
              <w:rPr>
                <w:b/>
              </w:rPr>
            </w:pPr>
            <w:r w:rsidRPr="008E1FE4">
              <w:rPr>
                <w:b/>
              </w:rPr>
              <w:t>Left-</w:t>
            </w:r>
            <w:r>
              <w:rPr>
                <w:b/>
              </w:rPr>
              <w:t>right HL</w:t>
            </w:r>
          </w:p>
        </w:tc>
        <w:tc>
          <w:tcPr>
            <w:tcW w:w="1737" w:type="dxa"/>
          </w:tcPr>
          <w:p w14:paraId="125B667A" w14:textId="77777777" w:rsidR="003F5CDA" w:rsidRPr="008E1FE4" w:rsidRDefault="003F5CDA" w:rsidP="007E7C98">
            <w:pPr>
              <w:rPr>
                <w:b/>
              </w:rPr>
            </w:pPr>
            <w:r w:rsidRPr="008E1FE4">
              <w:rPr>
                <w:b/>
              </w:rPr>
              <w:t>Contra</w:t>
            </w:r>
            <w:r>
              <w:rPr>
                <w:b/>
              </w:rPr>
              <w:t xml:space="preserve"> HL-FL</w:t>
            </w:r>
          </w:p>
        </w:tc>
      </w:tr>
      <w:tr w:rsidR="003F5CDA" w:rsidRPr="008E1FE4" w14:paraId="778EB20B" w14:textId="77777777" w:rsidTr="007E7C98">
        <w:trPr>
          <w:trHeight w:val="269"/>
        </w:trPr>
        <w:tc>
          <w:tcPr>
            <w:tcW w:w="6009" w:type="dxa"/>
            <w:vMerge w:val="restart"/>
            <w:vAlign w:val="center"/>
          </w:tcPr>
          <w:p w14:paraId="0BF0B219" w14:textId="77777777" w:rsidR="003F5CDA" w:rsidRPr="008E1FE4" w:rsidRDefault="003F5CDA" w:rsidP="007E7C98">
            <w:r w:rsidRPr="008E1FE4">
              <w:t>Overground locomotion</w:t>
            </w:r>
          </w:p>
        </w:tc>
        <w:tc>
          <w:tcPr>
            <w:tcW w:w="1769" w:type="dxa"/>
            <w:vAlign w:val="center"/>
          </w:tcPr>
          <w:p w14:paraId="2BED11EB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shd w:val="clear" w:color="auto" w:fill="auto"/>
          </w:tcPr>
          <w:p w14:paraId="40D53DFC" w14:textId="77777777" w:rsidR="003F5CDA" w:rsidRPr="00B01F7F" w:rsidRDefault="003F5CDA" w:rsidP="007E7C98">
            <w:r w:rsidRPr="00B01F7F">
              <w:t>0.6720</w:t>
            </w:r>
          </w:p>
        </w:tc>
        <w:tc>
          <w:tcPr>
            <w:tcW w:w="1654" w:type="dxa"/>
            <w:vAlign w:val="bottom"/>
          </w:tcPr>
          <w:p w14:paraId="4FB7CFAD" w14:textId="77777777" w:rsidR="003F5CDA" w:rsidRPr="00B01F7F" w:rsidRDefault="003F5CDA" w:rsidP="007E7C98">
            <w:pPr>
              <w:rPr>
                <w:color w:val="000000"/>
              </w:rPr>
            </w:pPr>
            <w:r w:rsidRPr="00B01F7F">
              <w:rPr>
                <w:color w:val="000000"/>
              </w:rPr>
              <w:t>1.4458</w:t>
            </w:r>
          </w:p>
        </w:tc>
        <w:tc>
          <w:tcPr>
            <w:tcW w:w="1737" w:type="dxa"/>
            <w:shd w:val="clear" w:color="auto" w:fill="auto"/>
          </w:tcPr>
          <w:p w14:paraId="59A70599" w14:textId="77777777" w:rsidR="003F5CDA" w:rsidRPr="006366C2" w:rsidRDefault="003F5CDA" w:rsidP="007E7C98">
            <w:r>
              <w:t>-0.3594</w:t>
            </w:r>
          </w:p>
        </w:tc>
      </w:tr>
      <w:tr w:rsidR="003F5CDA" w:rsidRPr="008E1FE4" w14:paraId="626C5F9D" w14:textId="77777777" w:rsidTr="007E7C98">
        <w:tc>
          <w:tcPr>
            <w:tcW w:w="6009" w:type="dxa"/>
            <w:vMerge/>
            <w:vAlign w:val="center"/>
          </w:tcPr>
          <w:p w14:paraId="38514CAD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21F76C48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shd w:val="clear" w:color="auto" w:fill="auto"/>
          </w:tcPr>
          <w:p w14:paraId="2C01BB0F" w14:textId="77777777" w:rsidR="003F5CDA" w:rsidRPr="00B01F7F" w:rsidRDefault="003F5CDA" w:rsidP="007E7C98">
            <w:pPr>
              <w:rPr>
                <w:b/>
              </w:rPr>
            </w:pPr>
            <w:r>
              <w:rPr>
                <w:b/>
              </w:rPr>
              <w:t>***</w:t>
            </w:r>
            <w:r w:rsidRPr="00B01F7F">
              <w:rPr>
                <w:b/>
              </w:rPr>
              <w:t>p&lt;0.001</w:t>
            </w:r>
          </w:p>
        </w:tc>
        <w:tc>
          <w:tcPr>
            <w:tcW w:w="1654" w:type="dxa"/>
            <w:vAlign w:val="bottom"/>
          </w:tcPr>
          <w:p w14:paraId="5971EB11" w14:textId="77777777" w:rsidR="003F5CDA" w:rsidRPr="00B01F7F" w:rsidRDefault="003F5CDA" w:rsidP="007E7C98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***</w:t>
            </w:r>
            <w:r w:rsidRPr="00B01F7F">
              <w:rPr>
                <w:b/>
                <w:color w:val="000000"/>
              </w:rPr>
              <w:t>p&lt;0.001</w:t>
            </w:r>
          </w:p>
        </w:tc>
        <w:tc>
          <w:tcPr>
            <w:tcW w:w="1737" w:type="dxa"/>
            <w:shd w:val="clear" w:color="auto" w:fill="auto"/>
          </w:tcPr>
          <w:p w14:paraId="0253C2FF" w14:textId="77777777" w:rsidR="003F5CDA" w:rsidRPr="008E1FE4" w:rsidRDefault="003F5CDA" w:rsidP="007E7C98">
            <w:pPr>
              <w:rPr>
                <w:b/>
              </w:rPr>
            </w:pPr>
            <w:r>
              <w:t>p&gt;0.5</w:t>
            </w:r>
          </w:p>
        </w:tc>
      </w:tr>
      <w:tr w:rsidR="003F5CDA" w:rsidRPr="008E1FE4" w14:paraId="12D69C18" w14:textId="77777777" w:rsidTr="007E7C98">
        <w:tc>
          <w:tcPr>
            <w:tcW w:w="6009" w:type="dxa"/>
            <w:vMerge w:val="restart"/>
            <w:vAlign w:val="center"/>
          </w:tcPr>
          <w:p w14:paraId="729D05F7" w14:textId="77777777" w:rsidR="003F5CDA" w:rsidRPr="008E1FE4" w:rsidRDefault="003F5CDA" w:rsidP="007E7C98">
            <w:r w:rsidRPr="008E1FE4">
              <w:t>Treadmill locomotion</w:t>
            </w:r>
          </w:p>
        </w:tc>
        <w:tc>
          <w:tcPr>
            <w:tcW w:w="1769" w:type="dxa"/>
            <w:vAlign w:val="center"/>
          </w:tcPr>
          <w:p w14:paraId="0CFAD636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bottom"/>
          </w:tcPr>
          <w:p w14:paraId="0DF8844D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0.0688</w:t>
            </w:r>
          </w:p>
        </w:tc>
        <w:tc>
          <w:tcPr>
            <w:tcW w:w="1654" w:type="dxa"/>
            <w:vAlign w:val="bottom"/>
          </w:tcPr>
          <w:p w14:paraId="11F837AC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0.1513</w:t>
            </w:r>
          </w:p>
        </w:tc>
        <w:tc>
          <w:tcPr>
            <w:tcW w:w="1737" w:type="dxa"/>
            <w:vAlign w:val="bottom"/>
          </w:tcPr>
          <w:p w14:paraId="7A7C6FB6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0.0984</w:t>
            </w:r>
          </w:p>
        </w:tc>
      </w:tr>
      <w:tr w:rsidR="003F5CDA" w:rsidRPr="008E1FE4" w14:paraId="173AD0DD" w14:textId="77777777" w:rsidTr="007E7C98">
        <w:tc>
          <w:tcPr>
            <w:tcW w:w="6009" w:type="dxa"/>
            <w:vMerge/>
            <w:vAlign w:val="center"/>
          </w:tcPr>
          <w:p w14:paraId="4E2F0BAD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7DDFC635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bottom"/>
          </w:tcPr>
          <w:p w14:paraId="0CC3E1B5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p&gt;0.5</w:t>
            </w:r>
          </w:p>
        </w:tc>
        <w:tc>
          <w:tcPr>
            <w:tcW w:w="1654" w:type="dxa"/>
            <w:vAlign w:val="bottom"/>
          </w:tcPr>
          <w:p w14:paraId="51B6995F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0.10&lt;p&lt;0.20</w:t>
            </w:r>
          </w:p>
        </w:tc>
        <w:tc>
          <w:tcPr>
            <w:tcW w:w="1737" w:type="dxa"/>
            <w:vAlign w:val="bottom"/>
          </w:tcPr>
          <w:p w14:paraId="6526A953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0.2&lt;p&lt;0.5</w:t>
            </w:r>
          </w:p>
        </w:tc>
      </w:tr>
      <w:tr w:rsidR="003F5CDA" w:rsidRPr="008E1FE4" w14:paraId="4155C4DD" w14:textId="77777777" w:rsidTr="007E7C98">
        <w:tc>
          <w:tcPr>
            <w:tcW w:w="6009" w:type="dxa"/>
            <w:vMerge w:val="restart"/>
            <w:vAlign w:val="center"/>
          </w:tcPr>
          <w:p w14:paraId="466B5D7D" w14:textId="77777777" w:rsidR="003F5CDA" w:rsidRPr="008E1FE4" w:rsidRDefault="003F5CDA" w:rsidP="007E7C98">
            <w:r w:rsidRPr="008E1FE4">
              <w:t>Exploratory-like locomotion</w:t>
            </w:r>
          </w:p>
        </w:tc>
        <w:tc>
          <w:tcPr>
            <w:tcW w:w="1769" w:type="dxa"/>
            <w:vAlign w:val="center"/>
          </w:tcPr>
          <w:p w14:paraId="1FEE6EE3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center"/>
          </w:tcPr>
          <w:p w14:paraId="1920B237" w14:textId="77777777" w:rsidR="003F5CDA" w:rsidRPr="008E1FE4" w:rsidRDefault="003F5CDA" w:rsidP="007E7C98">
            <w:pPr>
              <w:rPr>
                <w:color w:val="000000"/>
              </w:rPr>
            </w:pPr>
            <w:r w:rsidRPr="008E1FE4">
              <w:rPr>
                <w:color w:val="000000"/>
              </w:rPr>
              <w:t>0.1095</w:t>
            </w:r>
          </w:p>
        </w:tc>
        <w:tc>
          <w:tcPr>
            <w:tcW w:w="1654" w:type="dxa"/>
            <w:vAlign w:val="center"/>
          </w:tcPr>
          <w:p w14:paraId="1661A0DB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-0.0307</w:t>
            </w:r>
          </w:p>
        </w:tc>
        <w:tc>
          <w:tcPr>
            <w:tcW w:w="1737" w:type="dxa"/>
            <w:vAlign w:val="center"/>
          </w:tcPr>
          <w:p w14:paraId="3A649FDD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0.1629</w:t>
            </w:r>
          </w:p>
        </w:tc>
      </w:tr>
      <w:tr w:rsidR="003F5CDA" w:rsidRPr="008E1FE4" w14:paraId="6D68C251" w14:textId="77777777" w:rsidTr="007E7C98">
        <w:tc>
          <w:tcPr>
            <w:tcW w:w="6009" w:type="dxa"/>
            <w:vMerge/>
            <w:vAlign w:val="center"/>
          </w:tcPr>
          <w:p w14:paraId="126E3B7D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29ECDEC9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center"/>
          </w:tcPr>
          <w:p w14:paraId="7F2B9D95" w14:textId="77777777" w:rsidR="003F5CDA" w:rsidRPr="008E1FE4" w:rsidRDefault="003F5CDA" w:rsidP="007E7C98">
            <w:pPr>
              <w:rPr>
                <w:color w:val="000000"/>
              </w:rPr>
            </w:pPr>
            <w:r w:rsidRPr="008E1FE4">
              <w:rPr>
                <w:color w:val="000000"/>
              </w:rPr>
              <w:t>0.2&lt;p&lt;0.5</w:t>
            </w:r>
          </w:p>
        </w:tc>
        <w:tc>
          <w:tcPr>
            <w:tcW w:w="1654" w:type="dxa"/>
            <w:vAlign w:val="center"/>
          </w:tcPr>
          <w:p w14:paraId="474951CB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p&gt;0.5</w:t>
            </w:r>
          </w:p>
        </w:tc>
        <w:tc>
          <w:tcPr>
            <w:tcW w:w="1737" w:type="dxa"/>
            <w:vAlign w:val="center"/>
          </w:tcPr>
          <w:p w14:paraId="62D3AB8A" w14:textId="77777777" w:rsidR="003F5CDA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0.05&lt;p&lt;0.10</w:t>
            </w:r>
          </w:p>
        </w:tc>
      </w:tr>
      <w:tr w:rsidR="003F5CDA" w:rsidRPr="008E1FE4" w14:paraId="11497650" w14:textId="77777777" w:rsidTr="007E7C98">
        <w:trPr>
          <w:trHeight w:val="96"/>
        </w:trPr>
        <w:tc>
          <w:tcPr>
            <w:tcW w:w="6009" w:type="dxa"/>
            <w:vMerge w:val="restart"/>
            <w:vAlign w:val="center"/>
          </w:tcPr>
          <w:p w14:paraId="66F3A0EC" w14:textId="77777777" w:rsidR="003F5CDA" w:rsidRPr="008E1FE4" w:rsidRDefault="003F5CDA" w:rsidP="007E7C98">
            <w:r w:rsidRPr="008E1FE4">
              <w:t xml:space="preserve">Overground locomotion on </w:t>
            </w:r>
            <w:proofErr w:type="spellStart"/>
            <w:r w:rsidRPr="008E1FE4">
              <w:t>Sylgard</w:t>
            </w:r>
            <w:proofErr w:type="spellEnd"/>
            <w:r w:rsidRPr="008E1FE4">
              <w:t xml:space="preserve"> coated surface</w:t>
            </w:r>
          </w:p>
        </w:tc>
        <w:tc>
          <w:tcPr>
            <w:tcW w:w="1769" w:type="dxa"/>
            <w:vAlign w:val="center"/>
          </w:tcPr>
          <w:p w14:paraId="2B71758C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center"/>
          </w:tcPr>
          <w:p w14:paraId="3AB74058" w14:textId="77777777" w:rsidR="003F5CDA" w:rsidRPr="008E1FE4" w:rsidRDefault="003F5CDA" w:rsidP="007E7C98">
            <w:r>
              <w:t>0.2791</w:t>
            </w:r>
          </w:p>
        </w:tc>
        <w:tc>
          <w:tcPr>
            <w:tcW w:w="1654" w:type="dxa"/>
            <w:vAlign w:val="center"/>
          </w:tcPr>
          <w:p w14:paraId="232C4A8F" w14:textId="77777777" w:rsidR="003F5CDA" w:rsidRPr="008E1FE4" w:rsidRDefault="003F5CDA" w:rsidP="007E7C98">
            <w:r>
              <w:t>0.6128</w:t>
            </w:r>
          </w:p>
        </w:tc>
        <w:tc>
          <w:tcPr>
            <w:tcW w:w="1737" w:type="dxa"/>
            <w:vAlign w:val="center"/>
          </w:tcPr>
          <w:p w14:paraId="75351A93" w14:textId="77777777" w:rsidR="003F5CDA" w:rsidRPr="008E1FE4" w:rsidRDefault="003F5CDA" w:rsidP="007E7C98">
            <w:r>
              <w:t>0.3393</w:t>
            </w:r>
          </w:p>
        </w:tc>
      </w:tr>
      <w:tr w:rsidR="003F5CDA" w:rsidRPr="008E1FE4" w14:paraId="4F735E41" w14:textId="77777777" w:rsidTr="007E7C98">
        <w:tc>
          <w:tcPr>
            <w:tcW w:w="6009" w:type="dxa"/>
            <w:vMerge/>
            <w:vAlign w:val="center"/>
          </w:tcPr>
          <w:p w14:paraId="4A4C86BF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74DA2340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center"/>
          </w:tcPr>
          <w:p w14:paraId="6F875498" w14:textId="77777777" w:rsidR="003F5CDA" w:rsidRPr="008E1FE4" w:rsidRDefault="003F5CDA" w:rsidP="007E7C98">
            <w:pPr>
              <w:rPr>
                <w:b/>
              </w:rPr>
            </w:pPr>
            <w:r>
              <w:rPr>
                <w:b/>
              </w:rPr>
              <w:t>**</w:t>
            </w:r>
            <w:r w:rsidRPr="008E1FE4">
              <w:rPr>
                <w:b/>
              </w:rPr>
              <w:t>0.005&lt;p&lt;0.01</w:t>
            </w:r>
          </w:p>
        </w:tc>
        <w:tc>
          <w:tcPr>
            <w:tcW w:w="1654" w:type="dxa"/>
            <w:vAlign w:val="center"/>
          </w:tcPr>
          <w:p w14:paraId="35C53F49" w14:textId="77777777" w:rsidR="003F5CDA" w:rsidRPr="008E1FE4" w:rsidRDefault="003F5CDA" w:rsidP="007E7C98">
            <w:pPr>
              <w:rPr>
                <w:b/>
              </w:rPr>
            </w:pPr>
            <w:r>
              <w:rPr>
                <w:b/>
              </w:rPr>
              <w:t>***</w:t>
            </w:r>
            <w:r w:rsidRPr="008E1FE4">
              <w:rPr>
                <w:b/>
              </w:rPr>
              <w:t>p&lt;0.001</w:t>
            </w:r>
          </w:p>
        </w:tc>
        <w:tc>
          <w:tcPr>
            <w:tcW w:w="1737" w:type="dxa"/>
            <w:vAlign w:val="center"/>
          </w:tcPr>
          <w:p w14:paraId="6B1994EE" w14:textId="77777777" w:rsidR="003F5CDA" w:rsidRPr="007E234F" w:rsidRDefault="003F5CDA" w:rsidP="007E7C98">
            <w:pPr>
              <w:rPr>
                <w:b/>
              </w:rPr>
            </w:pPr>
            <w:r>
              <w:rPr>
                <w:b/>
              </w:rPr>
              <w:t>**</w:t>
            </w:r>
            <w:r w:rsidRPr="007E234F">
              <w:rPr>
                <w:b/>
              </w:rPr>
              <w:t>0.002&lt;p&lt;0.005</w:t>
            </w:r>
          </w:p>
        </w:tc>
      </w:tr>
      <w:tr w:rsidR="003F5CDA" w:rsidRPr="008E1FE4" w14:paraId="51DDDEC8" w14:textId="77777777" w:rsidTr="007E7C98">
        <w:tc>
          <w:tcPr>
            <w:tcW w:w="6009" w:type="dxa"/>
            <w:vMerge w:val="restart"/>
            <w:vAlign w:val="center"/>
          </w:tcPr>
          <w:p w14:paraId="17F3BDC1" w14:textId="77777777" w:rsidR="003F5CDA" w:rsidRPr="008E1FE4" w:rsidRDefault="003F5CDA" w:rsidP="007E7C98">
            <w:r w:rsidRPr="008E1FE4">
              <w:t xml:space="preserve">Overground locomotion on uncoated </w:t>
            </w:r>
            <w:r>
              <w:t>acrylic</w:t>
            </w:r>
            <w:r w:rsidRPr="008E1FE4">
              <w:t xml:space="preserve"> surface</w:t>
            </w:r>
          </w:p>
        </w:tc>
        <w:tc>
          <w:tcPr>
            <w:tcW w:w="1769" w:type="dxa"/>
            <w:vAlign w:val="center"/>
          </w:tcPr>
          <w:p w14:paraId="7CC35C4B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center"/>
          </w:tcPr>
          <w:p w14:paraId="6DB89883" w14:textId="77777777" w:rsidR="003F5CDA" w:rsidRPr="008E1FE4" w:rsidRDefault="003F5CDA" w:rsidP="007E7C98">
            <w:r>
              <w:t>-0.0655</w:t>
            </w:r>
          </w:p>
        </w:tc>
        <w:tc>
          <w:tcPr>
            <w:tcW w:w="1654" w:type="dxa"/>
            <w:vAlign w:val="center"/>
          </w:tcPr>
          <w:p w14:paraId="5DBFCFC0" w14:textId="77777777" w:rsidR="003F5CDA" w:rsidRPr="008E1FE4" w:rsidRDefault="003F5CDA" w:rsidP="007E7C98">
            <w:r>
              <w:t>0.0914</w:t>
            </w:r>
          </w:p>
        </w:tc>
        <w:tc>
          <w:tcPr>
            <w:tcW w:w="1737" w:type="dxa"/>
            <w:vAlign w:val="center"/>
          </w:tcPr>
          <w:p w14:paraId="2291E3D3" w14:textId="77777777" w:rsidR="003F5CDA" w:rsidRPr="008E1FE4" w:rsidRDefault="003F5CDA" w:rsidP="007E7C98">
            <w:r>
              <w:t>0.0542</w:t>
            </w:r>
          </w:p>
        </w:tc>
      </w:tr>
      <w:tr w:rsidR="003F5CDA" w:rsidRPr="008E1FE4" w14:paraId="1A78692F" w14:textId="77777777" w:rsidTr="007E7C98">
        <w:tc>
          <w:tcPr>
            <w:tcW w:w="6009" w:type="dxa"/>
            <w:vMerge/>
            <w:vAlign w:val="center"/>
          </w:tcPr>
          <w:p w14:paraId="47B88349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0C915F30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center"/>
          </w:tcPr>
          <w:p w14:paraId="3FFD7BD8" w14:textId="77777777" w:rsidR="003F5CDA" w:rsidRPr="008E1FE4" w:rsidRDefault="003F5CDA" w:rsidP="007E7C98">
            <w:r>
              <w:t>p&gt;0.5</w:t>
            </w:r>
          </w:p>
        </w:tc>
        <w:tc>
          <w:tcPr>
            <w:tcW w:w="1654" w:type="dxa"/>
            <w:vAlign w:val="center"/>
          </w:tcPr>
          <w:p w14:paraId="7A84EB47" w14:textId="77777777" w:rsidR="003F5CDA" w:rsidRPr="008E1FE4" w:rsidRDefault="003F5CDA" w:rsidP="007E7C98">
            <w:r w:rsidRPr="008E1FE4">
              <w:t>0.2&lt;p&lt;0.5</w:t>
            </w:r>
          </w:p>
        </w:tc>
        <w:tc>
          <w:tcPr>
            <w:tcW w:w="1737" w:type="dxa"/>
            <w:vAlign w:val="center"/>
          </w:tcPr>
          <w:p w14:paraId="5842EC84" w14:textId="77777777" w:rsidR="003F5CDA" w:rsidRPr="008E1FE4" w:rsidRDefault="003F5CDA" w:rsidP="007E7C98">
            <w:r>
              <w:t>p&gt;0.5</w:t>
            </w:r>
          </w:p>
        </w:tc>
      </w:tr>
      <w:tr w:rsidR="003F5CDA" w:rsidRPr="008E1FE4" w14:paraId="2092388D" w14:textId="77777777" w:rsidTr="007E7C98">
        <w:tc>
          <w:tcPr>
            <w:tcW w:w="6009" w:type="dxa"/>
            <w:vMerge w:val="restart"/>
            <w:vAlign w:val="center"/>
          </w:tcPr>
          <w:p w14:paraId="1867F2C3" w14:textId="77777777" w:rsidR="003F5CDA" w:rsidRPr="008E1FE4" w:rsidRDefault="003F5CDA" w:rsidP="007E7C98">
            <w:r>
              <w:t xml:space="preserve">Overground locomotion, </w:t>
            </w:r>
            <w:proofErr w:type="spellStart"/>
            <w:r>
              <w:t>Sylgard</w:t>
            </w:r>
            <w:proofErr w:type="spellEnd"/>
            <w:r>
              <w:t xml:space="preserve"> coated vs uncoated acrylic (comparing control time points)</w:t>
            </w:r>
          </w:p>
        </w:tc>
        <w:tc>
          <w:tcPr>
            <w:tcW w:w="1769" w:type="dxa"/>
            <w:vAlign w:val="center"/>
          </w:tcPr>
          <w:p w14:paraId="66D8EFA4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center"/>
          </w:tcPr>
          <w:p w14:paraId="2B6E4763" w14:textId="77777777" w:rsidR="003F5CDA" w:rsidRDefault="003F5CDA" w:rsidP="007E7C98">
            <w:r>
              <w:t>-0.5710</w:t>
            </w:r>
          </w:p>
        </w:tc>
        <w:tc>
          <w:tcPr>
            <w:tcW w:w="1654" w:type="dxa"/>
            <w:vAlign w:val="center"/>
          </w:tcPr>
          <w:p w14:paraId="40B56E84" w14:textId="77777777" w:rsidR="003F5CDA" w:rsidRPr="008E1FE4" w:rsidRDefault="003F5CDA" w:rsidP="007E7C98">
            <w:r>
              <w:t>0.0600</w:t>
            </w:r>
          </w:p>
        </w:tc>
        <w:tc>
          <w:tcPr>
            <w:tcW w:w="1737" w:type="dxa"/>
            <w:vAlign w:val="center"/>
          </w:tcPr>
          <w:p w14:paraId="0B5D97B9" w14:textId="77777777" w:rsidR="003F5CDA" w:rsidRDefault="003F5CDA" w:rsidP="007E7C98">
            <w:r>
              <w:t>0.0767</w:t>
            </w:r>
          </w:p>
        </w:tc>
      </w:tr>
      <w:tr w:rsidR="003F5CDA" w:rsidRPr="008E1FE4" w14:paraId="47E87901" w14:textId="77777777" w:rsidTr="007E7C98">
        <w:tc>
          <w:tcPr>
            <w:tcW w:w="6009" w:type="dxa"/>
            <w:vMerge/>
            <w:vAlign w:val="center"/>
          </w:tcPr>
          <w:p w14:paraId="2490305F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4A9C7A5D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center"/>
          </w:tcPr>
          <w:p w14:paraId="700F110F" w14:textId="77777777" w:rsidR="003F5CDA" w:rsidRDefault="003F5CDA" w:rsidP="007E7C98">
            <w:r>
              <w:t>p&gt;0.5</w:t>
            </w:r>
          </w:p>
        </w:tc>
        <w:tc>
          <w:tcPr>
            <w:tcW w:w="1654" w:type="dxa"/>
            <w:vAlign w:val="center"/>
          </w:tcPr>
          <w:p w14:paraId="0D0E4D09" w14:textId="77777777" w:rsidR="003F5CDA" w:rsidRPr="008E1FE4" w:rsidRDefault="003F5CDA" w:rsidP="007E7C98">
            <w:r>
              <w:t>p&gt;0.5</w:t>
            </w:r>
          </w:p>
        </w:tc>
        <w:tc>
          <w:tcPr>
            <w:tcW w:w="1737" w:type="dxa"/>
            <w:vAlign w:val="center"/>
          </w:tcPr>
          <w:p w14:paraId="78AE0AFD" w14:textId="77777777" w:rsidR="003F5CDA" w:rsidRDefault="003F5CDA" w:rsidP="007E7C98">
            <w:r w:rsidRPr="007E234F">
              <w:t>0.2&lt;p&lt;0.5</w:t>
            </w:r>
          </w:p>
        </w:tc>
      </w:tr>
      <w:tr w:rsidR="003F5CDA" w:rsidRPr="008E1FE4" w14:paraId="70C5DFB0" w14:textId="77777777" w:rsidTr="007E7C98">
        <w:tc>
          <w:tcPr>
            <w:tcW w:w="6009" w:type="dxa"/>
            <w:vMerge w:val="restart"/>
            <w:vAlign w:val="center"/>
          </w:tcPr>
          <w:p w14:paraId="3C770730" w14:textId="77777777" w:rsidR="003F5CDA" w:rsidRPr="008E1FE4" w:rsidRDefault="003F5CDA" w:rsidP="007E7C98">
            <w:r>
              <w:t xml:space="preserve">Overground locomotion, </w:t>
            </w:r>
            <w:proofErr w:type="spellStart"/>
            <w:r>
              <w:t>Sylgard</w:t>
            </w:r>
            <w:proofErr w:type="spellEnd"/>
            <w:r>
              <w:t xml:space="preserve"> coated vs uncoated acrylic (comparing </w:t>
            </w:r>
            <w:proofErr w:type="spellStart"/>
            <w:r>
              <w:t>Dox</w:t>
            </w:r>
            <w:r w:rsidRPr="006366C2">
              <w:rPr>
                <w:vertAlign w:val="superscript"/>
              </w:rPr>
              <w:t>On</w:t>
            </w:r>
            <w:proofErr w:type="spellEnd"/>
            <w:r>
              <w:t xml:space="preserve"> time points)</w:t>
            </w:r>
          </w:p>
        </w:tc>
        <w:tc>
          <w:tcPr>
            <w:tcW w:w="1769" w:type="dxa"/>
            <w:vAlign w:val="center"/>
          </w:tcPr>
          <w:p w14:paraId="3D5B7E86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center"/>
          </w:tcPr>
          <w:p w14:paraId="7A11BC75" w14:textId="77777777" w:rsidR="003F5CDA" w:rsidRDefault="003F5CDA" w:rsidP="007E7C98">
            <w:r>
              <w:t>0.4412</w:t>
            </w:r>
          </w:p>
        </w:tc>
        <w:tc>
          <w:tcPr>
            <w:tcW w:w="1654" w:type="dxa"/>
            <w:vAlign w:val="center"/>
          </w:tcPr>
          <w:p w14:paraId="1577D648" w14:textId="77777777" w:rsidR="003F5CDA" w:rsidRPr="008E1FE4" w:rsidRDefault="003F5CDA" w:rsidP="007E7C98">
            <w:r>
              <w:t>0.4918</w:t>
            </w:r>
          </w:p>
        </w:tc>
        <w:tc>
          <w:tcPr>
            <w:tcW w:w="1737" w:type="dxa"/>
            <w:vAlign w:val="center"/>
          </w:tcPr>
          <w:p w14:paraId="316452B6" w14:textId="77777777" w:rsidR="003F5CDA" w:rsidRDefault="003F5CDA" w:rsidP="007E7C98">
            <w:r>
              <w:t>0.4496</w:t>
            </w:r>
          </w:p>
        </w:tc>
      </w:tr>
      <w:tr w:rsidR="003F5CDA" w:rsidRPr="008E1FE4" w14:paraId="71594394" w14:textId="77777777" w:rsidTr="007E7C98">
        <w:tc>
          <w:tcPr>
            <w:tcW w:w="6009" w:type="dxa"/>
            <w:vMerge/>
            <w:vAlign w:val="center"/>
          </w:tcPr>
          <w:p w14:paraId="72235F64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520F744A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center"/>
          </w:tcPr>
          <w:p w14:paraId="35ED298E" w14:textId="77777777" w:rsidR="003F5CDA" w:rsidRPr="008E1FE4" w:rsidRDefault="003F5CDA" w:rsidP="007E7C98">
            <w:pPr>
              <w:rPr>
                <w:b/>
              </w:rPr>
            </w:pPr>
            <w:r>
              <w:rPr>
                <w:b/>
              </w:rPr>
              <w:t>***</w:t>
            </w:r>
            <w:r w:rsidRPr="008E1FE4">
              <w:rPr>
                <w:b/>
              </w:rPr>
              <w:t>p&lt;0.001</w:t>
            </w:r>
          </w:p>
        </w:tc>
        <w:tc>
          <w:tcPr>
            <w:tcW w:w="1654" w:type="dxa"/>
            <w:vAlign w:val="center"/>
          </w:tcPr>
          <w:p w14:paraId="665FEAED" w14:textId="77777777" w:rsidR="003F5CDA" w:rsidRPr="008E1FE4" w:rsidRDefault="003F5CDA" w:rsidP="007E7C98">
            <w:r>
              <w:rPr>
                <w:b/>
              </w:rPr>
              <w:t>***</w:t>
            </w:r>
            <w:r w:rsidRPr="008E1FE4">
              <w:rPr>
                <w:b/>
              </w:rPr>
              <w:t>p&lt;0.001</w:t>
            </w:r>
          </w:p>
        </w:tc>
        <w:tc>
          <w:tcPr>
            <w:tcW w:w="1737" w:type="dxa"/>
            <w:vAlign w:val="center"/>
          </w:tcPr>
          <w:p w14:paraId="08C464BC" w14:textId="77777777" w:rsidR="003F5CDA" w:rsidRPr="007E234F" w:rsidRDefault="003F5CDA" w:rsidP="007E7C98">
            <w:pPr>
              <w:rPr>
                <w:b/>
              </w:rPr>
            </w:pPr>
            <w:r>
              <w:rPr>
                <w:b/>
              </w:rPr>
              <w:t>***</w:t>
            </w:r>
            <w:r w:rsidRPr="007E234F">
              <w:rPr>
                <w:b/>
              </w:rPr>
              <w:t>p&lt;0.001</w:t>
            </w:r>
          </w:p>
        </w:tc>
      </w:tr>
      <w:tr w:rsidR="003F5CDA" w:rsidRPr="008E1FE4" w14:paraId="5E332E8A" w14:textId="77777777" w:rsidTr="007E7C98">
        <w:tc>
          <w:tcPr>
            <w:tcW w:w="6009" w:type="dxa"/>
            <w:vMerge w:val="restart"/>
            <w:vAlign w:val="center"/>
          </w:tcPr>
          <w:p w14:paraId="08828951" w14:textId="77777777" w:rsidR="003F5CDA" w:rsidRPr="008E1FE4" w:rsidRDefault="003F5CDA" w:rsidP="007E7C98">
            <w:r w:rsidRPr="008E1FE4">
              <w:t>Swimming</w:t>
            </w:r>
          </w:p>
        </w:tc>
        <w:tc>
          <w:tcPr>
            <w:tcW w:w="1769" w:type="dxa"/>
            <w:vAlign w:val="center"/>
          </w:tcPr>
          <w:p w14:paraId="12DAA858" w14:textId="77777777" w:rsidR="003F5CDA" w:rsidRPr="008E1FE4" w:rsidRDefault="003F5CDA" w:rsidP="007E7C98">
            <w:r w:rsidRPr="008E1FE4">
              <w:t>U</w:t>
            </w:r>
            <w:r w:rsidRPr="008E1FE4">
              <w:rPr>
                <w:vertAlign w:val="superscript"/>
              </w:rPr>
              <w:t>2</w:t>
            </w:r>
          </w:p>
        </w:tc>
        <w:tc>
          <w:tcPr>
            <w:tcW w:w="1624" w:type="dxa"/>
            <w:vAlign w:val="center"/>
          </w:tcPr>
          <w:p w14:paraId="6978E91F" w14:textId="77777777" w:rsidR="003F5CDA" w:rsidRPr="008E1FE4" w:rsidRDefault="003F5CDA" w:rsidP="007E7C98">
            <w:r>
              <w:t>-</w:t>
            </w:r>
          </w:p>
        </w:tc>
        <w:tc>
          <w:tcPr>
            <w:tcW w:w="1654" w:type="dxa"/>
            <w:vAlign w:val="bottom"/>
          </w:tcPr>
          <w:p w14:paraId="5E942A18" w14:textId="77777777" w:rsidR="003F5CDA" w:rsidRPr="007E234F" w:rsidRDefault="003F5CDA" w:rsidP="007E7C98">
            <w:pPr>
              <w:rPr>
                <w:color w:val="000000"/>
              </w:rPr>
            </w:pPr>
            <w:r>
              <w:rPr>
                <w:color w:val="000000"/>
              </w:rPr>
              <w:t>-24.1670</w:t>
            </w:r>
          </w:p>
        </w:tc>
        <w:tc>
          <w:tcPr>
            <w:tcW w:w="1737" w:type="dxa"/>
            <w:vAlign w:val="center"/>
          </w:tcPr>
          <w:p w14:paraId="751FC0C5" w14:textId="77777777" w:rsidR="003F5CDA" w:rsidRPr="008E1FE4" w:rsidRDefault="003F5CDA" w:rsidP="007E7C98">
            <w:r>
              <w:t>-</w:t>
            </w:r>
          </w:p>
        </w:tc>
      </w:tr>
      <w:tr w:rsidR="003F5CDA" w:rsidRPr="008E1FE4" w14:paraId="00237B83" w14:textId="77777777" w:rsidTr="007E7C98">
        <w:tc>
          <w:tcPr>
            <w:tcW w:w="6009" w:type="dxa"/>
            <w:vMerge/>
            <w:vAlign w:val="center"/>
          </w:tcPr>
          <w:p w14:paraId="6C8D5067" w14:textId="77777777" w:rsidR="003F5CDA" w:rsidRPr="008E1FE4" w:rsidRDefault="003F5CDA" w:rsidP="007E7C98"/>
        </w:tc>
        <w:tc>
          <w:tcPr>
            <w:tcW w:w="1769" w:type="dxa"/>
            <w:vAlign w:val="center"/>
          </w:tcPr>
          <w:p w14:paraId="04526B52" w14:textId="77777777" w:rsidR="003F5CDA" w:rsidRPr="008E1FE4" w:rsidRDefault="003F5CDA" w:rsidP="007E7C98">
            <w:r w:rsidRPr="008E1FE4">
              <w:t>p-value</w:t>
            </w:r>
          </w:p>
        </w:tc>
        <w:tc>
          <w:tcPr>
            <w:tcW w:w="1624" w:type="dxa"/>
            <w:vAlign w:val="center"/>
          </w:tcPr>
          <w:p w14:paraId="68EBCB7B" w14:textId="77777777" w:rsidR="003F5CDA" w:rsidRPr="008E1FE4" w:rsidRDefault="003F5CDA" w:rsidP="007E7C98">
            <w:r>
              <w:t>-</w:t>
            </w:r>
          </w:p>
        </w:tc>
        <w:tc>
          <w:tcPr>
            <w:tcW w:w="1654" w:type="dxa"/>
            <w:vAlign w:val="bottom"/>
          </w:tcPr>
          <w:p w14:paraId="38EA0B58" w14:textId="77777777" w:rsidR="003F5CDA" w:rsidRPr="007E234F" w:rsidRDefault="003F5CDA" w:rsidP="007E7C98">
            <w:pPr>
              <w:rPr>
                <w:color w:val="000000"/>
              </w:rPr>
            </w:pPr>
            <w:r w:rsidRPr="007E234F">
              <w:rPr>
                <w:color w:val="000000"/>
              </w:rPr>
              <w:t>p&gt;0.5</w:t>
            </w:r>
          </w:p>
        </w:tc>
        <w:tc>
          <w:tcPr>
            <w:tcW w:w="1737" w:type="dxa"/>
            <w:vAlign w:val="center"/>
          </w:tcPr>
          <w:p w14:paraId="05C20AC3" w14:textId="77777777" w:rsidR="003F5CDA" w:rsidRPr="008E1FE4" w:rsidRDefault="003F5CDA" w:rsidP="007E7C98">
            <w:r>
              <w:t>-</w:t>
            </w:r>
          </w:p>
        </w:tc>
      </w:tr>
    </w:tbl>
    <w:p w14:paraId="6C1F5937" w14:textId="77777777" w:rsidR="00914B6A" w:rsidRDefault="00914B6A" w:rsidP="00725D23"/>
    <w:sectPr w:rsidR="00914B6A" w:rsidSect="00BF61FA">
      <w:pgSz w:w="15840" w:h="12240" w:orient="landscape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DA"/>
    <w:rsid w:val="00071285"/>
    <w:rsid w:val="00082811"/>
    <w:rsid w:val="000D0C7E"/>
    <w:rsid w:val="0011201B"/>
    <w:rsid w:val="001318F1"/>
    <w:rsid w:val="00165307"/>
    <w:rsid w:val="001961A5"/>
    <w:rsid w:val="001D7745"/>
    <w:rsid w:val="00203553"/>
    <w:rsid w:val="00204BEC"/>
    <w:rsid w:val="00241DA5"/>
    <w:rsid w:val="00243A6C"/>
    <w:rsid w:val="00253AFE"/>
    <w:rsid w:val="002718B9"/>
    <w:rsid w:val="002D3B52"/>
    <w:rsid w:val="002E4D0C"/>
    <w:rsid w:val="003101DB"/>
    <w:rsid w:val="00313EF4"/>
    <w:rsid w:val="003143B5"/>
    <w:rsid w:val="003143DE"/>
    <w:rsid w:val="00314631"/>
    <w:rsid w:val="00342D34"/>
    <w:rsid w:val="003809B8"/>
    <w:rsid w:val="00394161"/>
    <w:rsid w:val="003E4C3F"/>
    <w:rsid w:val="003F24FA"/>
    <w:rsid w:val="003F5CDA"/>
    <w:rsid w:val="00435A12"/>
    <w:rsid w:val="0045101C"/>
    <w:rsid w:val="004611D2"/>
    <w:rsid w:val="00471B34"/>
    <w:rsid w:val="00481343"/>
    <w:rsid w:val="00484D8B"/>
    <w:rsid w:val="004C16CB"/>
    <w:rsid w:val="004D447C"/>
    <w:rsid w:val="00517ACC"/>
    <w:rsid w:val="005308DF"/>
    <w:rsid w:val="005529AD"/>
    <w:rsid w:val="005612A1"/>
    <w:rsid w:val="005849A8"/>
    <w:rsid w:val="00590B94"/>
    <w:rsid w:val="005C7E03"/>
    <w:rsid w:val="005E2F33"/>
    <w:rsid w:val="005F064B"/>
    <w:rsid w:val="006042C1"/>
    <w:rsid w:val="00654AF9"/>
    <w:rsid w:val="006679DB"/>
    <w:rsid w:val="00671EEA"/>
    <w:rsid w:val="006A148F"/>
    <w:rsid w:val="006C6C35"/>
    <w:rsid w:val="0070043E"/>
    <w:rsid w:val="00715CF7"/>
    <w:rsid w:val="00715F3A"/>
    <w:rsid w:val="00725D23"/>
    <w:rsid w:val="0075621E"/>
    <w:rsid w:val="0077372A"/>
    <w:rsid w:val="007810B3"/>
    <w:rsid w:val="007A4EDC"/>
    <w:rsid w:val="007D74DA"/>
    <w:rsid w:val="007F12F8"/>
    <w:rsid w:val="00810131"/>
    <w:rsid w:val="00837134"/>
    <w:rsid w:val="008737B1"/>
    <w:rsid w:val="008A0AA7"/>
    <w:rsid w:val="008B484D"/>
    <w:rsid w:val="008C06C5"/>
    <w:rsid w:val="008F073A"/>
    <w:rsid w:val="008F22F4"/>
    <w:rsid w:val="008F2E29"/>
    <w:rsid w:val="008F4C3D"/>
    <w:rsid w:val="008F7299"/>
    <w:rsid w:val="00914B6A"/>
    <w:rsid w:val="009303A9"/>
    <w:rsid w:val="009366B2"/>
    <w:rsid w:val="00953511"/>
    <w:rsid w:val="00954974"/>
    <w:rsid w:val="00984032"/>
    <w:rsid w:val="0099286A"/>
    <w:rsid w:val="00994DE6"/>
    <w:rsid w:val="009C2236"/>
    <w:rsid w:val="009E17C6"/>
    <w:rsid w:val="009F3EB9"/>
    <w:rsid w:val="00A10657"/>
    <w:rsid w:val="00A22DF5"/>
    <w:rsid w:val="00A54E4A"/>
    <w:rsid w:val="00A627D2"/>
    <w:rsid w:val="00A66150"/>
    <w:rsid w:val="00A70A7A"/>
    <w:rsid w:val="00A76C76"/>
    <w:rsid w:val="00A8044B"/>
    <w:rsid w:val="00AA086F"/>
    <w:rsid w:val="00AA2A9B"/>
    <w:rsid w:val="00AB0311"/>
    <w:rsid w:val="00AD4BDC"/>
    <w:rsid w:val="00AE5636"/>
    <w:rsid w:val="00AF2EE9"/>
    <w:rsid w:val="00B12795"/>
    <w:rsid w:val="00B34D8C"/>
    <w:rsid w:val="00B824D2"/>
    <w:rsid w:val="00B82F73"/>
    <w:rsid w:val="00BA7D93"/>
    <w:rsid w:val="00BB232E"/>
    <w:rsid w:val="00BD02F4"/>
    <w:rsid w:val="00C108CE"/>
    <w:rsid w:val="00C142B5"/>
    <w:rsid w:val="00C23134"/>
    <w:rsid w:val="00C453E6"/>
    <w:rsid w:val="00C55113"/>
    <w:rsid w:val="00C76F11"/>
    <w:rsid w:val="00C9136F"/>
    <w:rsid w:val="00C979C3"/>
    <w:rsid w:val="00D14166"/>
    <w:rsid w:val="00D35D68"/>
    <w:rsid w:val="00D6627D"/>
    <w:rsid w:val="00D6755F"/>
    <w:rsid w:val="00D77711"/>
    <w:rsid w:val="00DB35D9"/>
    <w:rsid w:val="00DD6551"/>
    <w:rsid w:val="00DF509F"/>
    <w:rsid w:val="00E00588"/>
    <w:rsid w:val="00E20F80"/>
    <w:rsid w:val="00E46F84"/>
    <w:rsid w:val="00E64B39"/>
    <w:rsid w:val="00E97517"/>
    <w:rsid w:val="00EB16D5"/>
    <w:rsid w:val="00EC10ED"/>
    <w:rsid w:val="00ED3C5C"/>
    <w:rsid w:val="00EE6BBA"/>
    <w:rsid w:val="00F0592A"/>
    <w:rsid w:val="00F63E71"/>
    <w:rsid w:val="00F6605C"/>
    <w:rsid w:val="00F6705A"/>
    <w:rsid w:val="00F72BCD"/>
    <w:rsid w:val="00F75E89"/>
    <w:rsid w:val="00FB1B8B"/>
    <w:rsid w:val="00FC2517"/>
    <w:rsid w:val="00FE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B2FF6D"/>
  <w15:chartTrackingRefBased/>
  <w15:docId w15:val="{FCE00621-12C2-3C42-B749-FF120989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CDA"/>
    <w:pPr>
      <w:spacing w:line="480" w:lineRule="auto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5CDA"/>
    <w:rPr>
      <w:rFonts w:ascii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3F5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803</Characters>
  <Application>Microsoft Office Word</Application>
  <DocSecurity>0</DocSecurity>
  <Lines>6</Lines>
  <Paragraphs>1</Paragraphs>
  <ScaleCrop>false</ScaleCrop>
  <Company>University of Louisville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Magnuson</dc:creator>
  <cp:keywords/>
  <dc:description/>
  <cp:lastModifiedBy>David Magnuson</cp:lastModifiedBy>
  <cp:revision>3</cp:revision>
  <dcterms:created xsi:type="dcterms:W3CDTF">2020-08-28T13:28:00Z</dcterms:created>
  <dcterms:modified xsi:type="dcterms:W3CDTF">2020-08-28T13:29:00Z</dcterms:modified>
</cp:coreProperties>
</file>