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3E82A0D0" w14:textId="6137F18F" w:rsidR="008C21ED" w:rsidRDefault="008C21E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Replicates: All experiments were replicated at least twice. Different aliquots of mRNA or morpholino were used for each replicate to control for differences in aliquots. </w:t>
      </w:r>
    </w:p>
    <w:p w14:paraId="3A3AD4CA" w14:textId="77777777" w:rsidR="00D8544A" w:rsidRDefault="00D8544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83305D7" w14:textId="7E021B0D" w:rsidR="00877644" w:rsidRDefault="008C21E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number: Within each replicate all mRNAs were injected through the same calibrated needle into embryos within different conditions to ensure consistency in mRNA injection. For each condition within each replicate approximately 60 embryos were injected. 60 embryos </w:t>
      </w:r>
      <w:proofErr w:type="gramStart"/>
      <w:r>
        <w:rPr>
          <w:rFonts w:asciiTheme="minorHAnsi" w:hAnsiTheme="minorHAnsi"/>
        </w:rPr>
        <w:t>is</w:t>
      </w:r>
      <w:proofErr w:type="gramEnd"/>
      <w:r>
        <w:rPr>
          <w:rFonts w:asciiTheme="minorHAnsi" w:hAnsiTheme="minorHAnsi"/>
        </w:rPr>
        <w:t xml:space="preserve"> the maximum number of embryos that can be held together in a single petri dish</w:t>
      </w:r>
      <w:r w:rsidR="003B70EA">
        <w:rPr>
          <w:rFonts w:asciiTheme="minorHAnsi" w:hAnsiTheme="minorHAnsi"/>
        </w:rPr>
        <w:t>. O</w:t>
      </w:r>
      <w:r>
        <w:rPr>
          <w:rFonts w:asciiTheme="minorHAnsi" w:hAnsiTheme="minorHAnsi"/>
        </w:rPr>
        <w:t>nce unfertilized and dead embryos are removed at 4 hours post fertilization</w:t>
      </w:r>
      <w:r w:rsidR="003B70EA">
        <w:rPr>
          <w:rFonts w:asciiTheme="minorHAnsi" w:hAnsiTheme="minorHAnsi"/>
        </w:rPr>
        <w:t>, this</w:t>
      </w:r>
      <w:r>
        <w:rPr>
          <w:rFonts w:asciiTheme="minorHAnsi" w:hAnsiTheme="minorHAnsi"/>
        </w:rPr>
        <w:t xml:space="preserve"> typically left at least 40 embryos for analysis.</w:t>
      </w:r>
    </w:p>
    <w:p w14:paraId="31D4C17A" w14:textId="77777777" w:rsidR="00D8544A" w:rsidRDefault="00D8544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51EC26B2" w14:textId="727FE3C1" w:rsidR="00C36F00" w:rsidRDefault="00C36F0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Because the phenotypes occur on an </w:t>
      </w:r>
      <w:proofErr w:type="gramStart"/>
      <w:r>
        <w:rPr>
          <w:rFonts w:asciiTheme="minorHAnsi" w:hAnsiTheme="minorHAnsi"/>
        </w:rPr>
        <w:t>11 point</w:t>
      </w:r>
      <w:proofErr w:type="gramEnd"/>
      <w:r>
        <w:rPr>
          <w:rFonts w:asciiTheme="minorHAnsi" w:hAnsiTheme="minorHAnsi"/>
        </w:rPr>
        <w:t xml:space="preserve"> scale usually 20 embryos is sufficient to determine the range of phenotypes in</w:t>
      </w:r>
      <w:r w:rsidR="00D8544A">
        <w:rPr>
          <w:rFonts w:asciiTheme="minorHAnsi" w:hAnsiTheme="minorHAnsi"/>
        </w:rPr>
        <w:t xml:space="preserve"> a single</w:t>
      </w:r>
      <w:r>
        <w:rPr>
          <w:rFonts w:asciiTheme="minorHAnsi" w:hAnsiTheme="minorHAnsi"/>
        </w:rPr>
        <w:t xml:space="preserve"> experiment.</w:t>
      </w:r>
    </w:p>
    <w:p w14:paraId="1C16678C" w14:textId="48DE7B3E" w:rsidR="008C21ED" w:rsidRDefault="008C21E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experiments where no genotyping was necessary, 30</w:t>
      </w:r>
      <w:r w:rsidR="003B70EA">
        <w:rPr>
          <w:rFonts w:asciiTheme="minorHAnsi" w:hAnsiTheme="minorHAnsi"/>
        </w:rPr>
        <w:t xml:space="preserve"> total</w:t>
      </w:r>
      <w:r>
        <w:rPr>
          <w:rFonts w:asciiTheme="minorHAnsi" w:hAnsiTheme="minorHAnsi"/>
        </w:rPr>
        <w:t xml:space="preserve"> embryos</w:t>
      </w:r>
      <w:r w:rsidR="003B70EA">
        <w:rPr>
          <w:rFonts w:asciiTheme="minorHAnsi" w:hAnsiTheme="minorHAnsi"/>
        </w:rPr>
        <w:t xml:space="preserve"> from at least 2 experiments</w:t>
      </w:r>
      <w:r>
        <w:rPr>
          <w:rFonts w:asciiTheme="minorHAnsi" w:hAnsiTheme="minorHAnsi"/>
        </w:rPr>
        <w:t xml:space="preserve"> was sufficient to observe consistent rescue from C5 phenotypes (</w:t>
      </w:r>
      <w:proofErr w:type="spellStart"/>
      <w:r>
        <w:rPr>
          <w:rFonts w:asciiTheme="minorHAnsi" w:hAnsiTheme="minorHAnsi"/>
        </w:rPr>
        <w:t>ie</w:t>
      </w:r>
      <w:proofErr w:type="spellEnd"/>
      <w:r>
        <w:rPr>
          <w:rFonts w:asciiTheme="minorHAnsi" w:hAnsiTheme="minorHAnsi"/>
        </w:rPr>
        <w:t xml:space="preserve"> fig 1). 50 embryos or more was preferred for observing changes in rescue intensity (</w:t>
      </w:r>
      <w:proofErr w:type="spellStart"/>
      <w:r>
        <w:rPr>
          <w:rFonts w:asciiTheme="minorHAnsi" w:hAnsiTheme="minorHAnsi"/>
        </w:rPr>
        <w:t>ie</w:t>
      </w:r>
      <w:proofErr w:type="spellEnd"/>
      <w:r>
        <w:rPr>
          <w:rFonts w:asciiTheme="minorHAnsi" w:hAnsiTheme="minorHAnsi"/>
        </w:rPr>
        <w:t xml:space="preserve"> ligand response experiments; fig 3 and S3). </w:t>
      </w:r>
    </w:p>
    <w:p w14:paraId="7A159409" w14:textId="4A49BC3C" w:rsidR="008C21ED" w:rsidRDefault="008C21E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cases where genotyping following analysis was necessary, typically 25% of analyzed embryos would be within the homozygous mutant category. 2</w:t>
      </w:r>
      <w:r w:rsidR="00C36F00">
        <w:rPr>
          <w:rFonts w:asciiTheme="minorHAnsi" w:hAnsiTheme="minorHAnsi"/>
        </w:rPr>
        <w:t>0</w:t>
      </w:r>
      <w:r>
        <w:rPr>
          <w:rFonts w:asciiTheme="minorHAnsi" w:hAnsiTheme="minorHAnsi"/>
        </w:rPr>
        <w:t xml:space="preserve"> embryos </w:t>
      </w:r>
      <w:proofErr w:type="gramStart"/>
      <w:r>
        <w:rPr>
          <w:rFonts w:asciiTheme="minorHAnsi" w:hAnsiTheme="minorHAnsi"/>
        </w:rPr>
        <w:t>was</w:t>
      </w:r>
      <w:proofErr w:type="gramEnd"/>
      <w:r>
        <w:rPr>
          <w:rFonts w:asciiTheme="minorHAnsi" w:hAnsiTheme="minorHAnsi"/>
        </w:rPr>
        <w:t xml:space="preserve"> sufficient to observe rescue from C5 phenotypes (</w:t>
      </w:r>
      <w:proofErr w:type="spellStart"/>
      <w:r>
        <w:rPr>
          <w:rFonts w:asciiTheme="minorHAnsi" w:hAnsiTheme="minorHAnsi"/>
        </w:rPr>
        <w:t>ie</w:t>
      </w:r>
      <w:proofErr w:type="spellEnd"/>
      <w:r>
        <w:rPr>
          <w:rFonts w:asciiTheme="minorHAnsi" w:hAnsiTheme="minorHAnsi"/>
        </w:rPr>
        <w:t xml:space="preserve"> fig 4 and 5). While for ligand response experiments in which ranges of phenotypes were observed (fig 6) we aimed to have at least </w:t>
      </w:r>
      <w:r w:rsidR="00C36F00">
        <w:rPr>
          <w:rFonts w:asciiTheme="minorHAnsi" w:hAnsiTheme="minorHAnsi"/>
        </w:rPr>
        <w:t>3</w:t>
      </w:r>
      <w:r>
        <w:rPr>
          <w:rFonts w:asciiTheme="minorHAnsi" w:hAnsiTheme="minorHAnsi"/>
        </w:rPr>
        <w:t>0 embryos in each category.</w:t>
      </w:r>
    </w:p>
    <w:p w14:paraId="09C723F0" w14:textId="37BA755F" w:rsidR="003803FE" w:rsidRDefault="003803F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0735866C" w14:textId="4909C143" w:rsidR="003803FE" w:rsidRPr="00125190" w:rsidRDefault="003803F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Due to the reproducibility of the pSmad1/5 </w:t>
      </w:r>
      <w:proofErr w:type="spellStart"/>
      <w:r>
        <w:rPr>
          <w:rFonts w:asciiTheme="minorHAnsi" w:hAnsiTheme="minorHAnsi"/>
        </w:rPr>
        <w:t>immunostains</w:t>
      </w:r>
      <w:proofErr w:type="spellEnd"/>
      <w:r>
        <w:rPr>
          <w:rFonts w:asciiTheme="minorHAnsi" w:hAnsiTheme="minorHAnsi"/>
        </w:rPr>
        <w:t xml:space="preserve"> and dorsal marker </w:t>
      </w:r>
      <w:r w:rsidRPr="009E7684">
        <w:rPr>
          <w:rFonts w:asciiTheme="minorHAnsi" w:hAnsiTheme="minorHAnsi"/>
          <w:i/>
          <w:iCs/>
        </w:rPr>
        <w:t>in situs</w:t>
      </w:r>
      <w:r>
        <w:rPr>
          <w:rFonts w:asciiTheme="minorHAnsi" w:hAnsiTheme="minorHAnsi"/>
        </w:rPr>
        <w:t>, a minimum of 3 embryos from 2 different experiments was sufficient to show rescue</w:t>
      </w:r>
      <w:r w:rsidR="009E7684">
        <w:rPr>
          <w:rFonts w:asciiTheme="minorHAnsi" w:hAnsiTheme="minorHAnsi"/>
        </w:rPr>
        <w:t xml:space="preserve"> or enhancement of signaling</w:t>
      </w:r>
      <w:r w:rsidR="000C7BDB">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1A6E3957" w14:textId="1647F5F1" w:rsidR="00C36F00" w:rsidRDefault="00C36F0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Experimental replicates are reported within the figure legends </w:t>
      </w:r>
    </w:p>
    <w:p w14:paraId="61B2E6C8" w14:textId="77777777" w:rsidR="000C7BDB" w:rsidRDefault="000C7BD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595014B" w14:textId="058D164C" w:rsidR="00C36F00" w:rsidRDefault="00C36F0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Biological replicate: each injected embryo within a condition (referred to as N values for each column in the figure legends; total Ns from combined technical replicates are reported)</w:t>
      </w:r>
    </w:p>
    <w:p w14:paraId="109D0428" w14:textId="77777777" w:rsidR="00501B1C" w:rsidRDefault="00501B1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3EBDD908" w14:textId="0B295BC9" w:rsidR="00C36F00" w:rsidRDefault="00C36F0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Technical replicate: each separate injection (referred to as </w:t>
      </w:r>
      <w:r w:rsidR="003B70EA">
        <w:rPr>
          <w:rFonts w:asciiTheme="minorHAnsi" w:hAnsiTheme="minorHAnsi"/>
        </w:rPr>
        <w:t>“</w:t>
      </w:r>
      <w:r>
        <w:rPr>
          <w:rFonts w:asciiTheme="minorHAnsi" w:hAnsiTheme="minorHAnsi"/>
        </w:rPr>
        <w:t>experiment</w:t>
      </w:r>
      <w:r w:rsidR="003B70EA">
        <w:rPr>
          <w:rFonts w:asciiTheme="minorHAnsi" w:hAnsiTheme="minorHAnsi"/>
        </w:rPr>
        <w:t>” in reported “pooled experiments”</w:t>
      </w:r>
      <w:r>
        <w:rPr>
          <w:rFonts w:asciiTheme="minorHAnsi" w:hAnsiTheme="minorHAnsi"/>
        </w:rPr>
        <w:t xml:space="preserve"> within the figure text)</w:t>
      </w:r>
    </w:p>
    <w:p w14:paraId="4CB2E1CB" w14:textId="77777777" w:rsidR="00501B1C" w:rsidRDefault="00501B1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3DB33D38" w14:textId="38B43316" w:rsidR="00501B1C" w:rsidRDefault="00501B1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Technical replicates were excluded if the associated control injections performed in the same experiment did not produce the expected results. (</w:t>
      </w:r>
      <w:proofErr w:type="spellStart"/>
      <w:r>
        <w:rPr>
          <w:rFonts w:asciiTheme="minorHAnsi" w:hAnsiTheme="minorHAnsi"/>
        </w:rPr>
        <w:t>ie</w:t>
      </w:r>
      <w:proofErr w:type="spellEnd"/>
      <w:r>
        <w:rPr>
          <w:rFonts w:asciiTheme="minorHAnsi" w:hAnsiTheme="minorHAnsi"/>
        </w:rPr>
        <w:t xml:space="preserve"> the </w:t>
      </w:r>
      <w:r w:rsidRPr="00501B1C">
        <w:rPr>
          <w:rFonts w:asciiTheme="minorHAnsi" w:hAnsiTheme="minorHAnsi"/>
          <w:i/>
          <w:iCs/>
        </w:rPr>
        <w:t>acvrl1</w:t>
      </w:r>
      <w:r>
        <w:rPr>
          <w:rFonts w:asciiTheme="minorHAnsi" w:hAnsiTheme="minorHAnsi"/>
        </w:rPr>
        <w:t xml:space="preserve"> morpholino failed to generate a C</w:t>
      </w:r>
      <w:r w:rsidR="000C7BDB">
        <w:rPr>
          <w:rFonts w:asciiTheme="minorHAnsi" w:hAnsiTheme="minorHAnsi"/>
        </w:rPr>
        <w:t>4-</w:t>
      </w:r>
      <w:r>
        <w:rPr>
          <w:rFonts w:asciiTheme="minorHAnsi" w:hAnsiTheme="minorHAnsi"/>
        </w:rPr>
        <w:t xml:space="preserve">5 dorsalized phenotype or </w:t>
      </w:r>
      <w:r w:rsidRPr="00501B1C">
        <w:rPr>
          <w:rFonts w:asciiTheme="minorHAnsi" w:hAnsiTheme="minorHAnsi"/>
          <w:i/>
          <w:iCs/>
        </w:rPr>
        <w:t>bmp7</w:t>
      </w:r>
      <w:r>
        <w:rPr>
          <w:rFonts w:asciiTheme="minorHAnsi" w:hAnsiTheme="minorHAnsi"/>
        </w:rPr>
        <w:t xml:space="preserve"> mRNA failed to rescue </w:t>
      </w:r>
      <w:r w:rsidRPr="00501B1C">
        <w:rPr>
          <w:rFonts w:asciiTheme="minorHAnsi" w:hAnsiTheme="minorHAnsi"/>
          <w:i/>
          <w:iCs/>
        </w:rPr>
        <w:t>bmp7-/-</w:t>
      </w:r>
      <w:r>
        <w:rPr>
          <w:rFonts w:asciiTheme="minorHAnsi" w:hAnsiTheme="minorHAnsi"/>
        </w:rPr>
        <w:t xml:space="preserve"> fish)</w:t>
      </w:r>
    </w:p>
    <w:p w14:paraId="7E75E043" w14:textId="77777777" w:rsidR="00501B1C" w:rsidRDefault="00501B1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6019C3" w14:textId="6E3BA09F" w:rsidR="00C36F00" w:rsidRDefault="00501B1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Within technical replicates a</w:t>
      </w:r>
      <w:r w:rsidR="00C36F00">
        <w:rPr>
          <w:rFonts w:asciiTheme="minorHAnsi" w:hAnsiTheme="minorHAnsi"/>
        </w:rPr>
        <w:t>ll outliers were included in data with the exception of embryos that displayed significant cell death, presumably from morpholino toxicity. Morpholino toxicity can be identified by significant cell death within the neural tissue of the embryo and creates a dark coloration. This cell death confounds ventralized phenotypes which have reduced eyes and small heads.</w:t>
      </w:r>
    </w:p>
    <w:p w14:paraId="28FBDDDC" w14:textId="617B0747" w:rsidR="00501B1C" w:rsidRDefault="00501B1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7D31E23" w14:textId="5763EF08" w:rsidR="00501B1C" w:rsidRDefault="00501B1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 pSmad1/5 immunostaining experime</w:t>
      </w:r>
      <w:r w:rsidR="000C7BDB">
        <w:rPr>
          <w:rFonts w:asciiTheme="minorHAnsi" w:hAnsiTheme="minorHAnsi"/>
        </w:rPr>
        <w:t>nt</w:t>
      </w:r>
      <w:r>
        <w:rPr>
          <w:rFonts w:asciiTheme="minorHAnsi" w:hAnsiTheme="minorHAnsi"/>
        </w:rPr>
        <w:t xml:space="preserve"> was excluded from the results due to unexpected non-specific staining that was not observed in other experiments.</w:t>
      </w:r>
    </w:p>
    <w:p w14:paraId="2FD5DAF4" w14:textId="77777777" w:rsidR="001A696F" w:rsidRDefault="001A696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378D90A7" w14:textId="6D0835C9" w:rsidR="001A696F" w:rsidRDefault="001A696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quantitative pSmad1/5 and pSmad2 fl</w:t>
      </w:r>
      <w:r w:rsidR="00C1527C">
        <w:rPr>
          <w:rFonts w:asciiTheme="minorHAnsi" w:hAnsiTheme="minorHAnsi"/>
        </w:rPr>
        <w:t>uo</w:t>
      </w:r>
      <w:r>
        <w:rPr>
          <w:rFonts w:asciiTheme="minorHAnsi" w:hAnsiTheme="minorHAnsi"/>
        </w:rPr>
        <w:t xml:space="preserve">rescence measurements, the mean fluorescence was calculated within each nuclei of the embryo. Nuclei </w:t>
      </w:r>
      <w:r w:rsidR="00C1527C">
        <w:rPr>
          <w:rFonts w:asciiTheme="minorHAnsi" w:hAnsiTheme="minorHAnsi"/>
        </w:rPr>
        <w:t>with</w:t>
      </w:r>
      <w:r>
        <w:rPr>
          <w:rFonts w:asciiTheme="minorHAnsi" w:hAnsiTheme="minorHAnsi"/>
        </w:rPr>
        <w:t xml:space="preserve"> mean fluorescence outside 1.8 times </w:t>
      </w:r>
      <w:r w:rsidR="0099237A">
        <w:rPr>
          <w:rFonts w:asciiTheme="minorHAnsi" w:hAnsiTheme="minorHAnsi"/>
        </w:rPr>
        <w:t xml:space="preserve">the interquartile range </w:t>
      </w:r>
      <w:r>
        <w:rPr>
          <w:rFonts w:asciiTheme="minorHAnsi" w:hAnsiTheme="minorHAnsi"/>
        </w:rPr>
        <w:t>were excluded to determine the final mean fluorescence of the whole embryo. All individual measured embryos were kept for analysis. No embryos were excluded.</w:t>
      </w:r>
    </w:p>
    <w:p w14:paraId="3F77D0B0" w14:textId="728DD5EA" w:rsidR="001A696F" w:rsidRDefault="001A696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6545404" w14:textId="4222F887" w:rsidR="001A696F" w:rsidRDefault="001A696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quantitative HA fluorescence, embryos that fell outside 1.8 times the </w:t>
      </w:r>
      <w:r w:rsidR="0099237A">
        <w:rPr>
          <w:rFonts w:asciiTheme="minorHAnsi" w:hAnsiTheme="minorHAnsi"/>
        </w:rPr>
        <w:t>interquartile range</w:t>
      </w:r>
      <w:r>
        <w:rPr>
          <w:rFonts w:asciiTheme="minorHAnsi" w:hAnsiTheme="minorHAnsi"/>
        </w:rPr>
        <w:t xml:space="preserve"> were excluded. (0-1 embryos per condition)</w:t>
      </w:r>
    </w:p>
    <w:p w14:paraId="7DC973EE" w14:textId="77777777" w:rsidR="00501B1C" w:rsidRDefault="00501B1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D9B12B1" w14:textId="70249625" w:rsidR="00C36F00" w:rsidRPr="00125190" w:rsidRDefault="00C36F0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high-throughput sequence data was generated in this study</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50C86C24" w14:textId="41FF2C7F" w:rsidR="00DA57B3" w:rsidRDefault="00DA57B3"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Most d</w:t>
      </w:r>
      <w:r w:rsidR="00EF19FA">
        <w:rPr>
          <w:rFonts w:asciiTheme="minorHAnsi" w:hAnsiTheme="minorHAnsi"/>
          <w:sz w:val="22"/>
          <w:szCs w:val="22"/>
        </w:rPr>
        <w:t xml:space="preserve">ata </w:t>
      </w:r>
      <w:proofErr w:type="gramStart"/>
      <w:r w:rsidR="00EF19FA">
        <w:rPr>
          <w:rFonts w:asciiTheme="minorHAnsi" w:hAnsiTheme="minorHAnsi"/>
          <w:sz w:val="22"/>
          <w:szCs w:val="22"/>
        </w:rPr>
        <w:t>was</w:t>
      </w:r>
      <w:proofErr w:type="gramEnd"/>
      <w:r w:rsidR="00EF19FA">
        <w:rPr>
          <w:rFonts w:asciiTheme="minorHAnsi" w:hAnsiTheme="minorHAnsi"/>
          <w:sz w:val="22"/>
          <w:szCs w:val="22"/>
        </w:rPr>
        <w:t xml:space="preserve"> analyzed for the ability to rescue severely dorsalized C5 phenotypes to less dorsalized or ventralized phenotypes</w:t>
      </w:r>
      <w:r>
        <w:rPr>
          <w:rFonts w:asciiTheme="minorHAnsi" w:hAnsiTheme="minorHAnsi"/>
          <w:sz w:val="22"/>
          <w:szCs w:val="22"/>
        </w:rPr>
        <w:t xml:space="preserve"> (by phenotyping, pSmad1/5 </w:t>
      </w:r>
      <w:proofErr w:type="spellStart"/>
      <w:r>
        <w:rPr>
          <w:rFonts w:asciiTheme="minorHAnsi" w:hAnsiTheme="minorHAnsi"/>
          <w:sz w:val="22"/>
          <w:szCs w:val="22"/>
        </w:rPr>
        <w:t>immunostain</w:t>
      </w:r>
      <w:proofErr w:type="spellEnd"/>
      <w:r>
        <w:rPr>
          <w:rFonts w:asciiTheme="minorHAnsi" w:hAnsiTheme="minorHAnsi"/>
          <w:sz w:val="22"/>
          <w:szCs w:val="22"/>
        </w:rPr>
        <w:t xml:space="preserve"> or in situ)</w:t>
      </w:r>
    </w:p>
    <w:p w14:paraId="54B53443" w14:textId="77777777" w:rsidR="00DA57B3" w:rsidRDefault="00DA57B3"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286951A" w14:textId="5B482FD0" w:rsidR="00656238" w:rsidRDefault="00DA57B3"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Experiments involving enhancement of phenotype were analyzed </w:t>
      </w:r>
      <w:r w:rsidR="00EF19FA">
        <w:rPr>
          <w:rFonts w:asciiTheme="minorHAnsi" w:hAnsiTheme="minorHAnsi"/>
          <w:sz w:val="22"/>
          <w:szCs w:val="22"/>
        </w:rPr>
        <w:t>the ability to shift the majority of observed phenotypes from one general category of phenotypes to another (</w:t>
      </w:r>
      <w:r w:rsidR="00BB1556">
        <w:rPr>
          <w:rFonts w:asciiTheme="minorHAnsi" w:hAnsiTheme="minorHAnsi"/>
          <w:sz w:val="22"/>
          <w:szCs w:val="22"/>
        </w:rPr>
        <w:t xml:space="preserve">more general categories being: </w:t>
      </w:r>
      <w:r w:rsidR="00EF19FA">
        <w:rPr>
          <w:rFonts w:asciiTheme="minorHAnsi" w:hAnsiTheme="minorHAnsi"/>
          <w:sz w:val="22"/>
          <w:szCs w:val="22"/>
        </w:rPr>
        <w:t>severely dorsalized (C5 and C4), mildly dorsalized (C3-C1), wildtype, mildly ventralized (V1-V3) and severely ventralized (V4 and V5)</w:t>
      </w:r>
      <w:r w:rsidR="00BB1556">
        <w:rPr>
          <w:rFonts w:asciiTheme="minorHAnsi" w:hAnsiTheme="minorHAnsi"/>
          <w:sz w:val="22"/>
          <w:szCs w:val="22"/>
        </w:rPr>
        <w:t>)</w:t>
      </w:r>
      <w:r w:rsidR="00F8163B">
        <w:rPr>
          <w:rFonts w:asciiTheme="minorHAnsi" w:hAnsiTheme="minorHAnsi"/>
          <w:sz w:val="22"/>
          <w:szCs w:val="22"/>
        </w:rPr>
        <w:t xml:space="preserve">. </w:t>
      </w:r>
      <w:r w:rsidR="00656238">
        <w:rPr>
          <w:rFonts w:asciiTheme="minorHAnsi" w:hAnsiTheme="minorHAnsi"/>
          <w:sz w:val="22"/>
          <w:szCs w:val="22"/>
        </w:rPr>
        <w:t>Alternatively, we assessed enhanced ventralization based on change in the most ventralized phenotype observed in the condition.</w:t>
      </w:r>
    </w:p>
    <w:p w14:paraId="2ACB63CA" w14:textId="67BB08CF" w:rsidR="00EF19FA" w:rsidRDefault="0065623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w:t>
      </w:r>
      <w:r w:rsidR="00F8163B">
        <w:rPr>
          <w:rFonts w:asciiTheme="minorHAnsi" w:hAnsiTheme="minorHAnsi"/>
          <w:sz w:val="22"/>
          <w:szCs w:val="22"/>
        </w:rPr>
        <w:t xml:space="preserve">n the case of the </w:t>
      </w:r>
      <w:r w:rsidR="00F8163B" w:rsidRPr="00656238">
        <w:rPr>
          <w:rFonts w:asciiTheme="minorHAnsi" w:hAnsiTheme="minorHAnsi"/>
          <w:i/>
          <w:iCs/>
          <w:sz w:val="22"/>
          <w:szCs w:val="22"/>
        </w:rPr>
        <w:t>in situs</w:t>
      </w:r>
      <w:r w:rsidR="00F8163B">
        <w:rPr>
          <w:rFonts w:asciiTheme="minorHAnsi" w:hAnsiTheme="minorHAnsi"/>
          <w:sz w:val="22"/>
          <w:szCs w:val="22"/>
        </w:rPr>
        <w:t xml:space="preserve"> in Fig 6 the ability to shift embryos from a C5 dorsalized phenotype, to a less dorsalized phenotype or ventralized phenotypes.</w:t>
      </w:r>
    </w:p>
    <w:p w14:paraId="0D4DE490" w14:textId="0046295B" w:rsidR="00F5089F" w:rsidRDefault="00F5089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EAD2EA6" w14:textId="20730A1F" w:rsidR="00F5089F" w:rsidRPr="00505C51" w:rsidRDefault="00F5089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quantitative immunofluorescence data was compared using a two-tailed student’s t-test assuming unequal variances. Data was deemed statistically significant if P&lt;0.05.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B886632" w:rsidR="00BC3CCE" w:rsidRDefault="000E593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Experimental groups were determined based on genotype and injection conditions. This information can be found within the figure and figure legends for all tables.</w:t>
      </w:r>
    </w:p>
    <w:p w14:paraId="3AC5840D" w14:textId="77777777" w:rsidR="000C7BDB" w:rsidRDefault="000C7BD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97C95CC" w14:textId="249384AF" w:rsidR="000E5937" w:rsidRPr="00505C51" w:rsidRDefault="000E593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Phenotypic analysis of bmpr1a mutant embryos was carried out blind followed by genotyping</w:t>
      </w:r>
      <w:r w:rsidR="00745E1F">
        <w:rPr>
          <w:rFonts w:asciiTheme="minorHAnsi" w:hAnsiTheme="minorHAnsi"/>
          <w:sz w:val="22"/>
          <w:szCs w:val="22"/>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w:t>
      </w:r>
      <w:bookmarkStart w:id="0" w:name="_GoBack"/>
      <w:bookmarkEnd w:id="0"/>
      <w:r w:rsidR="006E6B2A" w:rsidRPr="00505C51">
        <w:rPr>
          <w:rFonts w:asciiTheme="minorHAnsi" w:hAnsiTheme="minorHAnsi"/>
          <w:sz w:val="22"/>
          <w:szCs w:val="22"/>
        </w:rPr>
        <w: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C8F51FB" w:rsidR="00BC3CCE" w:rsidRDefault="00745E1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Included are excel files containing total numbers of embryos within each phenotypic category in each condition of reported tables. These numbers were converted into percent of total embryos to generate the bubble graphs using the excel bubble graph series template. Within</w:t>
      </w:r>
      <w:r w:rsidR="000C7BDB">
        <w:rPr>
          <w:rFonts w:asciiTheme="minorHAnsi" w:hAnsiTheme="minorHAnsi"/>
          <w:sz w:val="22"/>
          <w:szCs w:val="22"/>
        </w:rPr>
        <w:t xml:space="preserve"> the</w:t>
      </w:r>
      <w:r>
        <w:rPr>
          <w:rFonts w:asciiTheme="minorHAnsi" w:hAnsiTheme="minorHAnsi"/>
          <w:sz w:val="22"/>
          <w:szCs w:val="22"/>
        </w:rPr>
        <w:t xml:space="preserve"> excel sheet</w:t>
      </w:r>
      <w:r w:rsidR="000C7BDB">
        <w:rPr>
          <w:rFonts w:asciiTheme="minorHAnsi" w:hAnsiTheme="minorHAnsi"/>
          <w:sz w:val="22"/>
          <w:szCs w:val="22"/>
        </w:rPr>
        <w:t>,</w:t>
      </w:r>
      <w:r>
        <w:rPr>
          <w:rFonts w:asciiTheme="minorHAnsi" w:hAnsiTheme="minorHAnsi"/>
          <w:sz w:val="22"/>
          <w:szCs w:val="22"/>
        </w:rPr>
        <w:t xml:space="preserve"> each tab shows </w:t>
      </w:r>
      <w:r w:rsidR="000C7BDB">
        <w:rPr>
          <w:rFonts w:asciiTheme="minorHAnsi" w:hAnsiTheme="minorHAnsi"/>
          <w:sz w:val="22"/>
          <w:szCs w:val="22"/>
        </w:rPr>
        <w:t>data for a separate table</w:t>
      </w:r>
      <w:r>
        <w:rPr>
          <w:rFonts w:asciiTheme="minorHAnsi" w:hAnsiTheme="minorHAnsi"/>
          <w:sz w:val="22"/>
          <w:szCs w:val="22"/>
        </w:rPr>
        <w:t>.</w:t>
      </w:r>
    </w:p>
    <w:p w14:paraId="0148F94E" w14:textId="6790E71F" w:rsidR="00E36F70" w:rsidRDefault="00E36F7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13EE059" w14:textId="77777777" w:rsidR="00E36F70" w:rsidRDefault="00E36F7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Included are also, an excel sheet with the raw nuclear fluorescence for all pSmad1/5 and pSmad2 </w:t>
      </w:r>
      <w:proofErr w:type="spellStart"/>
      <w:r>
        <w:rPr>
          <w:rFonts w:asciiTheme="minorHAnsi" w:hAnsiTheme="minorHAnsi"/>
          <w:sz w:val="22"/>
          <w:szCs w:val="22"/>
        </w:rPr>
        <w:t>immunostained</w:t>
      </w:r>
      <w:proofErr w:type="spellEnd"/>
      <w:r>
        <w:rPr>
          <w:rFonts w:asciiTheme="minorHAnsi" w:hAnsiTheme="minorHAnsi"/>
          <w:sz w:val="22"/>
          <w:szCs w:val="22"/>
        </w:rPr>
        <w:t xml:space="preserve"> embryos, and the mean nuclear fluorescence of each embryo before and after nuclei outside the 1.8x IQR were excluded. A second excel sheet shows the comparison of the means within each group and the statistical tests performed between them. </w:t>
      </w:r>
    </w:p>
    <w:p w14:paraId="77EE4DC5" w14:textId="77777777" w:rsidR="00E36F70" w:rsidRDefault="00E36F7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CFF7C89" w14:textId="2625269D" w:rsidR="00E36F70" w:rsidRPr="00505C51" w:rsidRDefault="00E36F7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 fourth excel sheet shows data for the quantitative HA stain. Surface area of </w:t>
      </w:r>
      <w:r w:rsidR="00F30638">
        <w:rPr>
          <w:rFonts w:asciiTheme="minorHAnsi" w:hAnsiTheme="minorHAnsi"/>
          <w:sz w:val="22"/>
          <w:szCs w:val="22"/>
        </w:rPr>
        <w:sym w:font="Symbol" w:char="F062"/>
      </w:r>
      <w:r w:rsidR="00F30638">
        <w:rPr>
          <w:rFonts w:asciiTheme="minorHAnsi" w:hAnsiTheme="minorHAnsi"/>
          <w:sz w:val="22"/>
          <w:szCs w:val="22"/>
        </w:rPr>
        <w:t xml:space="preserve">catenin </w:t>
      </w:r>
      <w:r>
        <w:rPr>
          <w:rFonts w:asciiTheme="minorHAnsi" w:hAnsiTheme="minorHAnsi"/>
          <w:sz w:val="22"/>
          <w:szCs w:val="22"/>
        </w:rPr>
        <w:t xml:space="preserve">was measured and the HA fluorescence within that surface area was measured, then the HA fluorescence/um </w:t>
      </w:r>
      <w:r w:rsidR="00F30638">
        <w:rPr>
          <w:rFonts w:asciiTheme="minorHAnsi" w:hAnsiTheme="minorHAnsi"/>
          <w:sz w:val="22"/>
          <w:szCs w:val="22"/>
        </w:rPr>
        <w:sym w:font="Symbol" w:char="F062"/>
      </w:r>
      <w:r>
        <w:rPr>
          <w:rFonts w:asciiTheme="minorHAnsi" w:hAnsiTheme="minorHAnsi"/>
          <w:sz w:val="22"/>
          <w:szCs w:val="22"/>
        </w:rPr>
        <w:t>catenin was calculated. A separate tab shows the exclusion of embryos that fell outside 1.8x the IQR and the statistical tests performed between groups.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57DBD" w14:textId="77777777" w:rsidR="00794D1D" w:rsidRDefault="00794D1D" w:rsidP="004215FE">
      <w:r>
        <w:separator/>
      </w:r>
    </w:p>
  </w:endnote>
  <w:endnote w:type="continuationSeparator" w:id="0">
    <w:p w14:paraId="1F98AF16" w14:textId="77777777" w:rsidR="00794D1D" w:rsidRDefault="00794D1D"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5F013" w14:textId="77777777" w:rsidR="00794D1D" w:rsidRDefault="00794D1D" w:rsidP="004215FE">
      <w:r>
        <w:separator/>
      </w:r>
    </w:p>
  </w:footnote>
  <w:footnote w:type="continuationSeparator" w:id="0">
    <w:p w14:paraId="7B0F1F26" w14:textId="77777777" w:rsidR="00794D1D" w:rsidRDefault="00794D1D"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C7BDB"/>
    <w:rsid w:val="000D14EE"/>
    <w:rsid w:val="000D62F9"/>
    <w:rsid w:val="000E5937"/>
    <w:rsid w:val="000F64EE"/>
    <w:rsid w:val="00100F97"/>
    <w:rsid w:val="001019CD"/>
    <w:rsid w:val="00125190"/>
    <w:rsid w:val="00133662"/>
    <w:rsid w:val="00133907"/>
    <w:rsid w:val="00146DE9"/>
    <w:rsid w:val="0015519A"/>
    <w:rsid w:val="001618D5"/>
    <w:rsid w:val="00175192"/>
    <w:rsid w:val="001A696F"/>
    <w:rsid w:val="001E1D59"/>
    <w:rsid w:val="00212F30"/>
    <w:rsid w:val="00217B9E"/>
    <w:rsid w:val="002336C6"/>
    <w:rsid w:val="00241081"/>
    <w:rsid w:val="00266462"/>
    <w:rsid w:val="002A068D"/>
    <w:rsid w:val="002A0ED1"/>
    <w:rsid w:val="002A7487"/>
    <w:rsid w:val="00307F5D"/>
    <w:rsid w:val="003248ED"/>
    <w:rsid w:val="00370080"/>
    <w:rsid w:val="003803FE"/>
    <w:rsid w:val="003B70EA"/>
    <w:rsid w:val="003F19A6"/>
    <w:rsid w:val="00402ADD"/>
    <w:rsid w:val="00406FF4"/>
    <w:rsid w:val="004130FB"/>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1B1C"/>
    <w:rsid w:val="00505C51"/>
    <w:rsid w:val="00516A01"/>
    <w:rsid w:val="0053000A"/>
    <w:rsid w:val="00550F13"/>
    <w:rsid w:val="005530AE"/>
    <w:rsid w:val="00555F44"/>
    <w:rsid w:val="00566103"/>
    <w:rsid w:val="005B0A15"/>
    <w:rsid w:val="00605A12"/>
    <w:rsid w:val="00634AC7"/>
    <w:rsid w:val="00656238"/>
    <w:rsid w:val="00657587"/>
    <w:rsid w:val="00661DCC"/>
    <w:rsid w:val="00672545"/>
    <w:rsid w:val="00685CCF"/>
    <w:rsid w:val="006A632B"/>
    <w:rsid w:val="006C06F5"/>
    <w:rsid w:val="006C7BC3"/>
    <w:rsid w:val="006E4A6C"/>
    <w:rsid w:val="006E6B2A"/>
    <w:rsid w:val="00700103"/>
    <w:rsid w:val="007137E1"/>
    <w:rsid w:val="00745E1F"/>
    <w:rsid w:val="00762B36"/>
    <w:rsid w:val="00763BA5"/>
    <w:rsid w:val="0076524F"/>
    <w:rsid w:val="00767B26"/>
    <w:rsid w:val="00794D1D"/>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21ED"/>
    <w:rsid w:val="008C73C0"/>
    <w:rsid w:val="008D7885"/>
    <w:rsid w:val="00912B0B"/>
    <w:rsid w:val="009205E9"/>
    <w:rsid w:val="0092438C"/>
    <w:rsid w:val="00941D04"/>
    <w:rsid w:val="00963CEF"/>
    <w:rsid w:val="0099237A"/>
    <w:rsid w:val="00993065"/>
    <w:rsid w:val="009A0661"/>
    <w:rsid w:val="009D0D28"/>
    <w:rsid w:val="009E6ACE"/>
    <w:rsid w:val="009E7684"/>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1556"/>
    <w:rsid w:val="00BB55EC"/>
    <w:rsid w:val="00BC3CCE"/>
    <w:rsid w:val="00C1184B"/>
    <w:rsid w:val="00C1527C"/>
    <w:rsid w:val="00C21D14"/>
    <w:rsid w:val="00C24CF7"/>
    <w:rsid w:val="00C36F00"/>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8544A"/>
    <w:rsid w:val="00D91C36"/>
    <w:rsid w:val="00D93937"/>
    <w:rsid w:val="00DA57B3"/>
    <w:rsid w:val="00DE207A"/>
    <w:rsid w:val="00DE2719"/>
    <w:rsid w:val="00DF1913"/>
    <w:rsid w:val="00DF576E"/>
    <w:rsid w:val="00E007B4"/>
    <w:rsid w:val="00E234CA"/>
    <w:rsid w:val="00E36F70"/>
    <w:rsid w:val="00E41364"/>
    <w:rsid w:val="00E61AB4"/>
    <w:rsid w:val="00E70517"/>
    <w:rsid w:val="00E870D1"/>
    <w:rsid w:val="00E93CAA"/>
    <w:rsid w:val="00ED346E"/>
    <w:rsid w:val="00EF19FA"/>
    <w:rsid w:val="00EF7423"/>
    <w:rsid w:val="00F27DEC"/>
    <w:rsid w:val="00F30638"/>
    <w:rsid w:val="00F3344F"/>
    <w:rsid w:val="00F5089F"/>
    <w:rsid w:val="00F60CF4"/>
    <w:rsid w:val="00F8163B"/>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75401107-719D-044A-95E9-B711B77A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1BFE4-2323-F74A-B708-061DB0E2C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5</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10112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Mullins, Mary</cp:lastModifiedBy>
  <cp:revision>51</cp:revision>
  <dcterms:created xsi:type="dcterms:W3CDTF">2017-06-13T14:43:00Z</dcterms:created>
  <dcterms:modified xsi:type="dcterms:W3CDTF">2020-07-24T01:29:00Z</dcterms:modified>
</cp:coreProperties>
</file>