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60CD0104" w:rsidR="00877644" w:rsidRDefault="00DB26B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This study did not involve an </w:t>
      </w:r>
      <w:r>
        <w:rPr>
          <w:rFonts w:asciiTheme="minorHAnsi" w:hAnsiTheme="minorHAnsi"/>
          <w:i/>
          <w:iCs/>
        </w:rPr>
        <w:t>a priori</w:t>
      </w:r>
      <w:r>
        <w:rPr>
          <w:rFonts w:asciiTheme="minorHAnsi" w:hAnsiTheme="minorHAnsi"/>
        </w:rPr>
        <w:t xml:space="preserve"> sample size estimation. Part of the reason was because 5 out of 8 experiments involved data obtained from previously published datasets.  However, we </w:t>
      </w:r>
      <w:r w:rsidR="00B97A47">
        <w:rPr>
          <w:rFonts w:asciiTheme="minorHAnsi" w:hAnsiTheme="minorHAnsi"/>
        </w:rPr>
        <w:t xml:space="preserve">still </w:t>
      </w:r>
      <w:r>
        <w:rPr>
          <w:rFonts w:asciiTheme="minorHAnsi" w:hAnsiTheme="minorHAnsi"/>
        </w:rPr>
        <w:t xml:space="preserve">included in our manuscript a </w:t>
      </w:r>
      <w:r w:rsidR="00B97A47">
        <w:rPr>
          <w:rFonts w:asciiTheme="minorHAnsi" w:hAnsiTheme="minorHAnsi"/>
        </w:rPr>
        <w:t xml:space="preserve">power analysis to confirm that each experiment involved a sufficiently large sample size. This is included in the section </w:t>
      </w:r>
      <w:r w:rsidR="00B97A47">
        <w:rPr>
          <w:rFonts w:asciiTheme="minorHAnsi" w:hAnsiTheme="minorHAnsi"/>
          <w:i/>
          <w:iCs/>
        </w:rPr>
        <w:t xml:space="preserve">Methods, Human Participants </w:t>
      </w:r>
      <w:r w:rsidR="00B97A47">
        <w:rPr>
          <w:rFonts w:asciiTheme="minorHAnsi" w:hAnsiTheme="minorHAnsi"/>
        </w:rPr>
        <w:t>(P.</w:t>
      </w:r>
      <w:r w:rsidR="00096FFE">
        <w:rPr>
          <w:rFonts w:asciiTheme="minorHAnsi" w:hAnsiTheme="minorHAnsi"/>
        </w:rPr>
        <w:t>20</w:t>
      </w:r>
      <w:r w:rsidR="00B97A47">
        <w:rPr>
          <w:rFonts w:asciiTheme="minorHAnsi" w:hAnsiTheme="minorHAnsi"/>
        </w:rPr>
        <w:t>):</w:t>
      </w:r>
    </w:p>
    <w:p w14:paraId="79E6AE6B" w14:textId="21BE2C0B" w:rsidR="00B97A47" w:rsidRDefault="00B97A4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C15C51" w14:textId="41095D5E" w:rsidR="00B97A47" w:rsidRPr="00B97A47" w:rsidRDefault="00096FF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96FFE">
        <w:rPr>
          <w:rFonts w:asciiTheme="minorHAnsi" w:hAnsiTheme="minorHAnsi"/>
          <w:i/>
          <w:iCs/>
        </w:rPr>
        <w:t>We conducted a posteriori power analysis to confirm that the sample sizes of the experiments were adequate. All analyses were conducted using criteria of power=80% and alpha=0.05 two tailed. Experiments 2-6 were replicates of Experiment 1 in which they all tested whether there was a difficulty-dependent distractor effect via the (HV-</w:t>
      </w:r>
      <w:proofErr w:type="gramStart"/>
      <w:r w:rsidRPr="00096FFE">
        <w:rPr>
          <w:rFonts w:asciiTheme="minorHAnsi" w:hAnsiTheme="minorHAnsi"/>
          <w:i/>
          <w:iCs/>
        </w:rPr>
        <w:t>LV)(</w:t>
      </w:r>
      <w:proofErr w:type="gramEnd"/>
      <w:r w:rsidRPr="00096FFE">
        <w:rPr>
          <w:rFonts w:asciiTheme="minorHAnsi" w:hAnsiTheme="minorHAnsi"/>
          <w:i/>
          <w:iCs/>
        </w:rPr>
        <w:t>D-HV) term in GLM1a. In Experiment 1, the effect size in Cohen’s d for the (HV-</w:t>
      </w:r>
      <w:proofErr w:type="gramStart"/>
      <w:r w:rsidRPr="00096FFE">
        <w:rPr>
          <w:rFonts w:asciiTheme="minorHAnsi" w:hAnsiTheme="minorHAnsi"/>
          <w:i/>
          <w:iCs/>
        </w:rPr>
        <w:t>LV)(</w:t>
      </w:r>
      <w:proofErr w:type="gramEnd"/>
      <w:r w:rsidRPr="00096FFE">
        <w:rPr>
          <w:rFonts w:asciiTheme="minorHAnsi" w:hAnsiTheme="minorHAnsi"/>
          <w:i/>
          <w:iCs/>
        </w:rPr>
        <w:t xml:space="preserve">D-HV) effect was d=0.790. The required sample size was calculated at 13 participants and Experiments 1-6 all involved larger samples. Experiment 7 was conducted simultaneously with Experiment 3 in which it tested the salience-based effect of the distractor via the |D| term in GLM6a. The effect size in Cohen’s d for the |D| effect was d= 0.514. The required sample size was calculated at 30 participants and the sample of Experiment 7 exceeded this size. </w:t>
      </w:r>
      <w:bookmarkStart w:id="0" w:name="_Hlk32772701"/>
      <w:r w:rsidRPr="00096FFE">
        <w:rPr>
          <w:rFonts w:asciiTheme="minorHAnsi" w:hAnsiTheme="minorHAnsi"/>
          <w:i/>
          <w:iCs/>
        </w:rPr>
        <w:t xml:space="preserve">Experiment 8 examined the impact of attentional capture on decision making. One key analysis was to examine whether more gaze shifts from D to HV were related to greater accuracies (GLM9), in which the effect size in Cohen’s d was 0.607. The required sample size was calculated at 22 participants. </w:t>
      </w:r>
      <w:bookmarkStart w:id="1" w:name="_Hlk34699189"/>
      <w:r w:rsidRPr="00096FFE">
        <w:rPr>
          <w:rFonts w:asciiTheme="minorHAnsi" w:hAnsiTheme="minorHAnsi"/>
          <w:i/>
          <w:iCs/>
        </w:rPr>
        <w:t>The sample size of Experiment 8, after excluding four participants using the inclusion criterion of data validity &gt;85% (see Eye tracking experiment procedures), was one participant less than this number estimated in a posteriori power analysis. However, when we relaxed the inclusion criterion to &gt;70% data validity, a total of 22 participants were included and the results remained similar (Figure 8 and Figure 8-Figure Supplement 1).</w:t>
      </w:r>
      <w:bookmarkEnd w:id="0"/>
      <w:bookmarkEnd w:id="1"/>
    </w:p>
    <w:p w14:paraId="7FF843C9" w14:textId="77777777" w:rsidR="0015519A" w:rsidRPr="00DB26B5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7DDAA75" w14:textId="77777777" w:rsidR="00B60725" w:rsidRDefault="00B60725" w:rsidP="00B97A4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47C8D93" w14:textId="18BD0E63" w:rsidR="00B97A47" w:rsidRDefault="00B97A47" w:rsidP="00B97A4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study mainly included a </w:t>
      </w:r>
      <w:proofErr w:type="gramStart"/>
      <w:r>
        <w:rPr>
          <w:rFonts w:asciiTheme="minorHAnsi" w:hAnsiTheme="minorHAnsi"/>
        </w:rPr>
        <w:t>decision making</w:t>
      </w:r>
      <w:proofErr w:type="gramEnd"/>
      <w:r>
        <w:rPr>
          <w:rFonts w:asciiTheme="minorHAnsi" w:hAnsiTheme="minorHAnsi"/>
        </w:rPr>
        <w:t xml:space="preserve"> task that was replicated or adapted across 8 experiments.  In the section </w:t>
      </w:r>
      <w:r>
        <w:rPr>
          <w:rFonts w:asciiTheme="minorHAnsi" w:hAnsiTheme="minorHAnsi"/>
          <w:i/>
          <w:iCs/>
        </w:rPr>
        <w:t>Methods, Summary of approach</w:t>
      </w:r>
      <w:r>
        <w:rPr>
          <w:rFonts w:asciiTheme="minorHAnsi" w:hAnsiTheme="minorHAnsi"/>
        </w:rPr>
        <w:t>, it summarizes how the dataset of each experiment was collected and it also describes the difference between experiments.</w:t>
      </w:r>
    </w:p>
    <w:p w14:paraId="155AC6DF" w14:textId="77777777" w:rsidR="00602ED8" w:rsidRDefault="00602ED8" w:rsidP="00B97A4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E8FB644" w14:textId="5C92C75B" w:rsidR="00B97A47" w:rsidRDefault="00602ED8" w:rsidP="00B97A4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outlier was identified when GLM5 was applied to analyze data </w:t>
      </w:r>
      <w:r w:rsidR="007C7081">
        <w:rPr>
          <w:rFonts w:asciiTheme="minorHAnsi" w:hAnsiTheme="minorHAnsi"/>
        </w:rPr>
        <w:t xml:space="preserve">from </w:t>
      </w:r>
      <w:r>
        <w:rPr>
          <w:rFonts w:asciiTheme="minorHAnsi" w:hAnsiTheme="minorHAnsi"/>
        </w:rPr>
        <w:t>Experiment 8</w:t>
      </w:r>
      <w:r w:rsidR="007C7081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the data</w:t>
      </w:r>
      <w:r w:rsidR="007C7081">
        <w:rPr>
          <w:rFonts w:asciiTheme="minorHAnsi" w:hAnsiTheme="minorHAnsi"/>
        </w:rPr>
        <w:t xml:space="preserve"> point</w:t>
      </w:r>
      <w:r>
        <w:rPr>
          <w:rFonts w:asciiTheme="minorHAnsi" w:hAnsiTheme="minorHAnsi"/>
        </w:rPr>
        <w:t xml:space="preserve"> </w:t>
      </w:r>
      <w:r w:rsidRPr="00602ED8">
        <w:rPr>
          <w:rFonts w:asciiTheme="minorHAnsi" w:hAnsiTheme="minorHAnsi"/>
        </w:rPr>
        <w:t xml:space="preserve">was larger than the mean by 4.1 </w:t>
      </w:r>
      <w:bookmarkStart w:id="2" w:name="_Hlk26612691"/>
      <w:r w:rsidRPr="00602ED8">
        <w:rPr>
          <w:rFonts w:asciiTheme="minorHAnsi" w:hAnsiTheme="minorHAnsi"/>
        </w:rPr>
        <w:t>times the standard deviation</w:t>
      </w:r>
      <w:bookmarkEnd w:id="2"/>
      <w:r w:rsidR="00B60725">
        <w:rPr>
          <w:rFonts w:asciiTheme="minorHAnsi" w:hAnsiTheme="minorHAnsi"/>
        </w:rPr>
        <w:t xml:space="preserve"> (Page </w:t>
      </w:r>
      <w:r w:rsidR="00CE6AE6">
        <w:rPr>
          <w:rFonts w:asciiTheme="minorHAnsi" w:hAnsiTheme="minorHAnsi"/>
        </w:rPr>
        <w:t>15</w:t>
      </w:r>
      <w:r w:rsidR="00B60725">
        <w:rPr>
          <w:rFonts w:asciiTheme="minorHAnsi" w:hAnsiTheme="minorHAnsi"/>
        </w:rPr>
        <w:t xml:space="preserve">, Lines </w:t>
      </w:r>
      <w:r w:rsidR="00CE6AE6">
        <w:rPr>
          <w:rFonts w:asciiTheme="minorHAnsi" w:hAnsiTheme="minorHAnsi"/>
        </w:rPr>
        <w:t>6</w:t>
      </w:r>
      <w:r w:rsidR="00040D67">
        <w:rPr>
          <w:rFonts w:asciiTheme="minorHAnsi" w:hAnsiTheme="minorHAnsi"/>
        </w:rPr>
        <w:t>81</w:t>
      </w:r>
      <w:r w:rsidR="00096FFE">
        <w:rPr>
          <w:rFonts w:asciiTheme="minorHAnsi" w:hAnsiTheme="minorHAnsi"/>
        </w:rPr>
        <w:t>-</w:t>
      </w:r>
      <w:r w:rsidR="00CE6AE6">
        <w:rPr>
          <w:rFonts w:asciiTheme="minorHAnsi" w:hAnsiTheme="minorHAnsi"/>
        </w:rPr>
        <w:t>68</w:t>
      </w:r>
      <w:r w:rsidR="00040D67">
        <w:rPr>
          <w:rFonts w:asciiTheme="minorHAnsi" w:hAnsiTheme="minorHAnsi"/>
        </w:rPr>
        <w:t>8</w:t>
      </w:r>
      <w:r w:rsidR="00B60725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r w:rsidR="00B60725">
        <w:rPr>
          <w:rFonts w:asciiTheme="minorHAnsi" w:hAnsiTheme="minorHAnsi"/>
        </w:rPr>
        <w:t xml:space="preserve">  </w:t>
      </w:r>
    </w:p>
    <w:p w14:paraId="7D78DA54" w14:textId="51D1B631" w:rsidR="00602ED8" w:rsidRDefault="00602ED8" w:rsidP="00B97A4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5475555" w14:textId="49587BF8" w:rsidR="00B60725" w:rsidRPr="00821FD9" w:rsidRDefault="00B60725" w:rsidP="00B97A4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quality of the eye movement data was estimated moment-by-moment using an in-built algorithm of the </w:t>
      </w:r>
      <w:proofErr w:type="spellStart"/>
      <w:r w:rsidRPr="00B60725">
        <w:rPr>
          <w:rFonts w:asciiTheme="minorHAnsi" w:hAnsiTheme="minorHAnsi"/>
        </w:rPr>
        <w:t>Tobii</w:t>
      </w:r>
      <w:proofErr w:type="spellEnd"/>
      <w:r w:rsidRPr="00B60725">
        <w:rPr>
          <w:rFonts w:asciiTheme="minorHAnsi" w:hAnsiTheme="minorHAnsi"/>
        </w:rPr>
        <w:t xml:space="preserve"> TX300 eye tracker</w:t>
      </w:r>
      <w:r>
        <w:rPr>
          <w:rFonts w:asciiTheme="minorHAnsi" w:hAnsiTheme="minorHAnsi"/>
        </w:rPr>
        <w:t>.</w:t>
      </w:r>
      <w:r w:rsidRPr="00B6072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inclusion/exclusion criteria of the eye movement data w</w:t>
      </w:r>
      <w:r w:rsidR="007C7081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described in the section </w:t>
      </w:r>
      <w:r>
        <w:rPr>
          <w:rFonts w:asciiTheme="minorHAnsi" w:hAnsiTheme="minorHAnsi"/>
          <w:i/>
          <w:iCs/>
        </w:rPr>
        <w:t>Methods, Eye tracking eye</w:t>
      </w:r>
      <w:r w:rsidR="00821FD9">
        <w:rPr>
          <w:rFonts w:asciiTheme="minorHAnsi" w:hAnsiTheme="minorHAnsi"/>
        </w:rPr>
        <w:t xml:space="preserve"> (Page </w:t>
      </w:r>
      <w:r w:rsidR="008D7738">
        <w:rPr>
          <w:rFonts w:asciiTheme="minorHAnsi" w:hAnsiTheme="minorHAnsi"/>
        </w:rPr>
        <w:t>22</w:t>
      </w:r>
      <w:r w:rsidR="00821FD9">
        <w:rPr>
          <w:rFonts w:asciiTheme="minorHAnsi" w:hAnsiTheme="minorHAnsi"/>
        </w:rPr>
        <w:t xml:space="preserve">, Lines </w:t>
      </w:r>
      <w:r w:rsidR="00096FFE">
        <w:rPr>
          <w:rFonts w:asciiTheme="minorHAnsi" w:hAnsiTheme="minorHAnsi"/>
        </w:rPr>
        <w:t>103</w:t>
      </w:r>
      <w:r w:rsidR="00E730B6">
        <w:rPr>
          <w:rFonts w:asciiTheme="minorHAnsi" w:hAnsiTheme="minorHAnsi"/>
        </w:rPr>
        <w:t>9</w:t>
      </w:r>
      <w:r w:rsidR="00096FFE">
        <w:rPr>
          <w:rFonts w:asciiTheme="minorHAnsi" w:hAnsiTheme="minorHAnsi"/>
        </w:rPr>
        <w:t>-</w:t>
      </w:r>
      <w:r w:rsidR="008D7738">
        <w:rPr>
          <w:rFonts w:asciiTheme="minorHAnsi" w:hAnsiTheme="minorHAnsi"/>
        </w:rPr>
        <w:t>105</w:t>
      </w:r>
      <w:r w:rsidR="00E730B6">
        <w:rPr>
          <w:rFonts w:asciiTheme="minorHAnsi" w:hAnsiTheme="minorHAnsi"/>
        </w:rPr>
        <w:t>4</w:t>
      </w:r>
      <w:r w:rsidR="00821FD9">
        <w:rPr>
          <w:rFonts w:asciiTheme="minorHAnsi" w:hAnsiTheme="minorHAnsi"/>
        </w:rPr>
        <w:t>).</w:t>
      </w:r>
    </w:p>
    <w:p w14:paraId="2FAE88EE" w14:textId="55C7D2E6" w:rsidR="00B97A47" w:rsidRDefault="00B97A4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DF2A37C" w14:textId="77777777" w:rsidR="00B97A47" w:rsidRPr="00125190" w:rsidRDefault="00B97A4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08C3BB0" w14:textId="7EDAC2D9" w:rsidR="00821FD9" w:rsidRDefault="00821FD9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03D0A78" w14:textId="745B380E" w:rsidR="00821FD9" w:rsidRPr="003766A4" w:rsidRDefault="003766A4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Explanations of the s</w:t>
      </w:r>
      <w:r w:rsidR="00821FD9">
        <w:rPr>
          <w:rFonts w:asciiTheme="minorHAnsi" w:hAnsiTheme="minorHAnsi"/>
          <w:lang w:val="en-GB"/>
        </w:rPr>
        <w:t>tatistical analysis methods are</w:t>
      </w:r>
      <w:r>
        <w:rPr>
          <w:rFonts w:asciiTheme="minorHAnsi" w:hAnsiTheme="minorHAnsi"/>
          <w:lang w:val="en-GB"/>
        </w:rPr>
        <w:t xml:space="preserve"> provided</w:t>
      </w:r>
      <w:r w:rsidR="00821FD9">
        <w:rPr>
          <w:rFonts w:asciiTheme="minorHAnsi" w:hAnsiTheme="minorHAnsi"/>
          <w:lang w:val="en-GB"/>
        </w:rPr>
        <w:t xml:space="preserve"> in </w:t>
      </w:r>
      <w:r w:rsidR="00821FD9">
        <w:rPr>
          <w:rFonts w:asciiTheme="minorHAnsi" w:hAnsiTheme="minorHAnsi"/>
          <w:i/>
          <w:iCs/>
          <w:lang w:val="en-GB"/>
        </w:rPr>
        <w:t>Methods, Analysis Procedure</w:t>
      </w:r>
      <w:r w:rsidR="00821FD9">
        <w:rPr>
          <w:rFonts w:asciiTheme="minorHAnsi" w:hAnsiTheme="minorHAnsi"/>
          <w:lang w:val="en-GB"/>
        </w:rPr>
        <w:t xml:space="preserve"> (Page 2</w:t>
      </w:r>
      <w:r w:rsidR="00096FFE">
        <w:rPr>
          <w:rFonts w:asciiTheme="minorHAnsi" w:hAnsiTheme="minorHAnsi"/>
          <w:lang w:val="en-GB"/>
        </w:rPr>
        <w:t>2</w:t>
      </w:r>
      <w:r w:rsidR="00821FD9">
        <w:rPr>
          <w:rFonts w:asciiTheme="minorHAnsi" w:hAnsiTheme="minorHAnsi"/>
          <w:lang w:val="en-GB"/>
        </w:rPr>
        <w:t xml:space="preserve">) </w:t>
      </w:r>
      <w:proofErr w:type="gramStart"/>
      <w:r w:rsidR="00821FD9">
        <w:rPr>
          <w:rFonts w:asciiTheme="minorHAnsi" w:hAnsiTheme="minorHAnsi"/>
          <w:lang w:val="en-GB"/>
        </w:rPr>
        <w:t>and also</w:t>
      </w:r>
      <w:proofErr w:type="gramEnd"/>
      <w:r w:rsidR="00821FD9">
        <w:rPr>
          <w:rFonts w:asciiTheme="minorHAnsi" w:hAnsiTheme="minorHAnsi"/>
          <w:lang w:val="en-GB"/>
        </w:rPr>
        <w:t xml:space="preserve"> repeated in various sections of </w:t>
      </w:r>
      <w:r>
        <w:rPr>
          <w:rFonts w:asciiTheme="minorHAnsi" w:hAnsiTheme="minorHAnsi"/>
          <w:i/>
          <w:iCs/>
          <w:lang w:val="en-GB"/>
        </w:rPr>
        <w:t>Results</w:t>
      </w:r>
      <w:r>
        <w:rPr>
          <w:rFonts w:asciiTheme="minorHAnsi" w:hAnsiTheme="minorHAnsi"/>
          <w:lang w:val="en-GB"/>
        </w:rPr>
        <w:t>.</w:t>
      </w:r>
    </w:p>
    <w:p w14:paraId="6AFF1D84" w14:textId="04AE8B16" w:rsidR="00821FD9" w:rsidRDefault="00821FD9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42C02BCB" w14:textId="0C2F0530" w:rsidR="003766A4" w:rsidRDefault="003766A4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sample sizes of all experiments were all larger than 20. </w:t>
      </w:r>
      <w:r w:rsidR="00EC3705">
        <w:rPr>
          <w:rFonts w:asciiTheme="minorHAnsi" w:hAnsiTheme="minorHAnsi"/>
          <w:lang w:val="en-GB"/>
        </w:rPr>
        <w:t>Error bars indicating standard errors were presented in all bar charts.</w:t>
      </w:r>
    </w:p>
    <w:p w14:paraId="747D4435" w14:textId="77777777" w:rsidR="00EC3705" w:rsidRPr="00821FD9" w:rsidRDefault="00EC3705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254A0D23" w14:textId="35438025" w:rsidR="004D32BE" w:rsidRDefault="004D32BE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statistical test used and the sample size of each test (in form of degree-of-freedom) were described in both the </w:t>
      </w:r>
      <w:r>
        <w:rPr>
          <w:rFonts w:asciiTheme="minorHAnsi" w:hAnsiTheme="minorHAnsi"/>
          <w:i/>
          <w:iCs/>
          <w:lang w:val="en-GB"/>
        </w:rPr>
        <w:t>Results</w:t>
      </w:r>
      <w:r>
        <w:rPr>
          <w:rFonts w:asciiTheme="minorHAnsi" w:hAnsiTheme="minorHAnsi"/>
          <w:lang w:val="en-GB"/>
        </w:rPr>
        <w:t xml:space="preserve"> and </w:t>
      </w:r>
      <w:r>
        <w:rPr>
          <w:rFonts w:asciiTheme="minorHAnsi" w:hAnsiTheme="minorHAnsi"/>
          <w:i/>
          <w:iCs/>
          <w:lang w:val="en-GB"/>
        </w:rPr>
        <w:t xml:space="preserve">Methods </w:t>
      </w:r>
      <w:r>
        <w:rPr>
          <w:rFonts w:asciiTheme="minorHAnsi" w:hAnsiTheme="minorHAnsi"/>
          <w:lang w:val="en-GB"/>
        </w:rPr>
        <w:t>sections.  The mean and standard error of the key results can be found in the figures in form of bar charts.</w:t>
      </w:r>
    </w:p>
    <w:p w14:paraId="694DD409" w14:textId="0DC0798C" w:rsidR="00821FD9" w:rsidRDefault="00821FD9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1015C5CB" w14:textId="2EEBC499" w:rsidR="00821FD9" w:rsidRPr="004D32BE" w:rsidRDefault="004D32BE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exact p value</w:t>
      </w:r>
      <w:r w:rsidR="007C7081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each test w</w:t>
      </w:r>
      <w:r w:rsidR="007C7081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report</w:t>
      </w:r>
      <w:r w:rsidR="007C7081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</w:t>
      </w:r>
      <w:r w:rsidR="007C7081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 xml:space="preserve">3 decimal places in the </w:t>
      </w:r>
      <w:r>
        <w:rPr>
          <w:rFonts w:asciiTheme="minorHAnsi" w:hAnsiTheme="minorHAnsi"/>
          <w:i/>
          <w:iCs/>
        </w:rPr>
        <w:t>Results</w:t>
      </w:r>
      <w:r>
        <w:rPr>
          <w:rFonts w:asciiTheme="minorHAnsi" w:hAnsiTheme="minorHAnsi"/>
        </w:rPr>
        <w:t xml:space="preserve"> section.  Exceptions are the two analyzes there were repeated across three experiments (Line </w:t>
      </w:r>
      <w:r w:rsidR="001E77E0">
        <w:rPr>
          <w:rFonts w:asciiTheme="minorHAnsi" w:hAnsiTheme="minorHAnsi"/>
        </w:rPr>
        <w:t>46</w:t>
      </w:r>
      <w:r w:rsidR="00E730B6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) and six experiments (Line </w:t>
      </w:r>
      <w:r w:rsidR="00AC5898">
        <w:rPr>
          <w:rFonts w:asciiTheme="minorHAnsi" w:hAnsiTheme="minorHAnsi"/>
        </w:rPr>
        <w:t>47</w:t>
      </w:r>
      <w:r w:rsidR="00B34595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) respectively.  The largest p value, across experiments, of each analysis was indicated. </w:t>
      </w:r>
    </w:p>
    <w:p w14:paraId="1F9D796D" w14:textId="77481393" w:rsidR="00821FD9" w:rsidRDefault="00821FD9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323EB76" w14:textId="77777777" w:rsidR="00821FD9" w:rsidRDefault="00821FD9" w:rsidP="00821FD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5A84008" w:rsidR="00BC3CCE" w:rsidRPr="00505C51" w:rsidRDefault="008344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Not applicable</w:t>
      </w:r>
      <w:r w:rsidR="001608A8">
        <w:rPr>
          <w:rFonts w:asciiTheme="minorHAnsi" w:hAnsiTheme="minorHAnsi"/>
          <w:sz w:val="22"/>
          <w:szCs w:val="22"/>
        </w:rPr>
        <w:t xml:space="preserve">, since all experiments involved a within-subject design with no group allocation.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F7BF2E3"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B63029D" w14:textId="77777777" w:rsidR="00784669" w:rsidRDefault="00784669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The codes for running the </w:t>
      </w:r>
      <w:r w:rsidRPr="001608A8">
        <w:rPr>
          <w:sz w:val="22"/>
          <w:szCs w:val="22"/>
        </w:rPr>
        <w:t>mutual inhibition model, divisive normalization model, dual route model</w:t>
      </w:r>
      <w:r>
        <w:rPr>
          <w:sz w:val="22"/>
          <w:szCs w:val="22"/>
        </w:rPr>
        <w:t xml:space="preserve"> and null model can be found at:</w:t>
      </w:r>
    </w:p>
    <w:p w14:paraId="1067F9FC" w14:textId="77777777" w:rsidR="00784669" w:rsidRDefault="00B34595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hyperlink r:id="rId12" w:history="1">
        <w:r w:rsidR="00784669" w:rsidRPr="0086572A">
          <w:rPr>
            <w:rStyle w:val="Hyperlink"/>
            <w:sz w:val="22"/>
            <w:szCs w:val="22"/>
          </w:rPr>
          <w:t>https://doi.org/10.5061/dryad.k6djh9w3</w:t>
        </w:r>
        <w:r w:rsidR="00784669" w:rsidRPr="00E10378">
          <w:rPr>
            <w:rStyle w:val="Hyperlink"/>
            <w:sz w:val="22"/>
            <w:szCs w:val="22"/>
          </w:rPr>
          <w:t>c</w:t>
        </w:r>
      </w:hyperlink>
    </w:p>
    <w:p w14:paraId="7FEDEDD1" w14:textId="77777777" w:rsidR="00784669" w:rsidRDefault="00784669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86572A" w:rsidDel="0086572A">
        <w:rPr>
          <w:sz w:val="22"/>
          <w:szCs w:val="22"/>
        </w:rPr>
        <w:t xml:space="preserve"> </w:t>
      </w:r>
    </w:p>
    <w:p w14:paraId="65C970BF" w14:textId="77777777" w:rsidR="00784669" w:rsidRDefault="00784669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Behavioural</w:t>
      </w:r>
      <w:proofErr w:type="spellEnd"/>
      <w:r>
        <w:rPr>
          <w:sz w:val="22"/>
          <w:szCs w:val="22"/>
        </w:rPr>
        <w:t xml:space="preserve"> data of Experiments 1, 3 and 7 can be found at:</w:t>
      </w:r>
    </w:p>
    <w:p w14:paraId="7BF7391B" w14:textId="77777777" w:rsidR="00784669" w:rsidRDefault="00B34595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hyperlink r:id="rId13" w:history="1">
        <w:r w:rsidR="00784669" w:rsidRPr="002E5E34">
          <w:rPr>
            <w:rStyle w:val="Hyperlink"/>
            <w:sz w:val="22"/>
            <w:szCs w:val="22"/>
          </w:rPr>
          <w:t>https://datadryad.org/stash/dataset/doi:10.5061/dryad.040h9t7</w:t>
        </w:r>
      </w:hyperlink>
    </w:p>
    <w:p w14:paraId="5656CC53" w14:textId="77777777" w:rsidR="00784669" w:rsidRDefault="00784669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5AE96E62" w14:textId="77777777" w:rsidR="00784669" w:rsidRDefault="00784669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Behavioural</w:t>
      </w:r>
      <w:proofErr w:type="spellEnd"/>
      <w:r>
        <w:rPr>
          <w:sz w:val="22"/>
          <w:szCs w:val="22"/>
        </w:rPr>
        <w:t xml:space="preserve"> data of Experiments 2, 4-6 can be found from a link provided by </w:t>
      </w:r>
      <w:proofErr w:type="spellStart"/>
      <w:r>
        <w:rPr>
          <w:sz w:val="22"/>
          <w:szCs w:val="22"/>
        </w:rPr>
        <w:t>Gluth</w:t>
      </w:r>
      <w:proofErr w:type="spellEnd"/>
      <w:r>
        <w:rPr>
          <w:sz w:val="22"/>
          <w:szCs w:val="22"/>
        </w:rPr>
        <w:t xml:space="preserve"> and colleagues (2018) at:</w:t>
      </w:r>
    </w:p>
    <w:p w14:paraId="483C8476" w14:textId="77777777" w:rsidR="00784669" w:rsidRDefault="00B34595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hyperlink r:id="rId14" w:history="1">
        <w:r w:rsidR="00784669" w:rsidRPr="002E5E34">
          <w:rPr>
            <w:rStyle w:val="Hyperlink"/>
            <w:sz w:val="22"/>
            <w:szCs w:val="22"/>
          </w:rPr>
          <w:t>https://osf.io/8r4fh/</w:t>
        </w:r>
      </w:hyperlink>
    </w:p>
    <w:p w14:paraId="54B27B0F" w14:textId="77777777" w:rsidR="00784669" w:rsidRDefault="00784669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14:paraId="5E27C045" w14:textId="77777777" w:rsidR="00784669" w:rsidRDefault="00784669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Behavioural</w:t>
      </w:r>
      <w:proofErr w:type="spellEnd"/>
      <w:r>
        <w:rPr>
          <w:sz w:val="22"/>
          <w:szCs w:val="22"/>
        </w:rPr>
        <w:t xml:space="preserve"> and eye tracking data of Experiment 8 can be found at:</w:t>
      </w:r>
    </w:p>
    <w:p w14:paraId="3607FE65" w14:textId="77777777" w:rsidR="00784669" w:rsidRDefault="00B34595" w:rsidP="0078466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hyperlink r:id="rId15" w:history="1">
        <w:r w:rsidR="00784669" w:rsidRPr="009767D2">
          <w:rPr>
            <w:rStyle w:val="Hyperlink"/>
            <w:sz w:val="22"/>
            <w:szCs w:val="22"/>
          </w:rPr>
          <w:t>https://doi.org/10.5061/dryad.k6djh9w3</w:t>
        </w:r>
        <w:r w:rsidR="00784669" w:rsidRPr="00E10378">
          <w:rPr>
            <w:rStyle w:val="Hyperlink"/>
            <w:sz w:val="22"/>
            <w:szCs w:val="22"/>
          </w:rPr>
          <w:t>c</w:t>
        </w:r>
      </w:hyperlink>
    </w:p>
    <w:p w14:paraId="30FB5CEC" w14:textId="77777777" w:rsidR="00702306" w:rsidRPr="00505C51" w:rsidRDefault="007023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3CA36" w14:textId="77777777" w:rsidR="00A41FE0" w:rsidRDefault="00A41FE0" w:rsidP="004215FE">
      <w:r>
        <w:separator/>
      </w:r>
    </w:p>
  </w:endnote>
  <w:endnote w:type="continuationSeparator" w:id="0">
    <w:p w14:paraId="1F18A775" w14:textId="77777777" w:rsidR="00A41FE0" w:rsidRDefault="00A41F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62388A7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C5898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16C60" w14:textId="77777777" w:rsidR="00A41FE0" w:rsidRDefault="00A41FE0" w:rsidP="004215FE">
      <w:r>
        <w:separator/>
      </w:r>
    </w:p>
  </w:footnote>
  <w:footnote w:type="continuationSeparator" w:id="0">
    <w:p w14:paraId="6132CE10" w14:textId="77777777" w:rsidR="00A41FE0" w:rsidRDefault="00A41F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784B"/>
    <w:rsid w:val="00040D67"/>
    <w:rsid w:val="00062DBF"/>
    <w:rsid w:val="00083FE8"/>
    <w:rsid w:val="0009444E"/>
    <w:rsid w:val="0009520A"/>
    <w:rsid w:val="00096FFE"/>
    <w:rsid w:val="000A32A6"/>
    <w:rsid w:val="000A38BC"/>
    <w:rsid w:val="000B2AEA"/>
    <w:rsid w:val="000C0704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143"/>
    <w:rsid w:val="00146DE9"/>
    <w:rsid w:val="0015519A"/>
    <w:rsid w:val="001608A8"/>
    <w:rsid w:val="001618D5"/>
    <w:rsid w:val="00175192"/>
    <w:rsid w:val="001E1D59"/>
    <w:rsid w:val="001E77E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58F9"/>
    <w:rsid w:val="003766A4"/>
    <w:rsid w:val="003B3235"/>
    <w:rsid w:val="003F19A6"/>
    <w:rsid w:val="00402ADD"/>
    <w:rsid w:val="00406FF4"/>
    <w:rsid w:val="00414A9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32BE"/>
    <w:rsid w:val="004D5E59"/>
    <w:rsid w:val="004D602A"/>
    <w:rsid w:val="004D73CF"/>
    <w:rsid w:val="004E4945"/>
    <w:rsid w:val="004F451D"/>
    <w:rsid w:val="00505C51"/>
    <w:rsid w:val="00516A01"/>
    <w:rsid w:val="0053000A"/>
    <w:rsid w:val="005414BB"/>
    <w:rsid w:val="00550F13"/>
    <w:rsid w:val="005530AE"/>
    <w:rsid w:val="00555F44"/>
    <w:rsid w:val="00566103"/>
    <w:rsid w:val="005B0A15"/>
    <w:rsid w:val="00602ED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2306"/>
    <w:rsid w:val="007137E1"/>
    <w:rsid w:val="00762B36"/>
    <w:rsid w:val="00763BA5"/>
    <w:rsid w:val="0076524F"/>
    <w:rsid w:val="00767B26"/>
    <w:rsid w:val="00784669"/>
    <w:rsid w:val="00795CED"/>
    <w:rsid w:val="007B6567"/>
    <w:rsid w:val="007B6D8A"/>
    <w:rsid w:val="007B7AF0"/>
    <w:rsid w:val="007C1A97"/>
    <w:rsid w:val="007C7081"/>
    <w:rsid w:val="007D18C3"/>
    <w:rsid w:val="007E54D8"/>
    <w:rsid w:val="007E5880"/>
    <w:rsid w:val="00800860"/>
    <w:rsid w:val="008071DA"/>
    <w:rsid w:val="00821FD9"/>
    <w:rsid w:val="0082410E"/>
    <w:rsid w:val="0083445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738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1838"/>
    <w:rsid w:val="00A02E86"/>
    <w:rsid w:val="00A11EC6"/>
    <w:rsid w:val="00A131BD"/>
    <w:rsid w:val="00A32E20"/>
    <w:rsid w:val="00A41FE0"/>
    <w:rsid w:val="00A5368C"/>
    <w:rsid w:val="00A62B52"/>
    <w:rsid w:val="00A84B3E"/>
    <w:rsid w:val="00AB5612"/>
    <w:rsid w:val="00AC49AA"/>
    <w:rsid w:val="00AC5898"/>
    <w:rsid w:val="00AD7A8F"/>
    <w:rsid w:val="00AE7C75"/>
    <w:rsid w:val="00AF5736"/>
    <w:rsid w:val="00B124CC"/>
    <w:rsid w:val="00B17836"/>
    <w:rsid w:val="00B24C80"/>
    <w:rsid w:val="00B25462"/>
    <w:rsid w:val="00B330BD"/>
    <w:rsid w:val="00B34595"/>
    <w:rsid w:val="00B4292F"/>
    <w:rsid w:val="00B57E8A"/>
    <w:rsid w:val="00B60725"/>
    <w:rsid w:val="00B64119"/>
    <w:rsid w:val="00B94C5D"/>
    <w:rsid w:val="00B94EB7"/>
    <w:rsid w:val="00B97A47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E6AE6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26B5"/>
    <w:rsid w:val="00DE207A"/>
    <w:rsid w:val="00DE2719"/>
    <w:rsid w:val="00DF1913"/>
    <w:rsid w:val="00E007B4"/>
    <w:rsid w:val="00E234CA"/>
    <w:rsid w:val="00E41364"/>
    <w:rsid w:val="00E61AB4"/>
    <w:rsid w:val="00E70517"/>
    <w:rsid w:val="00E72108"/>
    <w:rsid w:val="00E730B6"/>
    <w:rsid w:val="00E870D1"/>
    <w:rsid w:val="00EC370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6597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3E1756CC-92C0-498E-96C3-8A3D8109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datadryad.org/stash/dataset/doi:10.5061/dryad.040h9t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061/dryad.k6djh9w3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061/dryad.k6djh9w3c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yperlink" Target="https://osf.io/8r4f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4EC9D4-D891-4939-93D3-915BCF48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Bolton Chau</cp:lastModifiedBy>
  <cp:revision>3</cp:revision>
  <dcterms:created xsi:type="dcterms:W3CDTF">2020-06-29T16:11:00Z</dcterms:created>
  <dcterms:modified xsi:type="dcterms:W3CDTF">2020-06-29T16:12:00Z</dcterms:modified>
</cp:coreProperties>
</file>