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 xml:space="preserve">Source data 1: Prevalence of re-infection, intensity of re-infection and re-infection rate (per 100-person year of follow-up) among individuals treated at baseline for </w:t>
      </w:r>
      <w:r>
        <w:rPr>
          <w:rFonts w:cs="Calibri" w:cstheme="minorHAnsi"/>
          <w:b/>
          <w:bCs/>
          <w:i/>
          <w:iCs/>
          <w:sz w:val="24"/>
          <w:szCs w:val="24"/>
        </w:rPr>
        <w:t xml:space="preserve">S. haematobium </w:t>
      </w:r>
      <w:r>
        <w:rPr>
          <w:rFonts w:cs="Calibri" w:cstheme="minorHAnsi"/>
          <w:b/>
          <w:bCs/>
          <w:sz w:val="24"/>
          <w:szCs w:val="24"/>
        </w:rPr>
        <w:t>infection</w:t>
      </w:r>
      <w:bookmarkStart w:id="0" w:name="_GoBack"/>
      <w:bookmarkEnd w:id="0"/>
      <w:r>
        <w:rPr>
          <w:rFonts w:cs="Calibri" w:cstheme="minorHAnsi"/>
          <w:b/>
          <w:bCs/>
          <w:i/>
          <w:iCs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tbl>
      <w:tblPr>
        <w:tblStyle w:val="TableGrid"/>
        <w:tblW w:w="945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077"/>
        <w:gridCol w:w="1607"/>
        <w:gridCol w:w="1801"/>
        <w:gridCol w:w="1890"/>
        <w:gridCol w:w="2076"/>
      </w:tblGrid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Covariate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Re-infected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% (n/N)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Rate of re-infection 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(95% CI)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Light re-infection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% (95% CI)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N=55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Heavy re-infection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% (95%CI)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N=30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 xml:space="preserve">Overall 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22.5 (85/378)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bookmarkStart w:id="1" w:name="_Hlk11225417"/>
            <w:bookmarkEnd w:id="1"/>
            <w:r>
              <w:rPr>
                <w:rFonts w:cs="Calibri" w:cstheme="minorHAnsi"/>
                <w:sz w:val="24"/>
                <w:szCs w:val="24"/>
              </w:rPr>
              <w:t>17 (10- 25)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14.6 (11.2- 18.5)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7.9 (5.4- 11.1)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Gender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Female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17.7 (21/119)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 (2- 24)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11.8 (6.6- 18.9)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5.9 (2.4- 11.7)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Male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24.7 (64/259)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 (12- 32)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15.8 (11.6- 20.9)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8.9 (5.7- 13.0)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 xml:space="preserve">Baseline age 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≤</w:t>
            </w:r>
            <w:r>
              <w:rPr>
                <w:rFonts w:cs="Calibri" w:cstheme="minorHAnsi"/>
                <w:sz w:val="24"/>
                <w:szCs w:val="24"/>
              </w:rPr>
              <w:t>10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29.0 (20/69)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 (3- 37)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15.9 (8.2- 26.7)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13.0 (6.1- 23.3)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11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19.1 (20/105)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 (8- 41)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13.3 (7.5- 21.4)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5.7 (2.1- 12.0)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23.3 (24/103)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21 (8- 46)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15.5 (9.1- 24.0)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7.8 (3.4- 14.7)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≥</w:t>
            </w:r>
            <w:r>
              <w:rPr>
                <w:rFonts w:cs="Calibri" w:cstheme="minorHAnsi"/>
                <w:sz w:val="24"/>
                <w:szCs w:val="24"/>
              </w:rPr>
              <w:t>13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20.8 (21/101)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 (4- 29)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13.9 (7.8- 22.2)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6.9 (2.8- 13.8)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Community piped water (quartiles)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(lowest) 1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18.8 (15/80)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16 (6- 34)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10.0 (4.4- 18.8)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8.8 (3.6- 17.2)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18.8 (15/80)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23 (8- 50)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11.3 (5.3- 20.3)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7.5 (2.8- 15.6)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14.1 (11/78)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 (2- 29)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10.2 (4.5- 19.2)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3.9 (0.8- 10.8)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18.8(16/85)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19 (7- 42)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12.9 (6.6- 22.0)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5.9 (1.9- 13.2)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Household access to water (2007)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No piped water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8.5 (4/47)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 (3- 39)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6.4 (1.3- 17.5)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2.1 (0.1- 11.3)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Piped water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24.5 (81/331)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17 (10- 27)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15.7 (12.0- 20.1)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8.8 (5.9- 12.3)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Household assets quintiles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(poorest) 1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15.3 (13/85)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9 (2- 26)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9.4 (4.2- 17.7)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5.9 (1.9- 13.2)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22.1 (17/77)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 (2- 31)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15.6 (8.3- 25.6)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6.5 (2.1- 14.5)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20.6 (15/73)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9 (1- 31)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16.4 (8.8- 27.0)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4.1 (0.9- 11.5)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4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26.8 (19/71)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39 (16- 76)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14.1 (7.0- 24.4)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12.7 (6.0- 22.7)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30.0 (18/60)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30 (10- 69)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18.3 (9.5- 30.4)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11.7 (4.8- 22.6)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School grade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Grade 5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22.9 (50/218)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 (7- 26)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14.2 (9.9- 19.6)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8.7 (5.3- 13.3)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Grade 6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21.9 (35/160)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19 (9- 36)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15.0 (9.9- 21.5)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6.9 (3.5- 12.0)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Altitude (meters)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&lt; 50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35.5 (11/31)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0 (0- 36)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25.8 (11.9- 44.6)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9.7 (92.0- 25.8)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50-100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20.8 (42/202)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 (12- 37)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12.4 (8.2- 17.7(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8.4 (5.0- 13.10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100-150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20.6 (26/126)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 (3- 25)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12.7 (7.4- 19.8)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7.9 (3.9- 14.1)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150-200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20.0 (2/10)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0 (0- 62)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20.0 (2.5- 55.6)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0 (0- 30.8)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≥</w:t>
            </w:r>
            <w:r>
              <w:rPr>
                <w:rFonts w:cs="Calibri" w:cstheme="minorHAnsi"/>
                <w:sz w:val="24"/>
                <w:szCs w:val="24"/>
              </w:rPr>
              <w:t>200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44.4 (4/9)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79 (10- 290)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44.4 (13.7- 78.8)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0 (0- 33.6)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Distance to water body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&lt;1 km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22.5 (31/138)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21 (9- 39)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9.4 (5.1- 15.6)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13.0 (7.9- 19.8)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1-2 km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23.6 (33/140)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16 (6- 32)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17.9 (11.9- 25.2)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5.7 (2.5- 10.9)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2-3 km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25.0 (18/72)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18 (5- 45)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20.8 (12.2- 32.0)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4.2 (0.9- 11.7)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&gt;3 km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10.7 (3/28)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 (0.0- 37)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7.1 (0.9- 23.5)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3.6 (0.1- 18.3)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Toilet in household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No toilet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20.0(12/70)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17 (6- 40)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12.9 (6.1- 23.0)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7.1 (2.4- 15.9)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Toilet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23.1(71/308)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16 (9- 27)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14.9 (11.1- 19.4)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8.1 (5.3- 11.7)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b/>
                <w:b/>
                <w:sz w:val="24"/>
                <w:szCs w:val="24"/>
              </w:rPr>
            </w:pPr>
            <w:r>
              <w:rPr>
                <w:rFonts w:cs="Calibri" w:cstheme="minorHAnsi"/>
                <w:b/>
                <w:sz w:val="24"/>
                <w:szCs w:val="24"/>
              </w:rPr>
              <w:t>Land cover classifications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Sparse shrubland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28.3 (17/60)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26 (7- 67)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15.0 (7.1- 26.6)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13.3 (5.9- 24.6)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Closed shrubland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22.4 (47/210)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 (7- 25)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14.8 (10.3- 20.3)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7.6 (4.4- 12.1)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Open shrubland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21.5 (20/93)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22 (9- 45)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15.1 (8.5- 24.0)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6.5 (2.4- 13.5)</w:t>
            </w:r>
          </w:p>
        </w:tc>
      </w:tr>
      <w:tr>
        <w:trPr/>
        <w:tc>
          <w:tcPr>
            <w:tcW w:w="207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Thicket</w:t>
            </w:r>
          </w:p>
        </w:tc>
        <w:tc>
          <w:tcPr>
            <w:tcW w:w="160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6.7 (1/14)</w:t>
            </w:r>
          </w:p>
        </w:tc>
        <w:tc>
          <w:tcPr>
            <w:tcW w:w="18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0.0 (0.0- 50)</w:t>
            </w:r>
          </w:p>
        </w:tc>
        <w:tc>
          <w:tcPr>
            <w:tcW w:w="189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6.7 (0.2- 31.9)</w:t>
            </w:r>
          </w:p>
        </w:tc>
        <w:tc>
          <w:tcPr>
            <w:tcW w:w="207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0.0 (0.0- 21.8)</w:t>
            </w:r>
          </w:p>
        </w:tc>
      </w:tr>
    </w:tbl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tabs>
          <w:tab w:val="left" w:pos="3225" w:leader="none"/>
        </w:tabs>
        <w:rPr/>
      </w:pPr>
      <w:r>
        <w:rPr/>
      </w:r>
    </w:p>
    <w:p>
      <w:pPr>
        <w:pStyle w:val="Normal"/>
        <w:tabs>
          <w:tab w:val="left" w:pos="3225" w:leader="none"/>
        </w:tabs>
        <w:rPr/>
      </w:pPr>
      <w:r>
        <w:rPr/>
      </w:r>
    </w:p>
    <w:p>
      <w:pPr>
        <w:pStyle w:val="Normal"/>
        <w:tabs>
          <w:tab w:val="left" w:pos="3225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3225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3225" w:leader="none"/>
        </w:tabs>
        <w:jc w:val="both"/>
        <w:rPr>
          <w:b/>
          <w:b/>
        </w:rPr>
      </w:pPr>
      <w:r>
        <w:rPr>
          <w:b/>
        </w:rPr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32a66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uiPriority w:val="1"/>
    <w:qFormat/>
    <w:rsid w:val="00793de1"/>
    <w:rPr>
      <w:rFonts w:ascii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75b1b"/>
    <w:rPr>
      <w:i/>
      <w:iCs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793de1"/>
    <w:pPr>
      <w:spacing w:lineRule="auto" w:line="240" w:before="0" w:after="0"/>
      <w:ind w:left="40" w:right="159" w:hanging="0"/>
    </w:pPr>
    <w:rPr>
      <w:rFonts w:ascii="Times New Roman" w:hAnsi="Times New Roman" w:cs="Times New Roman"/>
      <w:sz w:val="20"/>
      <w:szCs w:val="20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9a63c4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2769f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chemeClr val="accent1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LibreOffice/5.1.6.2$Linux_X86_64 LibreOffice_project/10m0$Build-2</Application>
  <Pages>2</Pages>
  <Words>431</Words>
  <CharactersWithSpaces>2461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2019-06-12T15:41:00Z</dcterms:created>
  <dc:creator>Polycarp Mogeni</dc:creator>
  <dc:description/>
  <dc:language>en-IN</dc:language>
  <cp:lastModifiedBy>Polycarp Mogeni</cp:lastModifiedBy>
  <dcterms:modified xsi:type="dcterms:W3CDTF">2020-03-06T00:08:00Z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