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bookmarkStart w:id="0" w:name="_GoBack"/>
      <w:bookmarkStart w:id="1" w:name="_GoBack"/>
      <w:bookmarkEnd w:id="1"/>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Normal"/>
        <w:pBdr/>
        <w:rPr/>
        <w:framePr w:w="7817" w:h="3470" w:x="1858" w:y="1" w:wrap="auto" w:vAnchor="text" w:hAnchor="page" w:hRule="exact"/>
      </w:pPr>
      <w:r>
        <w:rPr>
          <w:rFonts w:ascii="Calibri" w:hAnsi="Calibri" w:asciiTheme="minorHAnsi" w:hAnsiTheme="minorHAnsi"/>
        </w:rPr>
        <w:t>We estimated the number of single parasites to sequence based on the expected frequency of cell states that we w</w:t>
      </w:r>
      <w:r>
        <w:rPr>
          <w:rFonts w:ascii="Calibri" w:hAnsi="Calibri" w:asciiTheme="minorHAnsi" w:hAnsiTheme="minorHAnsi"/>
          <w:sz w:val="24"/>
          <w:szCs w:val="24"/>
        </w:rPr>
        <w:t>anted to</w:t>
      </w:r>
      <w:r>
        <w:rPr>
          <w:rFonts w:ascii="Calibri" w:hAnsi="Calibri" w:asciiTheme="minorHAnsi" w:hAnsiTheme="minorHAnsi"/>
        </w:rPr>
        <w:t xml:space="preserve"> detect from each condition. We aimed to detect </w:t>
      </w:r>
      <w:r>
        <w:rPr>
          <w:rFonts w:ascii="Calibri" w:hAnsi="Calibri" w:asciiTheme="minorHAnsi" w:hAnsiTheme="minorHAnsi"/>
          <w:u w:val="single"/>
        </w:rPr>
        <w:t>&gt;</w:t>
      </w:r>
      <w:r>
        <w:rPr>
          <w:rFonts w:ascii="Calibri" w:hAnsi="Calibri" w:asciiTheme="minorHAnsi" w:hAnsiTheme="minorHAnsi"/>
          <w:u w:val="none"/>
        </w:rPr>
        <w:t xml:space="preserve"> 20 cells for a given cell state that may occur in cell cycle or asexual development with </w:t>
      </w:r>
      <w:r>
        <w:rPr>
          <w:rFonts w:ascii="Calibri" w:hAnsi="Calibri" w:asciiTheme="minorHAnsi" w:hAnsiTheme="minorHAnsi"/>
          <w:u w:val="single"/>
        </w:rPr>
        <w:t>&gt;</w:t>
      </w:r>
      <w:r>
        <w:rPr>
          <w:rFonts w:ascii="Calibri" w:hAnsi="Calibri" w:asciiTheme="minorHAnsi" w:hAnsiTheme="minorHAnsi"/>
          <w:u w:val="none"/>
        </w:rPr>
        <w:t xml:space="preserve">1% frequency. This meant that we needed to sample </w:t>
      </w:r>
      <w:r>
        <w:rPr>
          <w:rFonts w:ascii="Calibri" w:hAnsi="Calibri" w:asciiTheme="minorHAnsi" w:hAnsiTheme="minorHAnsi"/>
          <w:u w:val="single"/>
        </w:rPr>
        <w:t>&gt;</w:t>
      </w:r>
      <w:r>
        <w:rPr>
          <w:rFonts w:ascii="Calibri" w:hAnsi="Calibri" w:asciiTheme="minorHAnsi" w:hAnsiTheme="minorHAnsi"/>
          <w:u w:val="none"/>
        </w:rPr>
        <w:t xml:space="preserve"> 200 cells for each condition (with no induction or with alkaline induction). We collected and sequenced at least 300 parasites for each condition and each strain to ensure that we reach this detection limit for rare cell states from each strain/condition. The information can be found on Figure 1 and Results section “</w:t>
      </w:r>
      <w:r>
        <w:rPr>
          <w:rFonts w:ascii="Calibri" w:hAnsi="Calibri" w:asciiTheme="minorHAnsi" w:hAnsiTheme="minorHAnsi"/>
          <w:b/>
          <w:color w:val="000000"/>
          <w:u w:val="none"/>
        </w:rPr>
        <w:t>Technical validation of single-parasite sorting and sequencing</w:t>
      </w:r>
      <w:r>
        <w:rPr>
          <w:rFonts w:ascii="Calibri" w:hAnsi="Calibri" w:asciiTheme="minorHAnsi" w:hAnsiTheme="minorHAnsi"/>
          <w:b w:val="false"/>
          <w:bCs w:val="false"/>
          <w:color w:val="000000"/>
          <w:u w:val="none"/>
        </w:rPr>
        <w:t>”.</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rPr>
          <w:rFonts w:ascii="Calibri" w:hAnsi="Calibri" w:asciiTheme="minorHAnsi" w:hAnsiTheme="minorHAnsi"/>
          <w:b/>
          <w:b/>
          <w:bCs/>
        </w:rPr>
      </w:pPr>
      <w:r>
        <w:rPr>
          <w:rFonts w:asciiTheme="minorHAnsi" w:hAnsiTheme="minorHAnsi" w:ascii="Calibri" w:hAnsi="Calibri"/>
          <w:b/>
          <w:bCs/>
        </w:rPr>
      </w:r>
      <w:r>
        <w:br w:type="page"/>
      </w:r>
    </w:p>
    <w:p>
      <w:pPr>
        <w:pStyle w:val="Normal"/>
        <w:rPr/>
      </w:pPr>
      <w:r>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Normal"/>
        <w:pBdr/>
        <w:rPr/>
        <w:framePr w:w="7817" w:h="7670" w:x="1858" w:y="1" w:wrap="auto" w:vAnchor="text" w:hAnchor="page" w:hRule="exact"/>
      </w:pPr>
      <w:r>
        <w:rPr>
          <w:rFonts w:ascii="Calibri" w:hAnsi="Calibri" w:asciiTheme="minorHAnsi" w:hAnsiTheme="minorHAnsi"/>
        </w:rPr>
        <w:t xml:space="preserve">Our definition of biological replication is an independent measurement that is performed on a sample that is independently cultured. Our definition of technical replication is an independent measurement performed on the same sample. E.g. each single cell RNA-seq data point is a technical </w:t>
      </w:r>
      <w:r>
        <w:rPr>
          <w:rFonts w:ascii="Calibri" w:hAnsi="Calibri" w:asciiTheme="minorHAnsi" w:hAnsiTheme="minorHAnsi"/>
          <w:sz w:val="24"/>
          <w:szCs w:val="24"/>
        </w:rPr>
        <w:t>replicate</w:t>
      </w:r>
      <w:r>
        <w:rPr>
          <w:rFonts w:ascii="Calibri" w:hAnsi="Calibri" w:asciiTheme="minorHAnsi" w:hAnsiTheme="minorHAnsi"/>
        </w:rPr>
        <w:t xml:space="preserve"> from the same sample. For our scRNA-seq measurements, the number of technical replicates is equal to the number of single-cells that we have sequenced in total. For both type I RH and type II ME49 datasets, our results are derived from a single biological replicate. While for our type II Pru dataset, our results are derived from two biological replicates. </w:t>
      </w:r>
      <w:r>
        <w:rPr>
          <w:rFonts w:ascii="Calibri" w:hAnsi="Calibri" w:asciiTheme="minorHAnsi" w:hAnsiTheme="minorHAnsi"/>
          <w:b w:val="false"/>
          <w:bCs w:val="false"/>
          <w:color w:val="000000"/>
          <w:u w:val="none"/>
        </w:rPr>
        <w:t>For our AP2IX-1 transfection experiment detailed in the Results section “</w:t>
      </w:r>
      <w:r>
        <w:rPr>
          <w:rFonts w:ascii="Calibri" w:hAnsi="Calibri" w:asciiTheme="minorHAnsi" w:hAnsiTheme="minorHAnsi"/>
          <w:b/>
          <w:bCs w:val="false"/>
          <w:color w:val="000000"/>
          <w:u w:val="none"/>
        </w:rPr>
        <w:t>Transient expression of AP2IX-1 induces surface antigen switching</w:t>
      </w:r>
      <w:r>
        <w:rPr>
          <w:rFonts w:ascii="Calibri" w:hAnsi="Calibri" w:asciiTheme="minorHAnsi" w:hAnsiTheme="minorHAnsi"/>
          <w:b w:val="false"/>
          <w:bCs w:val="false"/>
          <w:color w:val="000000"/>
          <w:u w:val="none"/>
        </w:rPr>
        <w:t xml:space="preserve">”, we have performed at least two entirely separate transfection experiments on different days each with three biological replicates (i.e. three independent samples transfected and then measured). The qPCR measurement was performed for four times for each biological replicate. These information can be found </w:t>
      </w:r>
      <w:r>
        <w:rPr>
          <w:rFonts w:ascii="Calibri" w:hAnsi="Calibri" w:asciiTheme="minorHAnsi" w:hAnsiTheme="minorHAnsi"/>
          <w:b w:val="false"/>
          <w:bCs w:val="false"/>
          <w:color w:val="000000"/>
          <w:sz w:val="24"/>
          <w:szCs w:val="24"/>
          <w:u w:val="none"/>
        </w:rPr>
        <w:t>in</w:t>
      </w:r>
      <w:r>
        <w:rPr>
          <w:rFonts w:ascii="Calibri" w:hAnsi="Calibri" w:asciiTheme="minorHAnsi" w:hAnsiTheme="minorHAnsi"/>
          <w:b w:val="false"/>
          <w:bCs w:val="false"/>
          <w:color w:val="000000"/>
          <w:u w:val="none"/>
        </w:rPr>
        <w:t xml:space="preserve"> Figure 5 caption and in Materials and Methods section. </w:t>
      </w:r>
      <w:r>
        <w:rPr>
          <w:rFonts w:ascii="Calibri" w:hAnsi="Calibri" w:asciiTheme="minorHAnsi" w:hAnsiTheme="minorHAnsi"/>
        </w:rPr>
        <w:t xml:space="preserve">Criteria for exclusion of single-cell data due to poor sequencing or amplification criteria is described in Materials and Methods, and the preprocessing scripts containing the parameters are available on </w:t>
      </w:r>
      <w:hyperlink r:id="rId6">
        <w:r>
          <w:rPr>
            <w:rStyle w:val="InternetLink"/>
            <w:rFonts w:ascii="Calibri" w:hAnsi="Calibri" w:asciiTheme="minorHAnsi" w:hAnsiTheme="minorHAnsi"/>
          </w:rPr>
          <w:t>https://github.com/xuesoso/singleToxoplasmaSeq</w:t>
        </w:r>
      </w:hyperlink>
      <w:r>
        <w:rPr>
          <w:rFonts w:ascii="Calibri" w:hAnsi="Calibri" w:asciiTheme="minorHAnsi" w:hAnsiTheme="minorHAnsi"/>
        </w:rPr>
        <w:t>. All of our raw and processed data are available on Gene Expression Omunibus and SRA with the accession number GSE14508</w:t>
      </w:r>
      <w:bookmarkStart w:id="2" w:name="__DdeLink__722_341345116411"/>
      <w:bookmarkEnd w:id="2"/>
      <w:r>
        <w:rPr>
          <w:rFonts w:ascii="Calibri" w:hAnsi="Calibri" w:asciiTheme="minorHAnsi" w:hAnsiTheme="minorHAnsi"/>
        </w:rPr>
        <w:t>0, as stated in Materials and Methods section.</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pBdr/>
        <w:rPr/>
        <w:framePr w:w="7817" w:h="2926" w:x="1904" w:y="21" w:wrap="auto" w:vAnchor="text" w:hAnchor="page" w:hRule="exact"/>
      </w:pPr>
      <w:r>
        <w:rPr>
          <w:rFonts w:ascii="Calibri" w:hAnsi="Calibri" w:asciiTheme="minorHAnsi" w:hAnsiTheme="minorHAnsi"/>
          <w:b w:val="false"/>
          <w:bCs w:val="false"/>
          <w:sz w:val="22"/>
          <w:szCs w:val="22"/>
        </w:rPr>
        <w:t xml:space="preserve">We provided details on the meaning of error bars in the Figure caption. </w:t>
      </w:r>
      <w:r>
        <w:rPr>
          <w:rFonts w:eastAsia="MS Minngs" w:cs="Times New Roman" w:ascii="Calibri" w:hAnsi="Calibri" w:asciiTheme="minorHAnsi" w:hAnsiTheme="minorHAnsi"/>
          <w:color w:val="auto"/>
          <w:kern w:val="0"/>
          <w:sz w:val="22"/>
          <w:szCs w:val="22"/>
          <w:lang w:val="en-US" w:eastAsia="en-US" w:bidi="ar-SA"/>
        </w:rPr>
        <w:t xml:space="preserve">For </w:t>
      </w:r>
      <w:r>
        <w:rPr>
          <w:rFonts w:ascii="Calibri" w:hAnsi="Calibri" w:asciiTheme="minorHAnsi" w:hAnsiTheme="minorHAnsi"/>
          <w:b w:val="false"/>
          <w:bCs w:val="false"/>
          <w:sz w:val="22"/>
          <w:szCs w:val="22"/>
        </w:rPr>
        <w:t>details on the statistical techniques used, we provided information in both the Results section as well as in Materials and Methods section.</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Normal"/>
        <w:pBdr/>
        <w:rPr/>
        <w:framePr w:w="7817" w:h="1088" w:x="1904" w:y="1" w:wrap="auto" w:vAnchor="text" w:hAnchor="page" w:hRule="exact"/>
      </w:pPr>
      <w:r>
        <w:rPr>
          <w:rFonts w:ascii="Calibri" w:hAnsi="Calibri" w:asciiTheme="minorHAnsi" w:hAnsiTheme="minorHAnsi"/>
          <w:sz w:val="22"/>
          <w:szCs w:val="22"/>
        </w:rPr>
        <w:t>Information is available in Figure caption and Materials and Methods section.</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Normal"/>
        <w:pBdr/>
        <w:rPr/>
        <w:framePr w:w="7817" w:h="1134" w:x="1904" w:y="1" w:wrap="auto" w:vAnchor="text" w:hAnchor="page" w:hRule="exact"/>
      </w:pPr>
      <w:r>
        <w:rPr>
          <w:rFonts w:ascii="Calibri" w:hAnsi="Calibri" w:asciiTheme="minorHAnsi" w:hAnsiTheme="minorHAnsi"/>
          <w:sz w:val="22"/>
          <w:szCs w:val="22"/>
        </w:rPr>
        <w:t xml:space="preserve">Source data files are provided for Figure 5f and 5g. All other figures can be regenerated using the processed data objects that we have made available at </w:t>
      </w:r>
      <w:hyperlink r:id="rId7">
        <w:r>
          <w:rPr>
            <w:rStyle w:val="InternetLink"/>
            <w:rFonts w:ascii="Calibri" w:hAnsi="Calibri" w:asciiTheme="minorHAnsi" w:hAnsiTheme="minorHAnsi"/>
            <w:sz w:val="22"/>
            <w:szCs w:val="22"/>
          </w:rPr>
          <w:t>https://github.com/xuesoso/singleToxoplasmaSeq</w:t>
        </w:r>
      </w:hyperlink>
      <w:r>
        <w:rPr>
          <w:rFonts w:ascii="Calibri" w:hAnsi="Calibri" w:asciiTheme="minorHAnsi" w:hAnsiTheme="minorHAnsi"/>
          <w:sz w:val="22"/>
          <w:szCs w:val="22"/>
        </w:rPr>
        <w:t xml:space="preserve"> and on Gene Expression Omnibus with accession </w:t>
      </w:r>
      <w:bookmarkStart w:id="3" w:name="MendeleyTempCursorBookmark11"/>
      <w:bookmarkEnd w:id="3"/>
      <w:r>
        <w:rPr>
          <w:rFonts w:ascii="Calibri" w:hAnsi="Calibri" w:asciiTheme="minorHAnsi" w:hAnsiTheme="minorHAnsi"/>
          <w:sz w:val="22"/>
          <w:szCs w:val="22"/>
        </w:rPr>
        <w:t>GSE145080.</w:t>
      </w:r>
    </w:p>
    <w:sectPr>
      <w:headerReference w:type="default" r:id="rId8"/>
      <w:footerReference w:type="default" r:id="rId9"/>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center" w:pos="4320" w:leader="none"/>
        <w:tab w:val="right" w:pos="9214" w:leader="none"/>
      </w:tabs>
      <w:ind w:left="-709" w:right="360" w:hanging="0"/>
      <w:rPr>
        <w:rFonts w:ascii="Arial" w:hAnsi="Arial"/>
        <w:sz w:val="16"/>
        <w:szCs w:val="16"/>
      </w:rPr>
    </w:pPr>
    <w:r>
      <mc:AlternateContent>
        <mc:Choice Requires="wps">
          <w:drawing>
            <wp:anchor behindDoc="1" distT="0" distB="0" distL="0" distR="0" simplePos="0" locked="0" layoutInCell="1" allowOverlap="1" relativeHeight="5">
              <wp:simplePos x="0" y="0"/>
              <wp:positionH relativeFrom="page">
                <wp:posOffset>6313805</wp:posOffset>
              </wp:positionH>
              <wp:positionV relativeFrom="paragraph">
                <wp:posOffset>123825</wp:posOffset>
              </wp:positionV>
              <wp:extent cx="82550" cy="147320"/>
              <wp:effectExtent l="0" t="0" r="0" b="0"/>
              <wp:wrapSquare wrapText="largest"/>
              <wp:docPr id="2" name="Frame6"/>
              <a:graphic xmlns:a="http://schemas.openxmlformats.org/drawingml/2006/main">
                <a:graphicData uri="http://schemas.microsoft.com/office/word/2010/wordprocessingShape">
                  <wps:wsp>
                    <wps:cNvSpPr/>
                    <wps:spPr>
                      <a:xfrm>
                        <a:off x="0" y="0"/>
                        <a:ext cx="82080" cy="146520"/>
                      </a:xfrm>
                      <a:prstGeom prst="rect">
                        <a:avLst/>
                      </a:prstGeom>
                      <a:noFill/>
                      <a:ln>
                        <a:noFill/>
                      </a:ln>
                    </wps:spPr>
                    <wps:style>
                      <a:lnRef idx="0"/>
                      <a:fillRef idx="0"/>
                      <a:effectRef idx="0"/>
                      <a:fontRef idx="minor"/>
                    </wps:style>
                    <wps:txbx>
                      <w:txbxContent>
                        <w:p>
                          <w:pPr>
                            <w:pStyle w:val="Footer"/>
                            <w:rPr/>
                          </w:pPr>
                          <w:r>
                            <w:rPr>
                              <w:rStyle w:val="Pagenumber"/>
                              <w:rFonts w:ascii="Calibri" w:hAnsi="Calibri"/>
                              <w:color w:val="000000"/>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4</w:t>
                          </w:r>
                          <w:r>
                            <w:rPr>
                              <w:rStyle w:val="Pagenumber"/>
                              <w:sz w:val="20"/>
                              <w:szCs w:val="20"/>
                              <w:rFonts w:ascii="Calibri" w:hAnsi="Calibri"/>
                            </w:rPr>
                            <w:fldChar w:fldCharType="end"/>
                          </w:r>
                        </w:p>
                      </w:txbxContent>
                    </wps:txbx>
                    <wps:bodyPr lIns="0" rIns="0" tIns="0" bIns="0">
                      <a:spAutoFit/>
                    </wps:bodyPr>
                  </wps:wsp>
                </a:graphicData>
              </a:graphic>
            </wp:anchor>
          </w:drawing>
        </mc:Choice>
        <mc:Fallback>
          <w:pict>
            <v:rect id="shape_0" ID="Frame6" stroked="f" style="position:absolute;margin-left:497.15pt;margin-top:9.75pt;width:6.4pt;height:11.5pt;mso-position-horizontal-relative:page">
              <w10:wrap type="square"/>
              <v:fill o:detectmouseclick="t" on="false"/>
              <v:stroke color="#3465a4" joinstyle="round" endcap="flat"/>
              <v:textbox>
                <w:txbxContent>
                  <w:p>
                    <w:pPr>
                      <w:pStyle w:val="Footer"/>
                      <w:rPr/>
                    </w:pPr>
                    <w:r>
                      <w:rPr>
                        <w:rStyle w:val="Pagenumber"/>
                        <w:rFonts w:ascii="Calibri" w:hAnsi="Calibri"/>
                        <w:color w:val="000000"/>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4</w:t>
                    </w:r>
                    <w:r>
                      <w:rPr>
                        <w:rStyle w:val="Pagenumber"/>
                        <w:sz w:val="20"/>
                        <w:szCs w:val="20"/>
                        <w:rFonts w:ascii="Calibri" w:hAnsi="Calibri"/>
                      </w:rPr>
                      <w:fldChar w:fldCharType="end"/>
                    </w:r>
                  </w:p>
                </w:txbxContent>
              </v:textbox>
            </v:rect>
          </w:pict>
        </mc:Fallback>
      </mc:AlternateContent>
    </w: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bidi w:val="0"/>
      <w:spacing w:before="0" w:after="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Droid Sans Devanagari"/>
    </w:rPr>
  </w:style>
  <w:style w:type="paragraph" w:styleId="Caption">
    <w:name w:val="Caption"/>
    <w:basedOn w:val="Normal"/>
    <w:qFormat/>
    <w:pPr>
      <w:suppressLineNumbers/>
      <w:spacing w:before="120" w:after="120"/>
    </w:pPr>
    <w:rPr>
      <w:rFonts w:ascii="Arial" w:hAnsi="Arial" w:cs="Droid Sans Devanagari"/>
      <w:i/>
      <w:iCs/>
      <w:sz w:val="24"/>
      <w:szCs w:val="24"/>
    </w:rPr>
  </w:style>
  <w:style w:type="paragraph" w:styleId="Index">
    <w:name w:val="Index"/>
    <w:basedOn w:val="Normal"/>
    <w:qFormat/>
    <w:pPr>
      <w:suppressLineNumbers/>
    </w:pPr>
    <w:rPr>
      <w:rFonts w:ascii="Arial" w:hAnsi="Arial" w:cs="Droid Sans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rsid w:val="004215fe"/>
    <w:pPr>
      <w:tabs>
        <w:tab w:val="clear" w:pos="720"/>
        <w:tab w:val="center" w:pos="4320" w:leader="none"/>
        <w:tab w:val="right" w:pos="8640" w:leader="none"/>
      </w:tabs>
    </w:pPr>
    <w:rPr/>
  </w:style>
  <w:style w:type="paragraph" w:styleId="Footer">
    <w:name w:val="Footer"/>
    <w:basedOn w:val="Normal"/>
    <w:link w:val="FooterChar"/>
    <w:uiPriority w:val="99"/>
    <w:rsid w:val="004215fe"/>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next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yperlink" Target="https://github.com/xuesoso/singleToxoplasmaSeq" TargetMode="External"/><Relationship Id="rId7" Type="http://schemas.openxmlformats.org/officeDocument/2006/relationships/hyperlink" Target="https://github.com/xuesoso/singleToxoplasmaSeq"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Application>LibreOffice/6.3.4.2.0$Linux_X86_64 LibreOffice_project/30$Build-2</Application>
  <Pages>4</Pages>
  <Words>1122</Words>
  <Characters>6240</Characters>
  <CharactersWithSpaces>7302</CharactersWithSpaces>
  <Paragraphs>42</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Yuan Xue</cp:lastModifiedBy>
  <dcterms:modified xsi:type="dcterms:W3CDTF">2020-02-13T17:57:33Z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