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Supplementary File 1</w:t>
      </w:r>
      <w:r>
        <w:rPr>
          <w:rFonts w:ascii="Times New Roman" w:hAnsi="Times New Roman"/>
          <w:sz w:val="24"/>
          <w:szCs w:val="24"/>
          <w:rtl w:val="0"/>
          <w:lang w:val="en-US"/>
        </w:rPr>
        <w:t>. The table collects relevant information on the source of fibroblasts, SMCs and endothelial cells employed in the study.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8"/>
          <w:szCs w:val="8"/>
        </w:rPr>
      </w:pPr>
    </w:p>
    <w:tbl>
      <w:tblPr>
        <w:tblW w:w="9576" w:type="dxa"/>
        <w:jc w:val="center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4"/>
        <w:gridCol w:w="1695"/>
        <w:gridCol w:w="973"/>
        <w:gridCol w:w="1160"/>
        <w:gridCol w:w="1232"/>
        <w:gridCol w:w="923"/>
        <w:gridCol w:w="1439"/>
      </w:tblGrid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Code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Cell type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Age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Source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Race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Sex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Apparently healthy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22CTRI-APR12,16 (lab derived)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22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23CTRI-APR12;16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(lab derived)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23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Middle Eastern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25CTRI-APR12;16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(lab derived)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25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62CTRI-APR1216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(lab derived)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62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64CTRI-APR1216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(lab derived)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64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67CTRI-ARP1916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(lab derived)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67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GM03523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21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neck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GM23815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22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GM03651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25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GM02674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29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GM23973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19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AG09605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Young, 30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GM03529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66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thigh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Black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GM01681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70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GM09918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78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AG16102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69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GM03524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67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leg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Black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AG11017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87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Black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AG13065 (Coriell)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Old, 64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Skin, arm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Caucasian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HGADFN178 (Progeria Research Foundation (PRF))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6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HGADFN188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2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HGADFN164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4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HGADFN143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8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HGADFN169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8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HGADFN122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5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HGADFN127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3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HGADFN367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HGPS, 3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HGADFN368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Ctrl, 31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GM03349      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Ctrl, 10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GM01652       (PRF)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Fibroblast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Ctrl, 11 y.o.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SRX4161710 (GEO source)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Smooth muscle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Coronary artery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SRX4161711 (GEO source)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Smooth muscle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Coronary artery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SRX4161712 (GEO source)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Smooth muscle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Coronary artery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cAP0005GFP (Angioproteomie)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Microvascular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A57-6064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(CellBiologics)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Mouse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78 weeks old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A57-6023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(CellBiologics)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Mouse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78 weeks old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Brain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A57-6221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(CellBiologics)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Mouse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78 weeks old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Bone marrow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C57-6064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(CellBiologics)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Mouse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 weeks old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Skin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C57-6064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(CellBiologics)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Mouse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 weeks old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Brain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C57-6064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(CellBiologics)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Mouse endothelial cell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 weeks old</w:t>
            </w:r>
          </w:p>
        </w:tc>
        <w:tc>
          <w:tcPr>
            <w:tcW w:type="dxa" w:w="1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Bone marrow</w:t>
            </w:r>
          </w:p>
        </w:tc>
        <w:tc>
          <w:tcPr>
            <w:tcW w:type="dxa" w:w="1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</w:p>
        </w:tc>
      </w:tr>
    </w:tbl>
    <w:p>
      <w:pPr>
        <w:pStyle w:val="Normal.0"/>
        <w:widowControl w:val="0"/>
        <w:spacing w:after="0" w:line="240" w:lineRule="auto"/>
        <w:ind w:left="4" w:hanging="4"/>
        <w:jc w:val="center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Normal.0"/>
        <w:widowControl w:val="0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Fonts w:ascii="Times New Roman" w:hAnsi="Times New Roman"/>
        <w:rtl w:val="0"/>
      </w:rPr>
      <w:fldChar w:fldCharType="begin" w:fldLock="0"/>
    </w:r>
    <w:r>
      <w:rPr>
        <w:rFonts w:ascii="Times New Roman" w:hAnsi="Times New Roman"/>
        <w:rtl w:val="0"/>
      </w:rPr>
      <w:instrText xml:space="preserve"> PAGE </w:instrText>
    </w:r>
    <w:r>
      <w:rPr>
        <w:rFonts w:ascii="Times New Roman" w:hAnsi="Times New Roman"/>
        <w:rtl w:val="0"/>
      </w:rPr>
      <w:fldChar w:fldCharType="separate" w:fldLock="0"/>
    </w:r>
    <w:r>
      <w:rPr>
        <w:rFonts w:ascii="Times New Roman" w:hAnsi="Times New Roman"/>
        <w:rtl w:val="0"/>
      </w:rPr>
    </w:r>
    <w:r>
      <w:rPr>
        <w:rFonts w:ascii="Times New Roman" w:hAnsi="Times New Roma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