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Supplementary File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2</w:t>
      </w:r>
      <w:r>
        <w:rPr>
          <w:rFonts w:ascii="Times New Roman" w:hAnsi="Times New Roman"/>
          <w:u w:color="000000"/>
          <w:rtl w:val="0"/>
          <w:lang w:val="en-US"/>
        </w:rPr>
        <w:t>. The table collects relevant information on key cell identity genes expressed by reprogrammed and primary cells.</w:t>
      </w:r>
    </w:p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u w:color="000000"/>
        </w:rPr>
      </w:pPr>
    </w:p>
    <w:tbl>
      <w:tblPr>
        <w:tblW w:w="8843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77"/>
        <w:gridCol w:w="4263"/>
        <w:gridCol w:w="3403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Gene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Primary VECs vs. Fibroblasts [log2FC] 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iVECs vs. Fibroblasts [log2FC]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FLT1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2.5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4.87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TIE2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4.69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1.86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KDR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6.62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6.38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CD31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6.85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-0.5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ROBO4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6.61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3.92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CDH5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6.7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NECTIN3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-0.36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TJP1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1.07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-0.43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SLUG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-1.1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-1.24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TWIST2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-1.24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-2.03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TWIST1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-1.43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-1.54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FSP1</w:t>
            </w:r>
          </w:p>
        </w:tc>
        <w:tc>
          <w:tcPr>
            <w:tcW w:type="dxa" w:w="4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-1.58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-1.55</w:t>
            </w:r>
          </w:p>
        </w:tc>
      </w:tr>
    </w:tbl>
    <w:p>
      <w:pPr>
        <w:pStyle w:val="Di default"/>
        <w:widowControl w:val="0"/>
        <w:spacing w:before="0"/>
        <w:ind w:left="324" w:hanging="324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spacing w:before="0"/>
        <w:ind w:left="216" w:hanging="216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spacing w:before="0" w:line="480" w:lineRule="auto"/>
        <w:jc w:val="both"/>
        <w:rPr>
          <w:rFonts w:ascii="Times New Roman" w:cs="Times New Roman" w:hAnsi="Times New Roman" w:eastAsia="Times New Roman"/>
          <w:u w:color="000000"/>
        </w:rPr>
      </w:pPr>
    </w:p>
    <w:tbl>
      <w:tblPr>
        <w:tblW w:w="8682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"/>
        <w:gridCol w:w="4289"/>
        <w:gridCol w:w="3430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Gene</w:t>
            </w:r>
          </w:p>
        </w:tc>
        <w:tc>
          <w:tcPr>
            <w:tcW w:type="dxa" w:w="4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Primary SMCs vs. Fibroblasts [log2FC] </w:t>
            </w:r>
          </w:p>
        </w:tc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iSMCs vs. Fibroblasts [log2FC]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ACTA2</w:t>
            </w:r>
          </w:p>
        </w:tc>
        <w:tc>
          <w:tcPr>
            <w:tcW w:type="dxa" w:w="4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2.04</w:t>
            </w:r>
          </w:p>
        </w:tc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4.95404236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TAGLN</w:t>
            </w:r>
          </w:p>
        </w:tc>
        <w:tc>
          <w:tcPr>
            <w:tcW w:type="dxa" w:w="4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0.54</w:t>
            </w:r>
          </w:p>
        </w:tc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1.941497224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MYH10</w:t>
            </w:r>
          </w:p>
        </w:tc>
        <w:tc>
          <w:tcPr>
            <w:tcW w:type="dxa" w:w="4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1.34</w:t>
            </w:r>
          </w:p>
        </w:tc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0.456915118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FSP1</w:t>
            </w:r>
          </w:p>
        </w:tc>
        <w:tc>
          <w:tcPr>
            <w:tcW w:type="dxa" w:w="4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-6.21</w:t>
            </w:r>
          </w:p>
        </w:tc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-3.829971681</w:t>
            </w:r>
          </w:p>
        </w:tc>
      </w:tr>
    </w:tbl>
    <w:p>
      <w:pPr>
        <w:pStyle w:val="Di default"/>
        <w:widowControl w:val="0"/>
        <w:spacing w:before="0"/>
        <w:ind w:left="324" w:hanging="324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spacing w:before="0"/>
        <w:ind w:left="216" w:hanging="216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spacing w:before="0"/>
        <w:ind w:left="108" w:hanging="108"/>
        <w:jc w:val="center"/>
      </w:pPr>
      <w:r>
        <w:rPr>
          <w:rFonts w:ascii="Times New Roman" w:cs="Times New Roman" w:hAnsi="Times New Roman" w:eastAsia="Times New Roman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