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285" w:rsidRPr="00143285" w:rsidRDefault="00143285" w:rsidP="00143285">
      <w:pPr>
        <w:suppressAutoHyphens w:val="0"/>
        <w:spacing w:line="276" w:lineRule="auto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a</w:t>
      </w:r>
      <w:r w:rsidRPr="00143285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ab/>
      </w:r>
      <w:r>
        <w:rPr>
          <w:rFonts w:ascii="Arial" w:hAnsi="Arial" w:cs="Arial"/>
          <w:b/>
          <w:sz w:val="18"/>
          <w:szCs w:val="20"/>
        </w:rPr>
        <w:tab/>
      </w:r>
      <w:r>
        <w:rPr>
          <w:rFonts w:ascii="Arial" w:hAnsi="Arial" w:cs="Arial"/>
          <w:b/>
          <w:sz w:val="18"/>
          <w:szCs w:val="20"/>
        </w:rPr>
        <w:tab/>
      </w:r>
      <w:r>
        <w:rPr>
          <w:rFonts w:ascii="Arial" w:hAnsi="Arial" w:cs="Arial"/>
          <w:b/>
          <w:sz w:val="18"/>
          <w:szCs w:val="20"/>
        </w:rPr>
        <w:tab/>
        <w:t xml:space="preserve">                         </w:t>
      </w:r>
      <w:r w:rsidRPr="00143285">
        <w:rPr>
          <w:rFonts w:ascii="Arial" w:hAnsi="Arial" w:cs="Arial"/>
          <w:b/>
          <w:sz w:val="18"/>
          <w:szCs w:val="20"/>
        </w:rPr>
        <w:t>Burst classes</w:t>
      </w:r>
    </w:p>
    <w:tbl>
      <w:tblPr>
        <w:tblW w:w="917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1842"/>
        <w:gridCol w:w="1842"/>
        <w:gridCol w:w="1842"/>
        <w:gridCol w:w="1633"/>
      </w:tblGrid>
      <w:tr w:rsidR="00143285" w:rsidRPr="008D2363" w:rsidTr="00143285">
        <w:trPr>
          <w:trHeight w:val="227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b/>
                <w:sz w:val="18"/>
                <w:szCs w:val="18"/>
              </w:rPr>
              <w:t>KA Concentration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b/>
                <w:sz w:val="18"/>
                <w:szCs w:val="18"/>
              </w:rPr>
              <w:t>High-load bursts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b/>
                <w:sz w:val="18"/>
                <w:szCs w:val="18"/>
              </w:rPr>
              <w:t>Medium-load bursts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b/>
                <w:sz w:val="18"/>
                <w:szCs w:val="18"/>
              </w:rPr>
              <w:t>Low-load  bursts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b/>
                <w:sz w:val="18"/>
                <w:szCs w:val="18"/>
              </w:rPr>
              <w:t>n (animals)</w:t>
            </w:r>
          </w:p>
        </w:tc>
      </w:tr>
      <w:tr w:rsidR="00143285" w:rsidRPr="008D2363" w:rsidTr="00143285">
        <w:trPr>
          <w:trHeight w:val="283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10 mM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HCi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9.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94</w:t>
            </w: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.3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3%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143285" w:rsidRPr="008D2363" w:rsidTr="00143285">
        <w:trPr>
          <w:trHeight w:val="283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285" w:rsidRPr="0086358C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6358C">
              <w:rPr>
                <w:rFonts w:ascii="Arial" w:eastAsia="Times New Roman" w:hAnsi="Arial" w:cs="Arial"/>
                <w:b/>
                <w:sz w:val="18"/>
                <w:szCs w:val="18"/>
              </w:rPr>
              <w:t>10 mM HCc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43285" w:rsidRPr="0086358C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6358C">
              <w:rPr>
                <w:rFonts w:ascii="Arial" w:hAnsi="Arial" w:cs="Arial"/>
                <w:b/>
                <w:sz w:val="18"/>
                <w:szCs w:val="20"/>
              </w:rPr>
              <w:t>9.56%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43285" w:rsidRPr="0086358C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6358C">
              <w:rPr>
                <w:rFonts w:ascii="Arial" w:hAnsi="Arial" w:cs="Arial"/>
                <w:b/>
                <w:sz w:val="18"/>
                <w:szCs w:val="20"/>
              </w:rPr>
              <w:t>15.29%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285" w:rsidRPr="0086358C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6358C">
              <w:rPr>
                <w:rFonts w:ascii="Arial" w:hAnsi="Arial" w:cs="Arial"/>
                <w:b/>
                <w:sz w:val="18"/>
                <w:szCs w:val="20"/>
              </w:rPr>
              <w:t>75.14%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285" w:rsidRPr="0086358C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6358C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</w:tr>
      <w:tr w:rsidR="00143285" w:rsidRPr="008D2363" w:rsidTr="00143285">
        <w:trPr>
          <w:trHeight w:val="283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15 mM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HCi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21.80%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14.94%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63.26%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143285" w:rsidRPr="008D2363" w:rsidTr="00143285">
        <w:trPr>
          <w:trHeight w:val="283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285" w:rsidRPr="0086358C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6358C">
              <w:rPr>
                <w:rFonts w:ascii="Arial" w:eastAsia="Times New Roman" w:hAnsi="Arial" w:cs="Arial"/>
                <w:b/>
                <w:sz w:val="18"/>
                <w:szCs w:val="18"/>
              </w:rPr>
              <w:t>15 mM HCc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43285" w:rsidRPr="0086358C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6358C">
              <w:rPr>
                <w:rFonts w:ascii="Arial" w:hAnsi="Arial" w:cs="Arial"/>
                <w:b/>
                <w:sz w:val="18"/>
                <w:szCs w:val="20"/>
              </w:rPr>
              <w:t>14.96%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43285" w:rsidRPr="0086358C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6358C">
              <w:rPr>
                <w:rFonts w:ascii="Arial" w:hAnsi="Arial" w:cs="Arial"/>
                <w:b/>
                <w:sz w:val="18"/>
                <w:szCs w:val="20"/>
              </w:rPr>
              <w:t>18.40%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285" w:rsidRPr="0086358C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6358C">
              <w:rPr>
                <w:rFonts w:ascii="Arial" w:hAnsi="Arial" w:cs="Arial"/>
                <w:b/>
                <w:sz w:val="18"/>
                <w:szCs w:val="20"/>
              </w:rPr>
              <w:t>66.64%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285" w:rsidRPr="0086358C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6358C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</w:tr>
      <w:tr w:rsidR="00143285" w:rsidRPr="008D2363" w:rsidTr="00143285">
        <w:trPr>
          <w:trHeight w:val="283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OLE_LINK1"/>
            <w:r w:rsidRPr="008D2363">
              <w:rPr>
                <w:rFonts w:ascii="Arial" w:eastAsia="Times New Roman" w:hAnsi="Arial" w:cs="Arial"/>
                <w:sz w:val="18"/>
                <w:szCs w:val="18"/>
              </w:rPr>
              <w:t>20 mM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HCi</w:t>
            </w:r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17.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78</w:t>
            </w: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.4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.97%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285" w:rsidRPr="008D2363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363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143285" w:rsidRPr="008D2363" w:rsidTr="00143285">
        <w:trPr>
          <w:trHeight w:val="283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285" w:rsidRPr="0086358C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6358C">
              <w:rPr>
                <w:rFonts w:ascii="Arial" w:eastAsia="Times New Roman" w:hAnsi="Arial" w:cs="Arial"/>
                <w:b/>
                <w:sz w:val="18"/>
                <w:szCs w:val="18"/>
              </w:rPr>
              <w:t>20 mM HCc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43285" w:rsidRPr="0086358C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6358C">
              <w:rPr>
                <w:rFonts w:ascii="Arial" w:hAnsi="Arial" w:cs="Arial"/>
                <w:b/>
                <w:sz w:val="18"/>
                <w:szCs w:val="20"/>
              </w:rPr>
              <w:t>5.42%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43285" w:rsidRPr="0086358C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6358C">
              <w:rPr>
                <w:rFonts w:ascii="Arial" w:hAnsi="Arial" w:cs="Arial"/>
                <w:b/>
                <w:sz w:val="18"/>
                <w:szCs w:val="20"/>
              </w:rPr>
              <w:t>11.92%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285" w:rsidRPr="0086358C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6358C">
              <w:rPr>
                <w:rFonts w:ascii="Arial" w:hAnsi="Arial" w:cs="Arial"/>
                <w:b/>
                <w:sz w:val="18"/>
                <w:szCs w:val="20"/>
              </w:rPr>
              <w:t>82.67%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285" w:rsidRPr="0086358C" w:rsidRDefault="00143285" w:rsidP="00645C24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6358C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</w:tr>
    </w:tbl>
    <w:p w:rsidR="00143285" w:rsidRPr="008D2363" w:rsidRDefault="00143285" w:rsidP="00143285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X="70" w:tblpY="4096"/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7"/>
        <w:gridCol w:w="1817"/>
        <w:gridCol w:w="1818"/>
        <w:gridCol w:w="1817"/>
        <w:gridCol w:w="1943"/>
      </w:tblGrid>
      <w:tr w:rsidR="00143285" w:rsidRPr="00DB4BD2" w:rsidTr="00143285">
        <w:trPr>
          <w:trHeight w:val="170"/>
        </w:trPr>
        <w:tc>
          <w:tcPr>
            <w:tcW w:w="914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43285" w:rsidRPr="00DB4BD2" w:rsidRDefault="00143285" w:rsidP="0014328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bookmarkStart w:id="1" w:name="OLE_LINK5"/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b                                                                Mean high-load burst ratio</w:t>
            </w:r>
          </w:p>
        </w:tc>
      </w:tr>
      <w:tr w:rsidR="00143285" w:rsidRPr="00DB4BD2" w:rsidTr="00143285">
        <w:trPr>
          <w:trHeight w:val="17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DB4BD2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10 mM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DB4BD2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15 mM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DB4BD2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DB4B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animals</w:t>
            </w:r>
            <w:r w:rsidRPr="00DB4B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)</w:t>
            </w:r>
          </w:p>
        </w:tc>
      </w:tr>
      <w:tr w:rsidR="00143285" w:rsidRPr="00DB4BD2" w:rsidTr="00143285">
        <w:trPr>
          <w:trHeight w:val="17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622A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Figure 3D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: idHC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2555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0.06 ± 0.01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2555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0.20 ± 0.03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2555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0.20 ± 0.02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2555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4/6/5</w:t>
            </w:r>
          </w:p>
        </w:tc>
      </w:tr>
      <w:tr w:rsidR="00143285" w:rsidRPr="00DB4BD2" w:rsidTr="00143285">
        <w:trPr>
          <w:trHeight w:val="17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622A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Figure 3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E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: cdHC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2555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0.05 ± 0.02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2555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0.11 ± 0.03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2555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0.07 ± 0.02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2555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4/6/5</w:t>
            </w:r>
          </w:p>
        </w:tc>
      </w:tr>
      <w:tr w:rsidR="00143285" w:rsidRPr="00DB4BD2" w:rsidTr="00143285">
        <w:trPr>
          <w:trHeight w:val="268"/>
        </w:trPr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85" w:rsidRPr="00DB4BD2" w:rsidRDefault="00143285" w:rsidP="00143285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85" w:rsidRPr="00DB4BD2" w:rsidRDefault="00143285" w:rsidP="00143285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85" w:rsidRPr="00DB4BD2" w:rsidRDefault="00143285" w:rsidP="00143285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85" w:rsidRPr="00DB4BD2" w:rsidRDefault="00143285" w:rsidP="00143285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85" w:rsidRPr="00DB4BD2" w:rsidRDefault="00143285" w:rsidP="00143285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143285" w:rsidRPr="00DB4BD2" w:rsidTr="00143285">
        <w:trPr>
          <w:trHeight w:val="85"/>
        </w:trPr>
        <w:tc>
          <w:tcPr>
            <w:tcW w:w="914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Mean epileptic spike rate [Hz]</w:t>
            </w:r>
          </w:p>
        </w:tc>
      </w:tr>
      <w:tr w:rsidR="00143285" w:rsidRPr="00DB4BD2" w:rsidTr="00143285">
        <w:trPr>
          <w:trHeight w:val="170"/>
        </w:trPr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DB4BD2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10 mM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DB4BD2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15 mM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DB4BD2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DB4B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animals</w:t>
            </w:r>
            <w:r w:rsidRPr="00DB4B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)</w:t>
            </w:r>
          </w:p>
        </w:tc>
      </w:tr>
      <w:tr w:rsidR="00143285" w:rsidRPr="00DB4BD2" w:rsidTr="00143285">
        <w:trPr>
          <w:trHeight w:val="170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Figure 3F: 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idHC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622A88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0.32 ± 0.02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622A88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0.76 ± 0.10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0.77 ± 0.09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2555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4/6/5</w:t>
            </w:r>
          </w:p>
        </w:tc>
      </w:tr>
      <w:tr w:rsidR="00143285" w:rsidRPr="00DB4BD2" w:rsidTr="00143285">
        <w:trPr>
          <w:trHeight w:val="170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Figure 3G: 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cdHC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622A88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0.28 ± 0.06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622A88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0.44 ± 0.10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622A88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0.32 ± 0.03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85" w:rsidRPr="00DB4BD2" w:rsidRDefault="00143285" w:rsidP="00143285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2555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4/6/5</w:t>
            </w:r>
          </w:p>
        </w:tc>
      </w:tr>
      <w:tr w:rsidR="00143285" w:rsidRPr="00DB4BD2" w:rsidTr="00143285">
        <w:trPr>
          <w:trHeight w:val="75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85" w:rsidRPr="00DB4BD2" w:rsidRDefault="00143285" w:rsidP="00143285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85" w:rsidRPr="00DB4BD2" w:rsidRDefault="00143285" w:rsidP="00143285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85" w:rsidRPr="00DB4BD2" w:rsidRDefault="00143285" w:rsidP="00143285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85" w:rsidRPr="00DB4BD2" w:rsidRDefault="00143285" w:rsidP="00143285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85" w:rsidRPr="00DB4BD2" w:rsidRDefault="00143285" w:rsidP="00143285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</w:tbl>
    <w:p w:rsidR="00143285" w:rsidRDefault="00143285" w:rsidP="001432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43285" w:rsidRDefault="001C47F1" w:rsidP="00143285">
      <w:pPr>
        <w:spacing w:line="360" w:lineRule="auto"/>
        <w:jc w:val="both"/>
        <w:rPr>
          <w:rFonts w:ascii="Arial" w:eastAsia="Times New Roman" w:hAnsi="Arial" w:cs="Arial"/>
          <w:b/>
          <w:kern w:val="0"/>
          <w:sz w:val="20"/>
          <w:lang w:eastAsia="de-DE" w:bidi="ar-SA"/>
        </w:rPr>
      </w:pPr>
      <w:r>
        <w:rPr>
          <w:rFonts w:ascii="Arial" w:hAnsi="Arial" w:cs="Arial"/>
          <w:b/>
          <w:sz w:val="20"/>
          <w:szCs w:val="20"/>
        </w:rPr>
        <w:t>Figure 3–</w:t>
      </w:r>
      <w:r w:rsidR="00570B80">
        <w:rPr>
          <w:rFonts w:ascii="Arial" w:hAnsi="Arial" w:cs="Arial"/>
          <w:b/>
          <w:sz w:val="20"/>
          <w:szCs w:val="20"/>
        </w:rPr>
        <w:t>Source D</w:t>
      </w:r>
      <w:bookmarkStart w:id="2" w:name="_GoBack"/>
      <w:bookmarkEnd w:id="2"/>
      <w:r w:rsidR="00143285" w:rsidRPr="008D2363">
        <w:rPr>
          <w:rFonts w:ascii="Arial" w:hAnsi="Arial" w:cs="Arial"/>
          <w:b/>
          <w:sz w:val="20"/>
          <w:szCs w:val="20"/>
        </w:rPr>
        <w:t>ata 1</w:t>
      </w:r>
      <w:r w:rsidR="00633602">
        <w:rPr>
          <w:rFonts w:ascii="Arial" w:hAnsi="Arial" w:cs="Arial"/>
          <w:b/>
          <w:sz w:val="20"/>
          <w:szCs w:val="20"/>
        </w:rPr>
        <w:t>:</w:t>
      </w:r>
      <w:r w:rsidR="00143285" w:rsidRPr="008D2363">
        <w:rPr>
          <w:rFonts w:ascii="Arial" w:hAnsi="Arial" w:cs="Arial"/>
          <w:b/>
          <w:sz w:val="20"/>
          <w:szCs w:val="20"/>
        </w:rPr>
        <w:t xml:space="preserve"> </w:t>
      </w:r>
      <w:r w:rsidR="00143285">
        <w:rPr>
          <w:rFonts w:ascii="Arial" w:hAnsi="Arial" w:cs="Arial"/>
          <w:b/>
          <w:sz w:val="20"/>
          <w:szCs w:val="20"/>
        </w:rPr>
        <w:t xml:space="preserve">Variable </w:t>
      </w:r>
      <w:r w:rsidR="00143285" w:rsidRPr="00143285">
        <w:rPr>
          <w:rFonts w:ascii="Arial" w:hAnsi="Arial" w:cs="Arial"/>
          <w:b/>
          <w:sz w:val="20"/>
          <w:szCs w:val="20"/>
        </w:rPr>
        <w:t>severity of epileptiform activity elicited by different KA concentrations</w:t>
      </w:r>
      <w:r w:rsidR="00143285">
        <w:rPr>
          <w:rFonts w:ascii="Arial" w:hAnsi="Arial" w:cs="Arial"/>
          <w:b/>
          <w:sz w:val="20"/>
          <w:szCs w:val="20"/>
        </w:rPr>
        <w:t xml:space="preserve">. (a) </w:t>
      </w:r>
      <w:r>
        <w:rPr>
          <w:rFonts w:ascii="Arial" w:hAnsi="Arial" w:cs="Arial"/>
          <w:b/>
          <w:sz w:val="20"/>
          <w:szCs w:val="20"/>
        </w:rPr>
        <w:t>The o</w:t>
      </w:r>
      <w:r w:rsidR="00143285" w:rsidRPr="008D2363">
        <w:rPr>
          <w:rFonts w:ascii="Arial" w:hAnsi="Arial" w:cs="Arial"/>
          <w:b/>
          <w:sz w:val="20"/>
          <w:szCs w:val="20"/>
        </w:rPr>
        <w:t xml:space="preserve">ccurrence of burst classes elicited by different KA concentrations. </w:t>
      </w:r>
      <w:r w:rsidR="00143285" w:rsidRPr="00F8292F">
        <w:rPr>
          <w:rFonts w:ascii="Arial" w:hAnsi="Arial" w:cs="Arial"/>
          <w:sz w:val="20"/>
          <w:szCs w:val="20"/>
        </w:rPr>
        <w:t>In the ipsilateral hippocampus,</w:t>
      </w:r>
      <w:r w:rsidR="00143285">
        <w:rPr>
          <w:rFonts w:ascii="Arial" w:hAnsi="Arial" w:cs="Arial"/>
          <w:b/>
          <w:sz w:val="20"/>
          <w:szCs w:val="20"/>
        </w:rPr>
        <w:t xml:space="preserve"> </w:t>
      </w:r>
      <w:r w:rsidR="00143285">
        <w:rPr>
          <w:rFonts w:ascii="Arial" w:hAnsi="Arial" w:cs="Arial"/>
          <w:sz w:val="20"/>
          <w:szCs w:val="20"/>
        </w:rPr>
        <w:t>a</w:t>
      </w:r>
      <w:r w:rsidR="00143285" w:rsidRPr="008D2363">
        <w:rPr>
          <w:rFonts w:ascii="Arial" w:hAnsi="Arial" w:cs="Arial"/>
          <w:sz w:val="20"/>
          <w:szCs w:val="20"/>
        </w:rPr>
        <w:t>nimals treated with high (15 and 20 mM) KA concentrations exhibit more high-load and fewer low-load events than animals treated with 10 mM KA.</w:t>
      </w:r>
      <w:bookmarkEnd w:id="1"/>
      <w:r w:rsidR="00143285">
        <w:rPr>
          <w:rFonts w:ascii="Arial" w:hAnsi="Arial" w:cs="Arial"/>
          <w:sz w:val="20"/>
          <w:szCs w:val="20"/>
        </w:rPr>
        <w:t xml:space="preserve"> </w:t>
      </w:r>
      <w:r w:rsidR="00143285" w:rsidRPr="0086358C">
        <w:rPr>
          <w:rFonts w:ascii="Arial" w:hAnsi="Arial" w:cs="Arial"/>
          <w:b/>
          <w:sz w:val="20"/>
          <w:szCs w:val="20"/>
        </w:rPr>
        <w:t>Compared to the ipsilateral hippocampus, animals treated with high (especially 20 mM KA) have less high-load seizures on the contralateral side.</w:t>
      </w:r>
      <w:r w:rsidR="00143285">
        <w:rPr>
          <w:rFonts w:ascii="Arial" w:hAnsi="Arial" w:cs="Arial"/>
          <w:b/>
          <w:sz w:val="20"/>
          <w:szCs w:val="20"/>
        </w:rPr>
        <w:t xml:space="preserve"> (b) Mean high-load burst ratio and epileptic spike rate of the different KA groups</w:t>
      </w:r>
      <w:r w:rsidR="00143285" w:rsidRPr="00DB4BD2">
        <w:rPr>
          <w:rFonts w:ascii="Arial" w:hAnsi="Arial" w:cs="Arial"/>
          <w:b/>
          <w:sz w:val="20"/>
          <w:szCs w:val="20"/>
        </w:rPr>
        <w:t xml:space="preserve">. </w:t>
      </w:r>
      <w:r w:rsidR="00143285" w:rsidRPr="004100A1">
        <w:rPr>
          <w:rFonts w:ascii="Arial" w:hAnsi="Arial" w:cs="Arial"/>
          <w:b/>
          <w:sz w:val="20"/>
          <w:szCs w:val="20"/>
        </w:rPr>
        <w:t>The mean ratio of time spent in high-load burst</w:t>
      </w:r>
      <w:r>
        <w:rPr>
          <w:rFonts w:ascii="Arial" w:hAnsi="Arial" w:cs="Arial"/>
          <w:b/>
          <w:sz w:val="20"/>
          <w:szCs w:val="20"/>
        </w:rPr>
        <w:t>s</w:t>
      </w:r>
      <w:r w:rsidR="00143285" w:rsidRPr="004100A1">
        <w:rPr>
          <w:rFonts w:ascii="Arial" w:hAnsi="Arial" w:cs="Arial"/>
          <w:b/>
          <w:sz w:val="20"/>
          <w:szCs w:val="20"/>
        </w:rPr>
        <w:t xml:space="preserve"> (mean high-load burst ratio) and epileptic spike rate were significantly lower in the idHC 10 mM KA group compared to the 15 and 20 mM KA group</w:t>
      </w:r>
      <w:r w:rsidR="00143285" w:rsidRPr="00DB4BD2">
        <w:rPr>
          <w:rFonts w:ascii="Arial" w:hAnsi="Arial" w:cs="Arial"/>
          <w:b/>
          <w:sz w:val="20"/>
          <w:szCs w:val="20"/>
        </w:rPr>
        <w:t xml:space="preserve">. </w:t>
      </w:r>
      <w:r w:rsidR="00143285">
        <w:rPr>
          <w:rFonts w:ascii="Arial" w:hAnsi="Arial" w:cs="Arial"/>
          <w:b/>
          <w:sz w:val="20"/>
          <w:szCs w:val="20"/>
        </w:rPr>
        <w:t xml:space="preserve">The mean was calculated from the reference and ‘pre’ recording sessions. </w:t>
      </w:r>
      <w:r w:rsidR="00143285" w:rsidRPr="00DB4BD2">
        <w:rPr>
          <w:rFonts w:ascii="Arial" w:hAnsi="Arial" w:cs="Arial"/>
          <w:b/>
          <w:sz w:val="20"/>
          <w:szCs w:val="20"/>
        </w:rPr>
        <w:t xml:space="preserve">Values are given as mean </w:t>
      </w:r>
      <w:r w:rsidR="00143285" w:rsidRPr="00DB4BD2">
        <w:rPr>
          <w:rFonts w:ascii="Arial" w:eastAsia="Times New Roman" w:hAnsi="Arial" w:cs="Arial"/>
          <w:b/>
          <w:kern w:val="0"/>
          <w:sz w:val="20"/>
          <w:lang w:eastAsia="de-DE" w:bidi="ar-SA"/>
        </w:rPr>
        <w:t>± SEM.</w:t>
      </w:r>
    </w:p>
    <w:p w:rsidR="00143285" w:rsidRPr="008D2363" w:rsidRDefault="00143285" w:rsidP="00143285">
      <w:pPr>
        <w:spacing w:line="360" w:lineRule="auto"/>
        <w:jc w:val="both"/>
        <w:rPr>
          <w:rFonts w:ascii="Arial" w:hAnsi="Arial" w:cs="Arial"/>
        </w:rPr>
      </w:pPr>
    </w:p>
    <w:p w:rsidR="00622A88" w:rsidRPr="00DB4BD2" w:rsidRDefault="00622A88" w:rsidP="004F3E38">
      <w:pPr>
        <w:spacing w:before="240" w:line="360" w:lineRule="auto"/>
        <w:jc w:val="both"/>
        <w:rPr>
          <w:b/>
        </w:rPr>
      </w:pPr>
    </w:p>
    <w:sectPr w:rsidR="00622A88" w:rsidRPr="00DB4B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61"/>
    <w:rsid w:val="000B74EA"/>
    <w:rsid w:val="0011535E"/>
    <w:rsid w:val="001421A0"/>
    <w:rsid w:val="00143285"/>
    <w:rsid w:val="001C47F1"/>
    <w:rsid w:val="002463E9"/>
    <w:rsid w:val="003B0761"/>
    <w:rsid w:val="003C77FE"/>
    <w:rsid w:val="004100A1"/>
    <w:rsid w:val="004F3E38"/>
    <w:rsid w:val="00570B80"/>
    <w:rsid w:val="00587157"/>
    <w:rsid w:val="00622A88"/>
    <w:rsid w:val="00633602"/>
    <w:rsid w:val="006B363B"/>
    <w:rsid w:val="006E75EC"/>
    <w:rsid w:val="009C0B0B"/>
    <w:rsid w:val="009C540C"/>
    <w:rsid w:val="00AD5F60"/>
    <w:rsid w:val="00C2160E"/>
    <w:rsid w:val="00C902EF"/>
    <w:rsid w:val="00DB4BD2"/>
    <w:rsid w:val="00E07804"/>
    <w:rsid w:val="00EB23DA"/>
    <w:rsid w:val="00EB76D4"/>
    <w:rsid w:val="00EC2555"/>
    <w:rsid w:val="00E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4AF2"/>
  <w15:docId w15:val="{0CDAE3AE-DF73-48D7-8A88-610921AF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0761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63B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63B"/>
    <w:rPr>
      <w:rFonts w:ascii="Segoe UI" w:eastAsia="SimSun" w:hAnsi="Segoe UI" w:cs="Mangal"/>
      <w:kern w:val="1"/>
      <w:sz w:val="18"/>
      <w:szCs w:val="16"/>
      <w:lang w:val="en-US" w:eastAsia="hi-IN" w:bidi="hi-I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75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75EC"/>
    <w:rPr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75EC"/>
    <w:rPr>
      <w:rFonts w:ascii="Times New Roman" w:eastAsia="SimSun" w:hAnsi="Times New Roman" w:cs="Mangal"/>
      <w:kern w:val="1"/>
      <w:sz w:val="20"/>
      <w:szCs w:val="18"/>
      <w:lang w:val="en-US" w:eastAsia="hi-IN" w:bidi="hi-I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75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75EC"/>
    <w:rPr>
      <w:rFonts w:ascii="Times New Roman" w:eastAsia="SimSun" w:hAnsi="Times New Roman" w:cs="Mangal"/>
      <w:b/>
      <w:bCs/>
      <w:kern w:val="1"/>
      <w:sz w:val="20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Uniklinikum Freiburg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EXPEPI</dc:creator>
  <cp:lastModifiedBy>Enya Paschen</cp:lastModifiedBy>
  <cp:revision>17</cp:revision>
  <dcterms:created xsi:type="dcterms:W3CDTF">2019-11-19T15:45:00Z</dcterms:created>
  <dcterms:modified xsi:type="dcterms:W3CDTF">2020-10-06T09:56:00Z</dcterms:modified>
</cp:coreProperties>
</file>