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A6C74">
        <w:fldChar w:fldCharType="begin"/>
      </w:r>
      <w:r w:rsidR="001A6C74">
        <w:instrText xml:space="preserve"> HYPERLINK "https://biosharing.org/" \t "_blank" </w:instrText>
      </w:r>
      <w:r w:rsidR="001A6C7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A6C7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80624D0" w14:textId="0F0470E6" w:rsidR="00D65D01" w:rsidRPr="00C563AC" w:rsidRDefault="008714C7" w:rsidP="00AF1785">
      <w:pPr>
        <w:framePr w:w="7879" w:h="721" w:hSpace="180" w:wrap="around" w:vAnchor="text" w:hAnchor="page" w:x="1858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4F81BD" w:themeColor="accent1"/>
          <w:sz w:val="22"/>
          <w:szCs w:val="22"/>
        </w:rPr>
      </w:pPr>
      <w:r w:rsidRPr="00C563AC">
        <w:rPr>
          <w:rFonts w:asciiTheme="minorHAnsi" w:hAnsiTheme="minorHAnsi"/>
          <w:color w:val="4F81BD" w:themeColor="accent1"/>
          <w:sz w:val="22"/>
          <w:szCs w:val="22"/>
        </w:rPr>
        <w:t>Information on s</w:t>
      </w:r>
      <w:r w:rsidR="00AB1E0F" w:rsidRPr="00C563AC">
        <w:rPr>
          <w:rFonts w:asciiTheme="minorHAnsi" w:hAnsiTheme="minorHAnsi"/>
          <w:color w:val="4F81BD" w:themeColor="accent1"/>
          <w:sz w:val="22"/>
          <w:szCs w:val="22"/>
        </w:rPr>
        <w:t>ample-size</w:t>
      </w:r>
      <w:r w:rsidRPr="00C563AC">
        <w:rPr>
          <w:rFonts w:asciiTheme="minorHAnsi" w:hAnsiTheme="minorHAnsi"/>
          <w:color w:val="4F81BD" w:themeColor="accent1"/>
          <w:sz w:val="22"/>
          <w:szCs w:val="22"/>
        </w:rPr>
        <w:t xml:space="preserve"> </w:t>
      </w:r>
      <w:r w:rsidR="007E52FA" w:rsidRPr="00C563AC">
        <w:rPr>
          <w:rFonts w:asciiTheme="minorHAnsi" w:hAnsiTheme="minorHAnsi"/>
          <w:color w:val="4F81BD" w:themeColor="accent1"/>
          <w:sz w:val="22"/>
          <w:szCs w:val="22"/>
        </w:rPr>
        <w:t>calculations</w:t>
      </w:r>
      <w:r w:rsidRPr="00C563AC">
        <w:rPr>
          <w:rFonts w:asciiTheme="minorHAnsi" w:hAnsiTheme="minorHAnsi"/>
          <w:color w:val="4F81BD" w:themeColor="accent1"/>
          <w:sz w:val="22"/>
          <w:szCs w:val="22"/>
        </w:rPr>
        <w:t xml:space="preserve"> can be found in the </w:t>
      </w:r>
      <w:r w:rsidRPr="00C563AC">
        <w:rPr>
          <w:rFonts w:asciiTheme="minorHAnsi" w:hAnsiTheme="minorHAnsi"/>
          <w:b/>
          <w:color w:val="4F81BD" w:themeColor="accent1"/>
          <w:sz w:val="22"/>
          <w:szCs w:val="22"/>
        </w:rPr>
        <w:t>Materials and Methods</w:t>
      </w:r>
      <w:r w:rsidRPr="00C563AC">
        <w:rPr>
          <w:rFonts w:asciiTheme="minorHAnsi" w:hAnsiTheme="minorHAnsi"/>
          <w:color w:val="4F81BD" w:themeColor="accent1"/>
          <w:sz w:val="22"/>
          <w:szCs w:val="22"/>
        </w:rPr>
        <w:t xml:space="preserve">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4331514" w:rsidR="00B330BD" w:rsidRPr="00C563AC" w:rsidRDefault="00EA0413" w:rsidP="00B73098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4F81BD" w:themeColor="accent1"/>
          <w:sz w:val="22"/>
          <w:szCs w:val="22"/>
        </w:rPr>
      </w:pPr>
      <w:r w:rsidRPr="00C563AC">
        <w:rPr>
          <w:rFonts w:asciiTheme="minorHAnsi" w:hAnsiTheme="minorHAnsi"/>
          <w:color w:val="4F81BD" w:themeColor="accent1"/>
          <w:sz w:val="22"/>
          <w:szCs w:val="22"/>
        </w:rPr>
        <w:t>Information on technical replicates</w:t>
      </w:r>
      <w:r w:rsidR="004D3BBB" w:rsidRPr="00C563AC">
        <w:rPr>
          <w:rFonts w:asciiTheme="minorHAnsi" w:hAnsiTheme="minorHAnsi"/>
          <w:color w:val="4F81BD" w:themeColor="accent1"/>
          <w:sz w:val="22"/>
          <w:szCs w:val="22"/>
        </w:rPr>
        <w:t xml:space="preserve"> (referred to as trials)</w:t>
      </w:r>
      <w:r w:rsidRPr="00C563AC">
        <w:rPr>
          <w:rFonts w:asciiTheme="minorHAnsi" w:hAnsiTheme="minorHAnsi"/>
          <w:color w:val="4F81BD" w:themeColor="accent1"/>
          <w:sz w:val="22"/>
          <w:szCs w:val="22"/>
        </w:rPr>
        <w:t xml:space="preserve"> can be found in the </w:t>
      </w:r>
      <w:r w:rsidR="00AF1785" w:rsidRPr="00C563AC">
        <w:rPr>
          <w:rFonts w:asciiTheme="minorHAnsi" w:hAnsiTheme="minorHAnsi"/>
          <w:b/>
          <w:color w:val="4F81BD" w:themeColor="accent1"/>
          <w:sz w:val="22"/>
          <w:szCs w:val="22"/>
        </w:rPr>
        <w:t>Materials and Methods</w:t>
      </w:r>
      <w:r w:rsidR="00AF1785" w:rsidRPr="00C563AC">
        <w:rPr>
          <w:rFonts w:asciiTheme="minorHAnsi" w:hAnsiTheme="minorHAnsi"/>
          <w:color w:val="4F81BD" w:themeColor="accent1"/>
          <w:sz w:val="22"/>
          <w:szCs w:val="22"/>
        </w:rPr>
        <w:t xml:space="preserve"> </w:t>
      </w:r>
      <w:r w:rsidRPr="00C563AC">
        <w:rPr>
          <w:rFonts w:asciiTheme="minorHAnsi" w:hAnsiTheme="minorHAnsi"/>
          <w:color w:val="4F81BD" w:themeColor="accent1"/>
          <w:sz w:val="22"/>
          <w:szCs w:val="22"/>
        </w:rPr>
        <w:t>section. Biological replicates (</w:t>
      </w:r>
      <w:r w:rsidRPr="00C563AC">
        <w:rPr>
          <w:rFonts w:asciiTheme="minorHAnsi" w:hAnsiTheme="minorHAnsi"/>
          <w:i/>
          <w:color w:val="4F81BD" w:themeColor="accent1"/>
          <w:sz w:val="22"/>
          <w:szCs w:val="22"/>
        </w:rPr>
        <w:t>n</w:t>
      </w:r>
      <w:r w:rsidRPr="00C563AC">
        <w:rPr>
          <w:rFonts w:asciiTheme="minorHAnsi" w:hAnsiTheme="minorHAnsi"/>
          <w:color w:val="4F81BD" w:themeColor="accent1"/>
          <w:sz w:val="22"/>
          <w:szCs w:val="22"/>
        </w:rPr>
        <w:t>) can be found in</w:t>
      </w:r>
      <w:r w:rsidR="008C7168" w:rsidRPr="00C563AC">
        <w:rPr>
          <w:rFonts w:asciiTheme="minorHAnsi" w:hAnsiTheme="minorHAnsi"/>
          <w:color w:val="4F81BD" w:themeColor="accent1"/>
          <w:sz w:val="22"/>
          <w:szCs w:val="22"/>
        </w:rPr>
        <w:t xml:space="preserve"> the</w:t>
      </w:r>
      <w:r w:rsidR="008C7168" w:rsidRPr="00C563AC">
        <w:rPr>
          <w:rFonts w:asciiTheme="minorHAnsi" w:hAnsiTheme="minorHAnsi"/>
          <w:b/>
          <w:color w:val="4F81BD" w:themeColor="accent1"/>
          <w:sz w:val="22"/>
          <w:szCs w:val="22"/>
        </w:rPr>
        <w:t xml:space="preserve"> source data files</w:t>
      </w:r>
      <w:r w:rsidRPr="00C563AC">
        <w:rPr>
          <w:rFonts w:asciiTheme="minorHAnsi" w:hAnsiTheme="minorHAnsi"/>
          <w:color w:val="4F81BD" w:themeColor="accent1"/>
          <w:sz w:val="22"/>
          <w:szCs w:val="22"/>
        </w:rPr>
        <w:t xml:space="preserve"> </w:t>
      </w:r>
      <w:r w:rsidR="008C7168" w:rsidRPr="00C563AC">
        <w:rPr>
          <w:rFonts w:asciiTheme="minorHAnsi" w:hAnsiTheme="minorHAnsi"/>
          <w:color w:val="4F81BD" w:themeColor="accent1"/>
          <w:sz w:val="22"/>
          <w:szCs w:val="22"/>
        </w:rPr>
        <w:t>and</w:t>
      </w:r>
      <w:r w:rsidR="00983619" w:rsidRPr="00C563AC">
        <w:rPr>
          <w:rFonts w:asciiTheme="minorHAnsi" w:hAnsiTheme="minorHAnsi"/>
          <w:color w:val="4F81BD" w:themeColor="accent1"/>
          <w:sz w:val="22"/>
          <w:szCs w:val="22"/>
        </w:rPr>
        <w:t xml:space="preserve"> </w:t>
      </w:r>
      <w:r w:rsidRPr="00C563AC">
        <w:rPr>
          <w:rFonts w:asciiTheme="minorHAnsi" w:hAnsiTheme="minorHAnsi"/>
          <w:color w:val="4F81BD" w:themeColor="accent1"/>
          <w:sz w:val="22"/>
          <w:szCs w:val="22"/>
        </w:rPr>
        <w:t>are stated in</w:t>
      </w:r>
      <w:r w:rsidR="00983619" w:rsidRPr="00C563AC">
        <w:rPr>
          <w:rFonts w:asciiTheme="minorHAnsi" w:hAnsiTheme="minorHAnsi"/>
          <w:color w:val="4F81BD" w:themeColor="accent1"/>
          <w:sz w:val="22"/>
          <w:szCs w:val="22"/>
        </w:rPr>
        <w:t xml:space="preserve"> </w:t>
      </w:r>
      <w:r w:rsidR="00983619" w:rsidRPr="00C563AC">
        <w:rPr>
          <w:rFonts w:asciiTheme="minorHAnsi" w:hAnsiTheme="minorHAnsi"/>
          <w:b/>
          <w:color w:val="4F81BD" w:themeColor="accent1"/>
          <w:sz w:val="22"/>
          <w:szCs w:val="22"/>
        </w:rPr>
        <w:t>Results</w:t>
      </w:r>
      <w:r w:rsidR="008C7168" w:rsidRPr="00C563AC">
        <w:rPr>
          <w:rFonts w:asciiTheme="minorHAnsi" w:hAnsiTheme="minorHAnsi"/>
          <w:b/>
          <w:color w:val="4F81BD" w:themeColor="accent1"/>
          <w:sz w:val="22"/>
          <w:szCs w:val="22"/>
        </w:rPr>
        <w:t xml:space="preserve"> </w:t>
      </w:r>
      <w:r w:rsidR="008C7168" w:rsidRPr="00C563AC">
        <w:rPr>
          <w:rFonts w:asciiTheme="minorHAnsi" w:hAnsiTheme="minorHAnsi"/>
          <w:color w:val="4F81BD" w:themeColor="accent1"/>
          <w:sz w:val="22"/>
          <w:szCs w:val="22"/>
        </w:rPr>
        <w:t>or</w:t>
      </w:r>
      <w:r w:rsidR="008C7168" w:rsidRPr="00C563AC">
        <w:rPr>
          <w:rFonts w:asciiTheme="minorHAnsi" w:hAnsiTheme="minorHAnsi"/>
          <w:b/>
          <w:color w:val="4F81BD" w:themeColor="accent1"/>
          <w:sz w:val="22"/>
          <w:szCs w:val="22"/>
        </w:rPr>
        <w:t xml:space="preserve"> Figure Legends</w:t>
      </w:r>
      <w:r w:rsidRPr="00C563AC">
        <w:rPr>
          <w:rFonts w:asciiTheme="minorHAnsi" w:hAnsiTheme="minorHAnsi"/>
          <w:color w:val="4F81BD" w:themeColor="accent1"/>
          <w:sz w:val="22"/>
          <w:szCs w:val="22"/>
        </w:rPr>
        <w:t xml:space="preserve">. </w:t>
      </w:r>
      <w:r w:rsidR="00983619" w:rsidRPr="00C563AC">
        <w:rPr>
          <w:rFonts w:asciiTheme="minorHAnsi" w:hAnsiTheme="minorHAnsi"/>
          <w:color w:val="4F81BD" w:themeColor="accent1"/>
          <w:sz w:val="22"/>
          <w:szCs w:val="22"/>
        </w:rPr>
        <w:t>Criteria for exclusion/ inclusion of cells</w:t>
      </w:r>
      <w:r w:rsidR="004D3BBB" w:rsidRPr="00C563AC">
        <w:rPr>
          <w:rFonts w:asciiTheme="minorHAnsi" w:hAnsiTheme="minorHAnsi"/>
          <w:color w:val="4F81BD" w:themeColor="accent1"/>
          <w:sz w:val="22"/>
          <w:szCs w:val="22"/>
        </w:rPr>
        <w:t xml:space="preserve"> and the treatment of outliers</w:t>
      </w:r>
      <w:r w:rsidR="00983619" w:rsidRPr="00C563AC">
        <w:rPr>
          <w:rFonts w:asciiTheme="minorHAnsi" w:hAnsiTheme="minorHAnsi"/>
          <w:color w:val="4F81BD" w:themeColor="accent1"/>
          <w:sz w:val="22"/>
          <w:szCs w:val="22"/>
        </w:rPr>
        <w:t xml:space="preserve"> can be found in </w:t>
      </w:r>
      <w:r w:rsidR="00AF1785" w:rsidRPr="00C563AC">
        <w:rPr>
          <w:rFonts w:asciiTheme="minorHAnsi" w:hAnsiTheme="minorHAnsi"/>
          <w:b/>
          <w:color w:val="4F81BD" w:themeColor="accent1"/>
          <w:sz w:val="22"/>
          <w:szCs w:val="22"/>
        </w:rPr>
        <w:t>Materials and Methods</w:t>
      </w:r>
      <w:r w:rsidR="00983619" w:rsidRPr="00C563AC">
        <w:rPr>
          <w:rFonts w:asciiTheme="minorHAnsi" w:hAnsiTheme="minorHAnsi"/>
          <w:color w:val="4F81BD" w:themeColor="accent1"/>
          <w:sz w:val="22"/>
          <w:szCs w:val="22"/>
        </w:rPr>
        <w:t xml:space="preserve">. 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250C76C" w:rsidR="0015519A" w:rsidRPr="00C563AC" w:rsidRDefault="004D3BB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C563AC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Within the </w:t>
      </w:r>
      <w:r w:rsidR="00AF1785" w:rsidRPr="00C563AC">
        <w:rPr>
          <w:rFonts w:asciiTheme="minorHAnsi" w:hAnsiTheme="minorHAnsi" w:cstheme="minorHAnsi"/>
          <w:b/>
          <w:color w:val="4F81BD" w:themeColor="accent1"/>
          <w:sz w:val="22"/>
          <w:szCs w:val="22"/>
        </w:rPr>
        <w:t>Materials and Methods</w:t>
      </w:r>
      <w:r w:rsidR="00AF1785" w:rsidRPr="00C563AC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  <w:r w:rsidRPr="00C563AC">
        <w:rPr>
          <w:rFonts w:asciiTheme="minorHAnsi" w:hAnsiTheme="minorHAnsi" w:cstheme="minorHAnsi"/>
          <w:color w:val="4F81BD" w:themeColor="accent1"/>
          <w:sz w:val="22"/>
          <w:szCs w:val="22"/>
        </w:rPr>
        <w:t>section, a paragraph on all statistics analyses and justification can be found.</w:t>
      </w:r>
      <w:r w:rsidR="008C7168" w:rsidRPr="00C563AC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  <w:r w:rsidR="007E52FA" w:rsidRPr="00C563AC">
        <w:rPr>
          <w:rFonts w:asciiTheme="minorHAnsi" w:hAnsiTheme="minorHAnsi" w:cstheme="minorHAnsi"/>
          <w:b/>
          <w:color w:val="4F81BD" w:themeColor="accent1"/>
          <w:sz w:val="22"/>
          <w:szCs w:val="22"/>
        </w:rPr>
        <w:t>S</w:t>
      </w:r>
      <w:r w:rsidR="003753F2" w:rsidRPr="00C563AC">
        <w:rPr>
          <w:rFonts w:asciiTheme="minorHAnsi" w:hAnsiTheme="minorHAnsi" w:cstheme="minorHAnsi"/>
          <w:b/>
          <w:color w:val="4F81BD" w:themeColor="accent1"/>
          <w:sz w:val="22"/>
          <w:szCs w:val="22"/>
        </w:rPr>
        <w:t>ource data files</w:t>
      </w:r>
      <w:r w:rsidR="008C7168" w:rsidRPr="00C563AC">
        <w:rPr>
          <w:rFonts w:asciiTheme="minorHAnsi" w:hAnsiTheme="minorHAnsi" w:cstheme="minorHAnsi"/>
          <w:b/>
          <w:color w:val="4F81BD" w:themeColor="accent1"/>
          <w:sz w:val="22"/>
          <w:szCs w:val="22"/>
        </w:rPr>
        <w:t xml:space="preserve"> </w:t>
      </w:r>
      <w:r w:rsidR="008C7168" w:rsidRPr="00C563AC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containing detailed account of individual data points, mean, SEM and statistical tests </w:t>
      </w:r>
      <w:r w:rsidR="007E52FA" w:rsidRPr="00C563AC">
        <w:rPr>
          <w:rFonts w:asciiTheme="minorHAnsi" w:hAnsiTheme="minorHAnsi" w:cstheme="minorHAnsi"/>
          <w:color w:val="4F81BD" w:themeColor="accent1"/>
          <w:sz w:val="22"/>
          <w:szCs w:val="22"/>
        </w:rPr>
        <w:t>are available as</w:t>
      </w:r>
      <w:r w:rsidR="007E52FA" w:rsidRPr="00C563AC">
        <w:rPr>
          <w:rFonts w:asciiTheme="minorHAnsi" w:hAnsiTheme="minorHAnsi" w:cstheme="minorHAnsi"/>
          <w:b/>
          <w:color w:val="4F81BD" w:themeColor="accent1"/>
          <w:sz w:val="22"/>
          <w:szCs w:val="22"/>
        </w:rPr>
        <w:t xml:space="preserve"> supplementary information</w:t>
      </w:r>
      <w:r w:rsidR="003753F2" w:rsidRPr="00C563AC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0155629E" w14:textId="77777777" w:rsidR="00AF1785" w:rsidRPr="00C563AC" w:rsidRDefault="00AF1785" w:rsidP="00AF1785">
      <w:pPr>
        <w:framePr w:w="7980" w:h="621" w:hSpace="180" w:wrap="around" w:vAnchor="text" w:hAnchor="page" w:x="1904" w:y="6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4F81BD" w:themeColor="accent1"/>
          <w:sz w:val="22"/>
          <w:szCs w:val="22"/>
        </w:rPr>
      </w:pPr>
      <w:r w:rsidRPr="00C563AC">
        <w:rPr>
          <w:rFonts w:asciiTheme="minorHAnsi" w:hAnsiTheme="minorHAnsi"/>
          <w:color w:val="4F81BD" w:themeColor="accent1"/>
          <w:sz w:val="22"/>
          <w:szCs w:val="22"/>
        </w:rPr>
        <w:t xml:space="preserve">Group allocation was not applicable to this study. </w:t>
      </w: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8253498" w14:textId="35411B20" w:rsidR="00C93BAD" w:rsidRPr="004C7A4F" w:rsidRDefault="004C7A4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Arial Unicode MS" w:hAnsiTheme="minorHAnsi" w:cstheme="minorHAnsi"/>
          <w:color w:val="4F81BD" w:themeColor="accent1"/>
          <w:sz w:val="22"/>
          <w:szCs w:val="22"/>
        </w:rPr>
      </w:pPr>
      <w:r w:rsidRPr="004C7A4F">
        <w:rPr>
          <w:rFonts w:asciiTheme="minorHAnsi" w:eastAsia="Arial Unicode MS" w:hAnsiTheme="minorHAnsi" w:cstheme="minorHAnsi"/>
          <w:color w:val="4F81BD" w:themeColor="accent1"/>
          <w:sz w:val="22"/>
          <w:szCs w:val="22"/>
        </w:rPr>
        <w:t xml:space="preserve">The NEURON model morphology is available at </w:t>
      </w:r>
      <w:r w:rsidRPr="004C7A4F">
        <w:rPr>
          <w:rFonts w:asciiTheme="minorHAnsi" w:hAnsiTheme="minorHAnsi" w:cstheme="minorHAnsi"/>
          <w:color w:val="4F81BD" w:themeColor="accent1"/>
          <w:sz w:val="22"/>
          <w:szCs w:val="22"/>
        </w:rPr>
        <w:t>NeuroMorpho.Org ID: NMO_75667, Neuron Name 2014-04-01_1</w:t>
      </w:r>
      <w:r w:rsidRPr="004C7A4F">
        <w:rPr>
          <w:rFonts w:asciiTheme="minorHAnsi" w:eastAsia="Arial Unicode MS" w:hAnsiTheme="minorHAnsi" w:cstheme="minorHAnsi"/>
          <w:color w:val="4F81BD" w:themeColor="accent1"/>
          <w:sz w:val="22"/>
          <w:szCs w:val="22"/>
        </w:rPr>
        <w:t xml:space="preserve"> and the mod file used to model Ca</w:t>
      </w:r>
      <w:r w:rsidRPr="004C7A4F">
        <w:rPr>
          <w:rFonts w:asciiTheme="minorHAnsi" w:eastAsia="Arial Unicode MS" w:hAnsiTheme="minorHAnsi" w:cstheme="minorHAnsi"/>
          <w:color w:val="4F81BD" w:themeColor="accent1"/>
          <w:sz w:val="22"/>
          <w:szCs w:val="22"/>
          <w:vertAlign w:val="superscript"/>
        </w:rPr>
        <w:t>2+</w:t>
      </w:r>
      <w:r w:rsidRPr="004C7A4F">
        <w:rPr>
          <w:rFonts w:asciiTheme="minorHAnsi" w:eastAsia="Arial Unicode MS" w:hAnsiTheme="minorHAnsi" w:cstheme="minorHAnsi"/>
          <w:color w:val="4F81BD" w:themeColor="accent1"/>
          <w:sz w:val="22"/>
          <w:szCs w:val="22"/>
        </w:rPr>
        <w:t xml:space="preserve"> diffusion and buffering </w:t>
      </w:r>
      <w:r w:rsidRPr="004C7A4F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is available at </w:t>
      </w:r>
      <w:proofErr w:type="spellStart"/>
      <w:r w:rsidRPr="004C7A4F">
        <w:rPr>
          <w:rFonts w:asciiTheme="minorHAnsi" w:hAnsiTheme="minorHAnsi" w:cstheme="minorHAnsi"/>
          <w:color w:val="4F81BD" w:themeColor="accent1"/>
          <w:sz w:val="22"/>
          <w:szCs w:val="22"/>
        </w:rPr>
        <w:t>ModelDB</w:t>
      </w:r>
      <w:proofErr w:type="spellEnd"/>
      <w:r w:rsidRPr="004C7A4F">
        <w:rPr>
          <w:rFonts w:asciiTheme="minorHAnsi" w:hAnsiTheme="minorHAnsi" w:cstheme="minorHAnsi"/>
          <w:color w:val="4F81BD" w:themeColor="accent1"/>
          <w:sz w:val="22"/>
          <w:szCs w:val="22"/>
        </w:rPr>
        <w:t>, accession 125745 (</w:t>
      </w:r>
      <w:hyperlink r:id="rId11" w:history="1">
        <w:r w:rsidRPr="004C7A4F">
          <w:rPr>
            <w:rStyle w:val="Hyperlink"/>
            <w:rFonts w:asciiTheme="minorHAnsi" w:hAnsiTheme="minorHAnsi" w:cstheme="minorHAnsi"/>
            <w:color w:val="4F81BD" w:themeColor="accent1"/>
            <w:sz w:val="22"/>
            <w:szCs w:val="22"/>
          </w:rPr>
          <w:t>https://senselab.med.yale.edu/ModelDB</w:t>
        </w:r>
        <w:r w:rsidRPr="004C7A4F">
          <w:rPr>
            <w:rStyle w:val="Hyperlink"/>
            <w:rFonts w:asciiTheme="minorHAnsi" w:hAnsiTheme="minorHAnsi" w:cstheme="minorHAnsi"/>
            <w:color w:val="4F81BD" w:themeColor="accent1"/>
            <w:sz w:val="22"/>
            <w:szCs w:val="22"/>
          </w:rPr>
          <w:t>/</w:t>
        </w:r>
      </w:hyperlink>
      <w:r w:rsidRPr="004C7A4F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), with adjustments </w:t>
      </w:r>
      <w:r w:rsidRPr="004C7A4F">
        <w:rPr>
          <w:rFonts w:asciiTheme="minorHAnsi" w:eastAsia="Arial Unicode MS" w:hAnsiTheme="minorHAnsi" w:cstheme="minorHAnsi"/>
          <w:color w:val="4F81BD" w:themeColor="accent1"/>
          <w:sz w:val="22"/>
          <w:szCs w:val="22"/>
        </w:rPr>
        <w:t xml:space="preserve">described in ‘Model </w:t>
      </w:r>
      <w:bookmarkStart w:id="0" w:name="_GoBack"/>
      <w:bookmarkEnd w:id="0"/>
      <w:r w:rsidRPr="004C7A4F">
        <w:rPr>
          <w:rFonts w:asciiTheme="minorHAnsi" w:eastAsia="Arial Unicode MS" w:hAnsiTheme="minorHAnsi" w:cstheme="minorHAnsi"/>
          <w:color w:val="4F81BD" w:themeColor="accent1"/>
          <w:sz w:val="22"/>
          <w:szCs w:val="22"/>
        </w:rPr>
        <w:t xml:space="preserve">simulations with a </w:t>
      </w:r>
      <w:r w:rsidRPr="004C7A4F">
        <w:rPr>
          <w:rFonts w:asciiTheme="minorHAnsi" w:hAnsiTheme="minorHAnsi" w:cstheme="minorHAnsi"/>
          <w:color w:val="4F81BD" w:themeColor="accent1"/>
          <w:sz w:val="22"/>
          <w:szCs w:val="22"/>
        </w:rPr>
        <w:t>multicompartmental model</w:t>
      </w:r>
      <w:r w:rsidRPr="004C7A4F">
        <w:rPr>
          <w:rFonts w:asciiTheme="minorHAnsi" w:eastAsia="Arial Unicode MS" w:hAnsiTheme="minorHAnsi" w:cstheme="minorHAnsi"/>
          <w:color w:val="4F81BD" w:themeColor="accent1"/>
          <w:sz w:val="22"/>
          <w:szCs w:val="22"/>
        </w:rPr>
        <w:t>’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w</w:t>
      </w:r>
      <w:r w:rsidRPr="00C563AC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ithin </w:t>
      </w:r>
      <w:r w:rsidRPr="00C563AC">
        <w:rPr>
          <w:rFonts w:asciiTheme="minorHAnsi" w:hAnsiTheme="minorHAnsi" w:cstheme="minorHAnsi"/>
          <w:b/>
          <w:color w:val="4F81BD" w:themeColor="accent1"/>
          <w:sz w:val="22"/>
          <w:szCs w:val="22"/>
        </w:rPr>
        <w:t>Materials and Methods</w:t>
      </w:r>
      <w:r>
        <w:rPr>
          <w:rFonts w:asciiTheme="minorHAnsi" w:hAnsiTheme="minorHAnsi" w:cstheme="minorHAnsi"/>
          <w:color w:val="4F81BD" w:themeColor="accent1"/>
          <w:sz w:val="22"/>
          <w:szCs w:val="22"/>
        </w:rPr>
        <w:t>.</w:t>
      </w:r>
    </w:p>
    <w:p w14:paraId="08C9EF2F" w14:textId="77777777" w:rsidR="00A62B52" w:rsidRPr="00406FF4" w:rsidRDefault="00A62B52" w:rsidP="003753F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23C67" w14:textId="77777777" w:rsidR="001A6C74" w:rsidRDefault="001A6C74" w:rsidP="004215FE">
      <w:r>
        <w:separator/>
      </w:r>
    </w:p>
  </w:endnote>
  <w:endnote w:type="continuationSeparator" w:id="0">
    <w:p w14:paraId="5C9EB833" w14:textId="77777777" w:rsidR="001A6C74" w:rsidRDefault="001A6C7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563BB" w14:textId="77777777" w:rsidR="001A6C74" w:rsidRDefault="001A6C74" w:rsidP="004215FE">
      <w:r>
        <w:separator/>
      </w:r>
    </w:p>
  </w:footnote>
  <w:footnote w:type="continuationSeparator" w:id="0">
    <w:p w14:paraId="6B5A5382" w14:textId="77777777" w:rsidR="001A6C74" w:rsidRDefault="001A6C7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65591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67E9"/>
    <w:rsid w:val="00197814"/>
    <w:rsid w:val="001A6C74"/>
    <w:rsid w:val="001E1D59"/>
    <w:rsid w:val="00212F30"/>
    <w:rsid w:val="00217B9E"/>
    <w:rsid w:val="002336C6"/>
    <w:rsid w:val="00241081"/>
    <w:rsid w:val="00262BF1"/>
    <w:rsid w:val="00263494"/>
    <w:rsid w:val="00266462"/>
    <w:rsid w:val="002A068D"/>
    <w:rsid w:val="002A0ED1"/>
    <w:rsid w:val="002A7487"/>
    <w:rsid w:val="00307F5D"/>
    <w:rsid w:val="00311FD4"/>
    <w:rsid w:val="003248ED"/>
    <w:rsid w:val="00370080"/>
    <w:rsid w:val="003753F2"/>
    <w:rsid w:val="003757B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7A4F"/>
    <w:rsid w:val="004D3BBB"/>
    <w:rsid w:val="004D5E59"/>
    <w:rsid w:val="004D602A"/>
    <w:rsid w:val="004D73CF"/>
    <w:rsid w:val="004E4945"/>
    <w:rsid w:val="004F0688"/>
    <w:rsid w:val="004F451D"/>
    <w:rsid w:val="00505C51"/>
    <w:rsid w:val="00514D80"/>
    <w:rsid w:val="00516A01"/>
    <w:rsid w:val="0053000A"/>
    <w:rsid w:val="00545A0F"/>
    <w:rsid w:val="00550F13"/>
    <w:rsid w:val="005530AE"/>
    <w:rsid w:val="00555F44"/>
    <w:rsid w:val="00566103"/>
    <w:rsid w:val="00577E01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2689"/>
    <w:rsid w:val="007B6567"/>
    <w:rsid w:val="007B6D8A"/>
    <w:rsid w:val="007B7AF0"/>
    <w:rsid w:val="007C1A97"/>
    <w:rsid w:val="007D18C3"/>
    <w:rsid w:val="007E52FA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14C7"/>
    <w:rsid w:val="00876F8F"/>
    <w:rsid w:val="00877644"/>
    <w:rsid w:val="00877729"/>
    <w:rsid w:val="008A02D1"/>
    <w:rsid w:val="008A22A7"/>
    <w:rsid w:val="008C7168"/>
    <w:rsid w:val="008C73C0"/>
    <w:rsid w:val="008D7885"/>
    <w:rsid w:val="00912B0B"/>
    <w:rsid w:val="009205E9"/>
    <w:rsid w:val="0092438C"/>
    <w:rsid w:val="00931978"/>
    <w:rsid w:val="00941D04"/>
    <w:rsid w:val="00956A89"/>
    <w:rsid w:val="00963CEF"/>
    <w:rsid w:val="00983619"/>
    <w:rsid w:val="00993065"/>
    <w:rsid w:val="009A0661"/>
    <w:rsid w:val="009A5BB5"/>
    <w:rsid w:val="009D0D28"/>
    <w:rsid w:val="009E6ACE"/>
    <w:rsid w:val="009E7B13"/>
    <w:rsid w:val="00A02DCD"/>
    <w:rsid w:val="00A04D60"/>
    <w:rsid w:val="00A11EC6"/>
    <w:rsid w:val="00A131BD"/>
    <w:rsid w:val="00A32E20"/>
    <w:rsid w:val="00A42E89"/>
    <w:rsid w:val="00A5368C"/>
    <w:rsid w:val="00A62B52"/>
    <w:rsid w:val="00A84B3E"/>
    <w:rsid w:val="00AA0EE8"/>
    <w:rsid w:val="00AA1EC3"/>
    <w:rsid w:val="00AB1E0F"/>
    <w:rsid w:val="00AB5612"/>
    <w:rsid w:val="00AC49AA"/>
    <w:rsid w:val="00AD7A8F"/>
    <w:rsid w:val="00AE7C75"/>
    <w:rsid w:val="00AF1785"/>
    <w:rsid w:val="00AF5736"/>
    <w:rsid w:val="00B124CC"/>
    <w:rsid w:val="00B17836"/>
    <w:rsid w:val="00B24C80"/>
    <w:rsid w:val="00B25462"/>
    <w:rsid w:val="00B330BD"/>
    <w:rsid w:val="00B4292F"/>
    <w:rsid w:val="00B57E8A"/>
    <w:rsid w:val="00B63308"/>
    <w:rsid w:val="00B64119"/>
    <w:rsid w:val="00B73098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694D"/>
    <w:rsid w:val="00C42ECB"/>
    <w:rsid w:val="00C52A77"/>
    <w:rsid w:val="00C563AC"/>
    <w:rsid w:val="00C820B0"/>
    <w:rsid w:val="00C93BAD"/>
    <w:rsid w:val="00CC6EF3"/>
    <w:rsid w:val="00CD19AE"/>
    <w:rsid w:val="00CD6AEC"/>
    <w:rsid w:val="00CE6849"/>
    <w:rsid w:val="00CF4BBE"/>
    <w:rsid w:val="00CF6CB5"/>
    <w:rsid w:val="00D10224"/>
    <w:rsid w:val="00D44612"/>
    <w:rsid w:val="00D50299"/>
    <w:rsid w:val="00D65D01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2D29"/>
    <w:rsid w:val="00E41364"/>
    <w:rsid w:val="00E55722"/>
    <w:rsid w:val="00E61AB4"/>
    <w:rsid w:val="00E70517"/>
    <w:rsid w:val="00E870D1"/>
    <w:rsid w:val="00EA0413"/>
    <w:rsid w:val="00EA65C4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9077211-A199-0048-AE42-2A948929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nselab.med.yale.edu/ModelDB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56979C-32F7-AB46-945A-09203805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Naomi Hanemaaijer</cp:lastModifiedBy>
  <cp:revision>19</cp:revision>
  <cp:lastPrinted>2020-01-08T13:24:00Z</cp:lastPrinted>
  <dcterms:created xsi:type="dcterms:W3CDTF">2020-01-08T13:50:00Z</dcterms:created>
  <dcterms:modified xsi:type="dcterms:W3CDTF">2020-05-04T10:54:00Z</dcterms:modified>
</cp:coreProperties>
</file>