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19A2" w14:textId="7D98F4DF" w:rsidR="00152DBB" w:rsidRDefault="00152DBB" w:rsidP="00152DBB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17246E">
        <w:rPr>
          <w:rFonts w:ascii="Times New Roman" w:eastAsia="Times New Roman" w:hAnsi="Times New Roman" w:cs="Times New Roman"/>
          <w:sz w:val="32"/>
          <w:szCs w:val="32"/>
          <w:lang w:val="en-US"/>
        </w:rPr>
        <w:t>Supplementary</w:t>
      </w:r>
      <w:r w:rsidRPr="00902A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file </w:t>
      </w:r>
      <w:r w:rsidR="006957EF">
        <w:rPr>
          <w:rFonts w:ascii="Times New Roman" w:hAnsi="Times New Roman" w:cs="Times New Roman"/>
          <w:sz w:val="32"/>
          <w:szCs w:val="32"/>
        </w:rPr>
        <w:t>3</w:t>
      </w:r>
    </w:p>
    <w:p w14:paraId="795D68D5" w14:textId="77777777" w:rsidR="00152DBB" w:rsidRDefault="00152DBB" w:rsidP="00152DBB">
      <w:pPr>
        <w:pStyle w:val="Authors"/>
        <w:spacing w:line="360" w:lineRule="auto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F51B87">
        <w:rPr>
          <w:rFonts w:ascii="Times New Roman" w:eastAsiaTheme="minorHAnsi" w:hAnsi="Times New Roman"/>
          <w:b/>
          <w:sz w:val="28"/>
          <w:lang w:eastAsia="en-US"/>
        </w:rPr>
        <w:t>Approaching boiling point stability of an alcohol dehydrogenase through computationally-guided enzyme engineering</w:t>
      </w:r>
    </w:p>
    <w:p w14:paraId="0F8BA413" w14:textId="027768DC" w:rsidR="00152DBB" w:rsidRDefault="00152DBB" w:rsidP="00152DBB">
      <w:pPr>
        <w:pStyle w:val="Authors"/>
        <w:spacing w:line="360" w:lineRule="auto"/>
        <w:jc w:val="both"/>
        <w:rPr>
          <w:rFonts w:ascii="Times New Roman" w:hAnsi="Times New Roman"/>
        </w:rPr>
      </w:pPr>
      <w:proofErr w:type="spellStart"/>
      <w:r w:rsidRPr="00190982">
        <w:rPr>
          <w:rFonts w:ascii="Times New Roman" w:hAnsi="Times New Roman"/>
        </w:rPr>
        <w:t>Friso</w:t>
      </w:r>
      <w:proofErr w:type="spellEnd"/>
      <w:r w:rsidRPr="00190982">
        <w:rPr>
          <w:rFonts w:ascii="Times New Roman" w:hAnsi="Times New Roman"/>
        </w:rPr>
        <w:t xml:space="preserve"> S. </w:t>
      </w:r>
      <w:proofErr w:type="spellStart"/>
      <w:r w:rsidRPr="00190982">
        <w:rPr>
          <w:rFonts w:ascii="Times New Roman" w:hAnsi="Times New Roman"/>
        </w:rPr>
        <w:t>Aalbers</w:t>
      </w:r>
      <w:proofErr w:type="spellEnd"/>
      <w:r w:rsidRPr="00190982">
        <w:rPr>
          <w:rFonts w:ascii="Times New Roman" w:hAnsi="Times New Roman"/>
        </w:rPr>
        <w:t xml:space="preserve">, Maximilian J. L. J. </w:t>
      </w:r>
      <w:proofErr w:type="spellStart"/>
      <w:r w:rsidRPr="00190982">
        <w:rPr>
          <w:rFonts w:ascii="Times New Roman" w:hAnsi="Times New Roman"/>
        </w:rPr>
        <w:t>Fürst</w:t>
      </w:r>
      <w:proofErr w:type="spellEnd"/>
      <w:r w:rsidRPr="00190982">
        <w:rPr>
          <w:rFonts w:ascii="Times New Roman" w:hAnsi="Times New Roman"/>
        </w:rPr>
        <w:t xml:space="preserve">, Stefano </w:t>
      </w:r>
      <w:proofErr w:type="spellStart"/>
      <w:r w:rsidRPr="00190982">
        <w:rPr>
          <w:rFonts w:ascii="Times New Roman" w:hAnsi="Times New Roman"/>
        </w:rPr>
        <w:t>Rovida</w:t>
      </w:r>
      <w:proofErr w:type="spellEnd"/>
      <w:r w:rsidRPr="00190982">
        <w:rPr>
          <w:rFonts w:ascii="Times New Roman" w:hAnsi="Times New Roman"/>
        </w:rPr>
        <w:t>,</w:t>
      </w:r>
      <w:r w:rsidR="00E43720">
        <w:rPr>
          <w:rFonts w:ascii="Times New Roman" w:hAnsi="Times New Roman"/>
        </w:rPr>
        <w:t xml:space="preserve"> Milos </w:t>
      </w:r>
      <w:proofErr w:type="spellStart"/>
      <w:r w:rsidR="00E43720">
        <w:rPr>
          <w:rFonts w:ascii="Times New Roman" w:hAnsi="Times New Roman"/>
        </w:rPr>
        <w:t>Trajkovic</w:t>
      </w:r>
      <w:proofErr w:type="spellEnd"/>
      <w:r w:rsidR="00E43720">
        <w:rPr>
          <w:rFonts w:ascii="Times New Roman" w:hAnsi="Times New Roman"/>
        </w:rPr>
        <w:t>,</w:t>
      </w:r>
      <w:r w:rsidRPr="00190982">
        <w:rPr>
          <w:rFonts w:ascii="Times New Roman" w:hAnsi="Times New Roman"/>
        </w:rPr>
        <w:t xml:space="preserve"> </w:t>
      </w:r>
      <w:r w:rsidRPr="00485E5C">
        <w:rPr>
          <w:rFonts w:ascii="Times New Roman" w:hAnsi="Times New Roman"/>
        </w:rPr>
        <w:t>J</w:t>
      </w:r>
      <w:r w:rsidR="00E43720">
        <w:rPr>
          <w:rFonts w:ascii="Times New Roman" w:hAnsi="Times New Roman"/>
        </w:rPr>
        <w:t>.</w:t>
      </w:r>
      <w:r w:rsidRPr="00485E5C">
        <w:rPr>
          <w:rFonts w:ascii="Times New Roman" w:hAnsi="Times New Roman"/>
        </w:rPr>
        <w:t xml:space="preserve"> Rubén Gómez Castellanos, </w:t>
      </w:r>
      <w:r w:rsidRPr="00190982">
        <w:rPr>
          <w:rFonts w:ascii="Times New Roman" w:hAnsi="Times New Roman"/>
        </w:rPr>
        <w:t xml:space="preserve">Sebastian </w:t>
      </w:r>
      <w:proofErr w:type="spellStart"/>
      <w:r w:rsidRPr="00190982">
        <w:rPr>
          <w:rFonts w:ascii="Times New Roman" w:hAnsi="Times New Roman"/>
        </w:rPr>
        <w:t>Bartsch</w:t>
      </w:r>
      <w:proofErr w:type="spellEnd"/>
      <w:r w:rsidRPr="00190982">
        <w:rPr>
          <w:rFonts w:ascii="Times New Roman" w:hAnsi="Times New Roman"/>
        </w:rPr>
        <w:t xml:space="preserve">, Andreas Vogel, Andrea </w:t>
      </w:r>
      <w:proofErr w:type="spellStart"/>
      <w:r w:rsidRPr="00190982">
        <w:rPr>
          <w:rFonts w:ascii="Times New Roman" w:hAnsi="Times New Roman"/>
        </w:rPr>
        <w:t>Mattevi</w:t>
      </w:r>
      <w:proofErr w:type="spellEnd"/>
      <w:r w:rsidRPr="00190982">
        <w:rPr>
          <w:rFonts w:ascii="Times New Roman" w:hAnsi="Times New Roman"/>
        </w:rPr>
        <w:t xml:space="preserve">, and Marco W. </w:t>
      </w:r>
      <w:proofErr w:type="spellStart"/>
      <w:r w:rsidRPr="00190982">
        <w:rPr>
          <w:rFonts w:ascii="Times New Roman" w:hAnsi="Times New Roman"/>
        </w:rPr>
        <w:t>Fraaije</w:t>
      </w:r>
      <w:proofErr w:type="spellEnd"/>
    </w:p>
    <w:p w14:paraId="669F059D" w14:textId="77777777" w:rsidR="004D23DC" w:rsidRDefault="004D23DC" w:rsidP="006957EF">
      <w:p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</w:p>
    <w:p w14:paraId="0FB985BA" w14:textId="17059C5A" w:rsidR="006957EF" w:rsidRPr="0000090A" w:rsidRDefault="006957EF" w:rsidP="006957E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lang w:val="en-US"/>
        </w:rPr>
        <w:t>Supplementary file 3A</w:t>
      </w:r>
      <w:r>
        <w:rPr>
          <w:rFonts w:ascii="Times New Roman" w:hAnsi="Times New Roman" w:cs="Times New Roman"/>
          <w:b/>
          <w:szCs w:val="24"/>
        </w:rPr>
        <w:t xml:space="preserve">. </w:t>
      </w:r>
      <w:r w:rsidRPr="0074553B">
        <w:rPr>
          <w:rFonts w:ascii="Times New Roman" w:hAnsi="Times New Roman" w:cs="Times New Roman"/>
          <w:lang w:val="en-US"/>
        </w:rPr>
        <w:t>Predicted values (in Gibbs free energy ΔΔ</w:t>
      </w:r>
      <w:r w:rsidRPr="00872142">
        <w:rPr>
          <w:rFonts w:ascii="Times New Roman" w:hAnsi="Times New Roman" w:cs="Times New Roman"/>
          <w:i/>
          <w:iCs/>
          <w:lang w:val="en-US"/>
        </w:rPr>
        <w:t>G</w:t>
      </w:r>
      <w:r>
        <w:rPr>
          <w:rFonts w:ascii="Times New Roman" w:hAnsi="Times New Roman" w:cs="Times New Roman"/>
          <w:lang w:val="en-US"/>
        </w:rPr>
        <w:t>, kJ/</w:t>
      </w:r>
      <w:proofErr w:type="spellStart"/>
      <w:r>
        <w:rPr>
          <w:rFonts w:ascii="Times New Roman" w:hAnsi="Times New Roman" w:cs="Times New Roman"/>
          <w:lang w:val="en-US"/>
        </w:rPr>
        <w:t>mol</w:t>
      </w:r>
      <w:proofErr w:type="spellEnd"/>
      <w:r w:rsidRPr="0074553B">
        <w:rPr>
          <w:rFonts w:ascii="Times New Roman" w:hAnsi="Times New Roman" w:cs="Times New Roman"/>
          <w:lang w:val="en-US"/>
        </w:rPr>
        <w:t>) of hits and correlation to experimental data (apparent melting temperatures</w:t>
      </w:r>
      <w:r w:rsidR="00451D77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275"/>
        <w:gridCol w:w="1031"/>
        <w:gridCol w:w="1134"/>
        <w:gridCol w:w="1134"/>
        <w:gridCol w:w="993"/>
      </w:tblGrid>
      <w:tr w:rsidR="006957EF" w:rsidRPr="0000090A" w14:paraId="34B810F0" w14:textId="77777777" w:rsidTr="00533743">
        <w:trPr>
          <w:jc w:val="center"/>
        </w:trPr>
        <w:tc>
          <w:tcPr>
            <w:tcW w:w="988" w:type="dxa"/>
            <w:tcBorders>
              <w:bottom w:val="single" w:sz="12" w:space="0" w:color="auto"/>
            </w:tcBorders>
          </w:tcPr>
          <w:p w14:paraId="5B4BD895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7C0A5D2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Apparent melting T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04A62D07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values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61A20CF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Average (ΔΔ</w:t>
            </w:r>
            <w:r w:rsidRPr="008721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G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(kJ))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3699909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Median</w:t>
            </w:r>
          </w:p>
          <w:p w14:paraId="6520E794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(ΔΔ</w:t>
            </w:r>
            <w:r w:rsidRPr="008721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G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(kJ))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A60F587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Standard deviation</w:t>
            </w:r>
          </w:p>
        </w:tc>
      </w:tr>
      <w:tr w:rsidR="006957EF" w:rsidRPr="0000090A" w14:paraId="399F2C78" w14:textId="77777777" w:rsidTr="00533743">
        <w:trPr>
          <w:jc w:val="center"/>
        </w:trPr>
        <w:tc>
          <w:tcPr>
            <w:tcW w:w="988" w:type="dxa"/>
            <w:tcBorders>
              <w:top w:val="single" w:sz="12" w:space="0" w:color="auto"/>
            </w:tcBorders>
          </w:tcPr>
          <w:p w14:paraId="146E9950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FoldX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1FC4888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Selected (</w:t>
            </w: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≥ 3 ˚C)</w:t>
            </w:r>
          </w:p>
        </w:tc>
        <w:tc>
          <w:tcPr>
            <w:tcW w:w="1031" w:type="dxa"/>
            <w:tcBorders>
              <w:top w:val="single" w:sz="12" w:space="0" w:color="auto"/>
            </w:tcBorders>
          </w:tcPr>
          <w:p w14:paraId="76778BA1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3349400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31EAF38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B34F4C5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 5</w:t>
            </w:r>
          </w:p>
        </w:tc>
      </w:tr>
      <w:tr w:rsidR="006957EF" w:rsidRPr="0000090A" w14:paraId="2AAB76F4" w14:textId="77777777" w:rsidTr="00533743">
        <w:trPr>
          <w:jc w:val="center"/>
        </w:trPr>
        <w:tc>
          <w:tcPr>
            <w:tcW w:w="988" w:type="dxa"/>
          </w:tcPr>
          <w:p w14:paraId="2A79B7A9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FoldX</w:t>
            </w:r>
            <w:proofErr w:type="spellEnd"/>
          </w:p>
        </w:tc>
        <w:tc>
          <w:tcPr>
            <w:tcW w:w="1275" w:type="dxa"/>
          </w:tcPr>
          <w:p w14:paraId="1A878D7D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≥ 3 ˚C</w:t>
            </w:r>
          </w:p>
        </w:tc>
        <w:tc>
          <w:tcPr>
            <w:tcW w:w="1031" w:type="dxa"/>
          </w:tcPr>
          <w:p w14:paraId="5D4BA5A3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</w:tcPr>
          <w:p w14:paraId="3A1E4504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134" w:type="dxa"/>
          </w:tcPr>
          <w:p w14:paraId="364A8C63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993" w:type="dxa"/>
          </w:tcPr>
          <w:p w14:paraId="64F874F3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6957EF" w:rsidRPr="0000090A" w14:paraId="30DF18CA" w14:textId="77777777" w:rsidTr="00533743">
        <w:trPr>
          <w:jc w:val="center"/>
        </w:trPr>
        <w:tc>
          <w:tcPr>
            <w:tcW w:w="988" w:type="dxa"/>
          </w:tcPr>
          <w:p w14:paraId="0EFF3EF8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FoldX</w:t>
            </w:r>
            <w:proofErr w:type="spellEnd"/>
          </w:p>
        </w:tc>
        <w:tc>
          <w:tcPr>
            <w:tcW w:w="1275" w:type="dxa"/>
          </w:tcPr>
          <w:p w14:paraId="711F58C7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≥ 2 ˚C</w:t>
            </w:r>
          </w:p>
        </w:tc>
        <w:tc>
          <w:tcPr>
            <w:tcW w:w="1031" w:type="dxa"/>
          </w:tcPr>
          <w:p w14:paraId="5A9DBC55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</w:p>
        </w:tc>
        <w:tc>
          <w:tcPr>
            <w:tcW w:w="1134" w:type="dxa"/>
          </w:tcPr>
          <w:p w14:paraId="704EF466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</w:tcPr>
          <w:p w14:paraId="2002DFFF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-33</w:t>
            </w:r>
          </w:p>
        </w:tc>
        <w:tc>
          <w:tcPr>
            <w:tcW w:w="993" w:type="dxa"/>
          </w:tcPr>
          <w:p w14:paraId="295805B1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6957EF" w:rsidRPr="0000090A" w14:paraId="4785A939" w14:textId="77777777" w:rsidTr="00533743">
        <w:trPr>
          <w:jc w:val="center"/>
        </w:trPr>
        <w:tc>
          <w:tcPr>
            <w:tcW w:w="988" w:type="dxa"/>
          </w:tcPr>
          <w:p w14:paraId="79C6CDC7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FoldX</w:t>
            </w:r>
            <w:proofErr w:type="spellEnd"/>
          </w:p>
        </w:tc>
        <w:tc>
          <w:tcPr>
            <w:tcW w:w="1275" w:type="dxa"/>
          </w:tcPr>
          <w:p w14:paraId="5AD147AC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&lt; 2 ˚C</w:t>
            </w:r>
          </w:p>
        </w:tc>
        <w:tc>
          <w:tcPr>
            <w:tcW w:w="1031" w:type="dxa"/>
          </w:tcPr>
          <w:p w14:paraId="29B77F68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</w:t>
            </w:r>
          </w:p>
        </w:tc>
        <w:tc>
          <w:tcPr>
            <w:tcW w:w="1134" w:type="dxa"/>
          </w:tcPr>
          <w:p w14:paraId="7F9F7E29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24B7F2BE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-19</w:t>
            </w:r>
          </w:p>
        </w:tc>
        <w:tc>
          <w:tcPr>
            <w:tcW w:w="993" w:type="dxa"/>
          </w:tcPr>
          <w:p w14:paraId="3FE822A3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6957EF" w:rsidRPr="0000090A" w14:paraId="1914D8D8" w14:textId="77777777" w:rsidTr="00533743">
        <w:trPr>
          <w:jc w:val="center"/>
        </w:trPr>
        <w:tc>
          <w:tcPr>
            <w:tcW w:w="988" w:type="dxa"/>
            <w:tcBorders>
              <w:bottom w:val="single" w:sz="12" w:space="0" w:color="auto"/>
            </w:tcBorders>
          </w:tcPr>
          <w:p w14:paraId="6DB9B9A9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FoldX</w:t>
            </w:r>
            <w:proofErr w:type="spellEnd"/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9146CF4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≤ 0 ˚C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6FA4771F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37AE018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BF3A7B2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D755398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 12</w:t>
            </w:r>
          </w:p>
        </w:tc>
      </w:tr>
      <w:tr w:rsidR="006957EF" w:rsidRPr="0000090A" w14:paraId="69AD4691" w14:textId="77777777" w:rsidTr="00533743">
        <w:trPr>
          <w:jc w:val="center"/>
        </w:trPr>
        <w:tc>
          <w:tcPr>
            <w:tcW w:w="988" w:type="dxa"/>
            <w:tcBorders>
              <w:top w:val="single" w:sz="12" w:space="0" w:color="auto"/>
            </w:tcBorders>
          </w:tcPr>
          <w:p w14:paraId="4FCF9C3A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Rosetta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ddg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AA93B07" w14:textId="77777777" w:rsidR="006957EF" w:rsidRPr="00D47948" w:rsidRDefault="006957EF" w:rsidP="005337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Selected (</w:t>
            </w: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≥ 3 ˚C)</w:t>
            </w:r>
          </w:p>
        </w:tc>
        <w:tc>
          <w:tcPr>
            <w:tcW w:w="1031" w:type="dxa"/>
            <w:tcBorders>
              <w:top w:val="single" w:sz="12" w:space="0" w:color="auto"/>
            </w:tcBorders>
          </w:tcPr>
          <w:p w14:paraId="794A7333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8326ECD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1D1914F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FC02737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6957EF" w:rsidRPr="0000090A" w14:paraId="4AB7AC35" w14:textId="77777777" w:rsidTr="00533743">
        <w:trPr>
          <w:jc w:val="center"/>
        </w:trPr>
        <w:tc>
          <w:tcPr>
            <w:tcW w:w="988" w:type="dxa"/>
          </w:tcPr>
          <w:p w14:paraId="37791480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Rosetta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ddg</w:t>
            </w:r>
            <w:proofErr w:type="spellEnd"/>
          </w:p>
        </w:tc>
        <w:tc>
          <w:tcPr>
            <w:tcW w:w="1275" w:type="dxa"/>
          </w:tcPr>
          <w:p w14:paraId="3B143496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≥ 3 ˚C</w:t>
            </w:r>
          </w:p>
        </w:tc>
        <w:tc>
          <w:tcPr>
            <w:tcW w:w="1031" w:type="dxa"/>
          </w:tcPr>
          <w:p w14:paraId="11324047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</w:tcPr>
          <w:p w14:paraId="4FD898D7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-15</w:t>
            </w:r>
          </w:p>
        </w:tc>
        <w:tc>
          <w:tcPr>
            <w:tcW w:w="1134" w:type="dxa"/>
          </w:tcPr>
          <w:p w14:paraId="436C6106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-12</w:t>
            </w:r>
          </w:p>
        </w:tc>
        <w:tc>
          <w:tcPr>
            <w:tcW w:w="993" w:type="dxa"/>
          </w:tcPr>
          <w:p w14:paraId="2FD2F2C1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6957EF" w:rsidRPr="0000090A" w14:paraId="0F3E2245" w14:textId="77777777" w:rsidTr="00533743">
        <w:trPr>
          <w:jc w:val="center"/>
        </w:trPr>
        <w:tc>
          <w:tcPr>
            <w:tcW w:w="988" w:type="dxa"/>
          </w:tcPr>
          <w:p w14:paraId="03563BC8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Rosetta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ddg</w:t>
            </w:r>
            <w:proofErr w:type="spellEnd"/>
          </w:p>
        </w:tc>
        <w:tc>
          <w:tcPr>
            <w:tcW w:w="1275" w:type="dxa"/>
          </w:tcPr>
          <w:p w14:paraId="1E4028EC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≥ 2 ˚C</w:t>
            </w:r>
          </w:p>
        </w:tc>
        <w:tc>
          <w:tcPr>
            <w:tcW w:w="1031" w:type="dxa"/>
          </w:tcPr>
          <w:p w14:paraId="1E6EA13B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</w:t>
            </w:r>
          </w:p>
        </w:tc>
        <w:tc>
          <w:tcPr>
            <w:tcW w:w="1134" w:type="dxa"/>
          </w:tcPr>
          <w:p w14:paraId="152C1074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-16</w:t>
            </w:r>
          </w:p>
        </w:tc>
        <w:tc>
          <w:tcPr>
            <w:tcW w:w="1134" w:type="dxa"/>
          </w:tcPr>
          <w:p w14:paraId="567FF892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93" w:type="dxa"/>
          </w:tcPr>
          <w:p w14:paraId="066FEF5B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±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6957EF" w:rsidRPr="0000090A" w14:paraId="0D6A571B" w14:textId="77777777" w:rsidTr="00533743">
        <w:trPr>
          <w:jc w:val="center"/>
        </w:trPr>
        <w:tc>
          <w:tcPr>
            <w:tcW w:w="988" w:type="dxa"/>
          </w:tcPr>
          <w:p w14:paraId="5DB56AFC" w14:textId="77777777" w:rsidR="006957EF" w:rsidRPr="00D47948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Rosetta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ddg</w:t>
            </w:r>
            <w:proofErr w:type="spellEnd"/>
          </w:p>
        </w:tc>
        <w:tc>
          <w:tcPr>
            <w:tcW w:w="1275" w:type="dxa"/>
          </w:tcPr>
          <w:p w14:paraId="13D62F0D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Δ</w:t>
            </w:r>
            <w:r w:rsidRPr="00D4794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  <w:r w:rsidRPr="00D4794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  <w:proofErr w:type="spellEnd"/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&lt; 2 ˚C</w:t>
            </w:r>
          </w:p>
        </w:tc>
        <w:tc>
          <w:tcPr>
            <w:tcW w:w="1031" w:type="dxa"/>
          </w:tcPr>
          <w:p w14:paraId="1AD7AF9C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108</w:t>
            </w:r>
          </w:p>
        </w:tc>
        <w:tc>
          <w:tcPr>
            <w:tcW w:w="1134" w:type="dxa"/>
          </w:tcPr>
          <w:p w14:paraId="5F78BBC0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-14</w:t>
            </w:r>
          </w:p>
        </w:tc>
        <w:tc>
          <w:tcPr>
            <w:tcW w:w="1134" w:type="dxa"/>
          </w:tcPr>
          <w:p w14:paraId="35C7AAEA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14:paraId="47F497A4" w14:textId="77777777" w:rsidR="006957EF" w:rsidRPr="00D47948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9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6957EF" w:rsidRPr="0000090A" w14:paraId="1081881D" w14:textId="77777777" w:rsidTr="00533743">
        <w:trPr>
          <w:jc w:val="center"/>
        </w:trPr>
        <w:tc>
          <w:tcPr>
            <w:tcW w:w="988" w:type="dxa"/>
          </w:tcPr>
          <w:p w14:paraId="439C6932" w14:textId="77777777" w:rsidR="006957EF" w:rsidRPr="0000090A" w:rsidRDefault="006957EF" w:rsidP="0053374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proofErr w:type="spellStart"/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Rosetta</w:t>
            </w:r>
            <w:r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ddg</w:t>
            </w:r>
            <w:proofErr w:type="spellEnd"/>
          </w:p>
        </w:tc>
        <w:tc>
          <w:tcPr>
            <w:tcW w:w="1275" w:type="dxa"/>
          </w:tcPr>
          <w:p w14:paraId="627C7A74" w14:textId="77777777" w:rsidR="006957EF" w:rsidRPr="0000090A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proofErr w:type="spellStart"/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Δ</w:t>
            </w:r>
            <w:r w:rsidRPr="006653C1">
              <w:rPr>
                <w:rFonts w:ascii="Times New Roman" w:hAnsi="Times New Roman" w:cs="Times New Roman"/>
                <w:i/>
                <w:sz w:val="20"/>
                <w:szCs w:val="24"/>
                <w:lang w:val="en-GB"/>
              </w:rPr>
              <w:t>T</w:t>
            </w:r>
            <w:r w:rsidRPr="0000090A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GB"/>
              </w:rPr>
              <w:t>m</w:t>
            </w:r>
            <w:proofErr w:type="spellEnd"/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 xml:space="preserve"> ≤ 0 ˚C</w:t>
            </w:r>
          </w:p>
        </w:tc>
        <w:tc>
          <w:tcPr>
            <w:tcW w:w="1031" w:type="dxa"/>
          </w:tcPr>
          <w:p w14:paraId="5C72A56E" w14:textId="77777777" w:rsidR="006957EF" w:rsidRPr="0000090A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74</w:t>
            </w:r>
          </w:p>
        </w:tc>
        <w:tc>
          <w:tcPr>
            <w:tcW w:w="1134" w:type="dxa"/>
          </w:tcPr>
          <w:p w14:paraId="35415F61" w14:textId="77777777" w:rsidR="006957EF" w:rsidRPr="0000090A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4</w:t>
            </w:r>
          </w:p>
        </w:tc>
        <w:tc>
          <w:tcPr>
            <w:tcW w:w="1134" w:type="dxa"/>
          </w:tcPr>
          <w:p w14:paraId="27F4CDBA" w14:textId="77777777" w:rsidR="006957EF" w:rsidRPr="0000090A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1</w:t>
            </w:r>
          </w:p>
        </w:tc>
        <w:tc>
          <w:tcPr>
            <w:tcW w:w="993" w:type="dxa"/>
          </w:tcPr>
          <w:p w14:paraId="758528F7" w14:textId="77777777" w:rsidR="006957EF" w:rsidRPr="0000090A" w:rsidRDefault="006957EF" w:rsidP="005337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00090A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9</w:t>
            </w:r>
          </w:p>
        </w:tc>
      </w:tr>
    </w:tbl>
    <w:p w14:paraId="7DA60BD5" w14:textId="115E6E34" w:rsidR="006957EF" w:rsidRPr="005F2D08" w:rsidRDefault="006957EF" w:rsidP="006957EF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74553B">
        <w:rPr>
          <w:rFonts w:ascii="Times New Roman" w:hAnsi="Times New Roman" w:cs="Times New Roman"/>
          <w:lang w:val="en-US"/>
        </w:rPr>
        <w:t xml:space="preserve">As with </w:t>
      </w:r>
      <w:r w:rsidR="004D23DC">
        <w:rPr>
          <w:rFonts w:ascii="Times New Roman" w:hAnsi="Times New Roman" w:cs="Times New Roman"/>
          <w:b/>
          <w:bCs/>
          <w:lang w:val="en-US"/>
        </w:rPr>
        <w:t>Supplementary file 3B</w:t>
      </w:r>
      <w:r w:rsidRPr="00A42D81">
        <w:rPr>
          <w:rFonts w:ascii="Times New Roman" w:hAnsi="Times New Roman" w:cs="Times New Roman"/>
          <w:b/>
          <w:bCs/>
          <w:lang w:val="en-US"/>
        </w:rPr>
        <w:t>,</w:t>
      </w:r>
      <w:r w:rsidRPr="0074553B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Pr="0074553B">
        <w:rPr>
          <w:rFonts w:ascii="Times New Roman" w:hAnsi="Times New Roman" w:cs="Times New Roman"/>
          <w:lang w:val="en-US"/>
        </w:rPr>
        <w:t>FoldX</w:t>
      </w:r>
      <w:proofErr w:type="spellEnd"/>
      <w:r w:rsidRPr="0074553B">
        <w:rPr>
          <w:rFonts w:ascii="Times New Roman" w:hAnsi="Times New Roman" w:cs="Times New Roman"/>
          <w:lang w:val="en-US"/>
        </w:rPr>
        <w:t xml:space="preserve"> values show better correlation with the experimental data. The lower the number of values for a particular correlation, the less v</w:t>
      </w:r>
      <w:bookmarkStart w:id="0" w:name="_GoBack"/>
      <w:bookmarkEnd w:id="0"/>
      <w:r w:rsidRPr="0074553B">
        <w:rPr>
          <w:rFonts w:ascii="Times New Roman" w:hAnsi="Times New Roman" w:cs="Times New Roman"/>
          <w:lang w:val="en-US"/>
        </w:rPr>
        <w:t>aluable the correlation, due to low sample size.</w:t>
      </w:r>
    </w:p>
    <w:p w14:paraId="0962BA71" w14:textId="77777777" w:rsidR="006957EF" w:rsidRDefault="006957EF" w:rsidP="006957E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1E3DAEE" wp14:editId="7D52C881">
            <wp:extent cx="4038600" cy="175360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87" cy="178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3038" w14:textId="61A4FBD8" w:rsidR="006957EF" w:rsidRPr="004D23DC" w:rsidRDefault="006957EF" w:rsidP="004D23D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lang w:val="en-US"/>
        </w:rPr>
        <w:t>Supplementary file 3B</w:t>
      </w:r>
      <w:r>
        <w:rPr>
          <w:rFonts w:ascii="Times New Roman" w:hAnsi="Times New Roman" w:cs="Times New Roman"/>
          <w:b/>
          <w:szCs w:val="24"/>
        </w:rPr>
        <w:t xml:space="preserve">. </w:t>
      </w:r>
      <w:r w:rsidRPr="0000090A">
        <w:rPr>
          <w:rFonts w:ascii="Times New Roman" w:hAnsi="Times New Roman" w:cs="Times New Roman"/>
          <w:szCs w:val="24"/>
        </w:rPr>
        <w:t>Calculated values compared to observed melting temperatures</w:t>
      </w:r>
      <w:r>
        <w:rPr>
          <w:rFonts w:ascii="Times New Roman" w:hAnsi="Times New Roman" w:cs="Times New Roman"/>
          <w:szCs w:val="24"/>
        </w:rPr>
        <w:t xml:space="preserve">, fitted with linear regression in </w:t>
      </w:r>
      <w:proofErr w:type="spellStart"/>
      <w:r>
        <w:rPr>
          <w:rFonts w:ascii="Times New Roman" w:hAnsi="Times New Roman" w:cs="Times New Roman"/>
          <w:szCs w:val="24"/>
        </w:rPr>
        <w:t>GraphPad</w:t>
      </w:r>
      <w:proofErr w:type="spellEnd"/>
      <w:r>
        <w:rPr>
          <w:rFonts w:ascii="Times New Roman" w:hAnsi="Times New Roman" w:cs="Times New Roman"/>
          <w:szCs w:val="24"/>
        </w:rPr>
        <w:t xml:space="preserve"> prism 6.07.</w:t>
      </w:r>
      <w:r w:rsidR="005F2D08">
        <w:rPr>
          <w:rFonts w:ascii="Times New Roman" w:hAnsi="Times New Roman" w:cs="Times New Roman"/>
          <w:szCs w:val="24"/>
          <w:lang w:val="en-US"/>
        </w:rPr>
        <w:t xml:space="preserve"> The graph depicts the slope from the linear regression, with the dotted lines representing the 95% confidence intervals of the slopes.</w:t>
      </w:r>
      <w:r>
        <w:rPr>
          <w:rFonts w:ascii="Times New Roman" w:hAnsi="Times New Roman" w:cs="Times New Roman"/>
          <w:szCs w:val="24"/>
        </w:rPr>
        <w:t xml:space="preserve"> </w:t>
      </w:r>
      <w:r w:rsidRPr="0000090A">
        <w:rPr>
          <w:rFonts w:ascii="Times New Roman" w:hAnsi="Times New Roman" w:cs="Times New Roman"/>
          <w:lang w:val="en-US"/>
        </w:rPr>
        <w:t>Rosetta</w:t>
      </w:r>
      <w:r>
        <w:rPr>
          <w:rFonts w:ascii="Times New Roman" w:hAnsi="Times New Roman" w:cs="Times New Roman"/>
          <w:lang w:val="en-US"/>
        </w:rPr>
        <w:t xml:space="preserve"> (left pane, circles)</w:t>
      </w:r>
      <w:r w:rsidRPr="0000090A">
        <w:rPr>
          <w:rFonts w:ascii="Times New Roman" w:hAnsi="Times New Roman" w:cs="Times New Roman"/>
          <w:lang w:val="en-US"/>
        </w:rPr>
        <w:t>:</w:t>
      </w:r>
      <w:r w:rsidR="0072261A" w:rsidRPr="0072261A">
        <w:rPr>
          <w:rFonts w:ascii="Times New Roman" w:hAnsi="Times New Roman" w:cs="Times New Roman"/>
          <w:lang w:val="en-US"/>
        </w:rPr>
        <w:t xml:space="preserve"> </w:t>
      </w:r>
      <w:r w:rsidR="0072261A" w:rsidRPr="0000090A">
        <w:rPr>
          <w:rFonts w:ascii="Times New Roman" w:hAnsi="Times New Roman" w:cs="Times New Roman"/>
          <w:lang w:val="en-US"/>
        </w:rPr>
        <w:t>Pearson correlation of r = 0.</w:t>
      </w:r>
      <w:r w:rsidR="0072261A">
        <w:rPr>
          <w:rFonts w:ascii="Times New Roman" w:hAnsi="Times New Roman" w:cs="Times New Roman"/>
          <w:lang w:val="en-US"/>
        </w:rPr>
        <w:t>09</w:t>
      </w:r>
      <w:r w:rsidR="0072261A" w:rsidRPr="0000090A">
        <w:rPr>
          <w:rFonts w:ascii="Times New Roman" w:hAnsi="Times New Roman" w:cs="Times New Roman"/>
          <w:lang w:val="en-US"/>
        </w:rPr>
        <w:t xml:space="preserve">; </w:t>
      </w:r>
      <w:r w:rsidR="0072261A">
        <w:rPr>
          <w:rFonts w:ascii="Times New Roman" w:hAnsi="Times New Roman" w:cs="Times New Roman"/>
          <w:lang w:val="en-US"/>
        </w:rPr>
        <w:t>no significant correlation</w:t>
      </w:r>
      <w:r w:rsidR="0072261A" w:rsidRPr="0000090A">
        <w:rPr>
          <w:rFonts w:ascii="Times New Roman" w:hAnsi="Times New Roman" w:cs="Times New Roman"/>
          <w:lang w:val="en-US"/>
        </w:rPr>
        <w:t xml:space="preserve"> (P </w:t>
      </w:r>
      <w:r w:rsidR="0072261A">
        <w:rPr>
          <w:rFonts w:ascii="Times New Roman" w:hAnsi="Times New Roman" w:cs="Times New Roman"/>
          <w:lang w:val="en-US"/>
        </w:rPr>
        <w:t>=</w:t>
      </w:r>
      <w:r w:rsidR="0072261A" w:rsidRPr="0000090A">
        <w:rPr>
          <w:rFonts w:ascii="Times New Roman" w:hAnsi="Times New Roman" w:cs="Times New Roman"/>
          <w:lang w:val="en-US"/>
        </w:rPr>
        <w:t xml:space="preserve"> 0.</w:t>
      </w:r>
      <w:r w:rsidR="0072261A">
        <w:rPr>
          <w:rFonts w:ascii="Times New Roman" w:hAnsi="Times New Roman" w:cs="Times New Roman"/>
          <w:lang w:val="en-US"/>
        </w:rPr>
        <w:t>25</w:t>
      </w:r>
      <w:r w:rsidR="0072261A" w:rsidRPr="0000090A">
        <w:rPr>
          <w:rFonts w:ascii="Times New Roman" w:hAnsi="Times New Roman" w:cs="Times New Roman"/>
          <w:lang w:val="en-US"/>
        </w:rPr>
        <w:t>)</w:t>
      </w:r>
      <w:r w:rsidRPr="0000090A">
        <w:rPr>
          <w:rFonts w:ascii="Times New Roman" w:hAnsi="Times New Roman" w:cs="Times New Roman"/>
          <w:lang w:val="en-US"/>
        </w:rPr>
        <w:t xml:space="preserve"> between apparent </w:t>
      </w:r>
      <w:r w:rsidRPr="00571C82">
        <w:rPr>
          <w:rFonts w:ascii="Times New Roman" w:hAnsi="Times New Roman" w:cs="Times New Roman"/>
          <w:i/>
          <w:lang w:val="en-US"/>
        </w:rPr>
        <w:t>T</w:t>
      </w:r>
      <w:r w:rsidRPr="0000090A">
        <w:rPr>
          <w:rFonts w:ascii="Times New Roman" w:hAnsi="Times New Roman" w:cs="Times New Roman"/>
          <w:vertAlign w:val="subscript"/>
          <w:lang w:val="en-US"/>
        </w:rPr>
        <w:t>m</w:t>
      </w:r>
      <w:r w:rsidRPr="0000090A">
        <w:rPr>
          <w:rFonts w:ascii="Times New Roman" w:hAnsi="Times New Roman" w:cs="Times New Roman"/>
          <w:lang w:val="en-US"/>
        </w:rPr>
        <w:t xml:space="preserve"> measurements and calculated stabilization (</w:t>
      </w:r>
      <w:r w:rsidRPr="0000090A">
        <w:rPr>
          <w:rFonts w:ascii="Times New Roman" w:hAnsi="Times New Roman" w:cs="Times New Roman"/>
        </w:rPr>
        <w:t>ΔΔ</w:t>
      </w:r>
      <w:proofErr w:type="spellStart"/>
      <w:r w:rsidRPr="00C23287">
        <w:rPr>
          <w:rFonts w:ascii="Times New Roman" w:hAnsi="Times New Roman" w:cs="Times New Roman"/>
          <w:i/>
          <w:lang w:val="en-US"/>
        </w:rPr>
        <w:t>G</w:t>
      </w:r>
      <w:r w:rsidRPr="0000090A">
        <w:rPr>
          <w:rFonts w:ascii="Times New Roman" w:hAnsi="Times New Roman" w:cs="Times New Roman"/>
          <w:vertAlign w:val="superscript"/>
          <w:lang w:val="en-US"/>
        </w:rPr>
        <w:t>Fold</w:t>
      </w:r>
      <w:proofErr w:type="spellEnd"/>
      <w:r w:rsidRPr="0000090A">
        <w:rPr>
          <w:rFonts w:ascii="Times New Roman" w:hAnsi="Times New Roman" w:cs="Times New Roman"/>
          <w:lang w:val="en-US"/>
        </w:rPr>
        <w:t>, more negative is more stable)</w:t>
      </w:r>
      <w:r w:rsidR="0072261A" w:rsidRPr="007226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090A">
        <w:rPr>
          <w:rFonts w:ascii="Times New Roman" w:hAnsi="Times New Roman" w:cs="Times New Roman"/>
          <w:lang w:val="en-US"/>
        </w:rPr>
        <w:t>FoldX</w:t>
      </w:r>
      <w:proofErr w:type="spellEnd"/>
      <w:r>
        <w:rPr>
          <w:rFonts w:ascii="Times New Roman" w:hAnsi="Times New Roman" w:cs="Times New Roman"/>
          <w:lang w:val="en-US"/>
        </w:rPr>
        <w:t xml:space="preserve"> (right pane, diamonds)</w:t>
      </w:r>
      <w:r w:rsidRPr="0000090A">
        <w:rPr>
          <w:rFonts w:ascii="Times New Roman" w:hAnsi="Times New Roman" w:cs="Times New Roman"/>
          <w:lang w:val="en-US"/>
        </w:rPr>
        <w:t>: Pearson correlation of r = 0.3; significant corre</w:t>
      </w:r>
      <w:r w:rsidR="0072261A">
        <w:rPr>
          <w:rFonts w:ascii="Times New Roman" w:hAnsi="Times New Roman" w:cs="Times New Roman"/>
          <w:lang w:val="en-US"/>
        </w:rPr>
        <w:t>lation</w:t>
      </w:r>
      <w:r w:rsidRPr="0000090A">
        <w:rPr>
          <w:rFonts w:ascii="Times New Roman" w:hAnsi="Times New Roman" w:cs="Times New Roman"/>
          <w:lang w:val="en-US"/>
        </w:rPr>
        <w:t xml:space="preserve"> (P &lt; 0.02).</w:t>
      </w:r>
    </w:p>
    <w:sectPr w:rsidR="006957EF" w:rsidRPr="004D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iso Aalbers">
    <w15:presenceInfo w15:providerId="Windows Live" w15:userId="2ae33d74dc82de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BB"/>
    <w:rsid w:val="00152DBB"/>
    <w:rsid w:val="00377CBD"/>
    <w:rsid w:val="00451D77"/>
    <w:rsid w:val="004D23DC"/>
    <w:rsid w:val="005F2D08"/>
    <w:rsid w:val="006957EF"/>
    <w:rsid w:val="0072261A"/>
    <w:rsid w:val="007B0F81"/>
    <w:rsid w:val="00996E17"/>
    <w:rsid w:val="00A37F4E"/>
    <w:rsid w:val="00E4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7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52DBB"/>
    <w:pPr>
      <w:keepNext/>
      <w:keepLines/>
      <w:spacing w:before="240"/>
      <w:outlineLvl w:val="0"/>
    </w:pPr>
    <w:rPr>
      <w:rFonts w:ascii="Calibri" w:eastAsia="Calibri" w:hAnsi="Calibri" w:cs="Calibri"/>
      <w:b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2DBB"/>
    <w:rPr>
      <w:rFonts w:ascii="Calibri" w:eastAsia="Calibri" w:hAnsi="Calibri" w:cs="Calibri"/>
      <w:b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152DB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qFormat/>
    <w:rsid w:val="00152DBB"/>
    <w:pPr>
      <w:spacing w:before="120" w:after="120" w:line="320" w:lineRule="exact"/>
    </w:pPr>
    <w:rPr>
      <w:rFonts w:ascii="Arial" w:eastAsia="MS Mincho" w:hAnsi="Arial" w:cs="Times New Roman"/>
      <w:szCs w:val="24"/>
      <w:lang w:eastAsia="ja-JP"/>
    </w:rPr>
  </w:style>
  <w:style w:type="paragraph" w:styleId="NoSpacing">
    <w:name w:val="No Spacing"/>
    <w:uiPriority w:val="1"/>
    <w:qFormat/>
    <w:rsid w:val="00152DBB"/>
    <w:pPr>
      <w:spacing w:after="0" w:line="240" w:lineRule="auto"/>
    </w:pPr>
    <w:rPr>
      <w:lang w:val="en-US"/>
    </w:rPr>
  </w:style>
  <w:style w:type="table" w:customStyle="1" w:styleId="TableNormal1">
    <w:name w:val="Table Normal1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52DBB"/>
    <w:pPr>
      <w:keepNext/>
      <w:keepLines/>
      <w:spacing w:before="240"/>
      <w:outlineLvl w:val="0"/>
    </w:pPr>
    <w:rPr>
      <w:rFonts w:ascii="Calibri" w:eastAsia="Calibri" w:hAnsi="Calibri" w:cs="Calibri"/>
      <w:b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2DBB"/>
    <w:rPr>
      <w:rFonts w:ascii="Calibri" w:eastAsia="Calibri" w:hAnsi="Calibri" w:cs="Calibri"/>
      <w:b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152DB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qFormat/>
    <w:rsid w:val="00152DBB"/>
    <w:pPr>
      <w:spacing w:before="120" w:after="120" w:line="320" w:lineRule="exact"/>
    </w:pPr>
    <w:rPr>
      <w:rFonts w:ascii="Arial" w:eastAsia="MS Mincho" w:hAnsi="Arial" w:cs="Times New Roman"/>
      <w:szCs w:val="24"/>
      <w:lang w:eastAsia="ja-JP"/>
    </w:rPr>
  </w:style>
  <w:style w:type="paragraph" w:styleId="NoSpacing">
    <w:name w:val="No Spacing"/>
    <w:uiPriority w:val="1"/>
    <w:qFormat/>
    <w:rsid w:val="00152DBB"/>
    <w:pPr>
      <w:spacing w:after="0" w:line="240" w:lineRule="auto"/>
    </w:pPr>
    <w:rPr>
      <w:lang w:val="en-US"/>
    </w:rPr>
  </w:style>
  <w:style w:type="table" w:customStyle="1" w:styleId="TableNormal1">
    <w:name w:val="Table Normal1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Friso Aalbers</dc:creator>
  <cp:lastModifiedBy>Hewlett-Packard Company</cp:lastModifiedBy>
  <cp:revision>2</cp:revision>
  <dcterms:created xsi:type="dcterms:W3CDTF">2020-03-19T16:40:00Z</dcterms:created>
  <dcterms:modified xsi:type="dcterms:W3CDTF">2020-03-19T16:40:00Z</dcterms:modified>
</cp:coreProperties>
</file>