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F0B35" w14:textId="66DE06B9" w:rsidR="008435C2" w:rsidRPr="00AB5B27" w:rsidRDefault="00E30AF7" w:rsidP="008435C2">
      <w:r>
        <w:softHyphen/>
      </w:r>
      <w:r>
        <w:softHyphen/>
      </w:r>
      <w:r>
        <w:softHyphen/>
      </w:r>
      <w:r>
        <w:softHyphen/>
      </w:r>
      <w:r w:rsidR="008435C2">
        <w:rPr>
          <w:b/>
        </w:rPr>
        <w:t>Supplementa</w:t>
      </w:r>
      <w:r w:rsidR="00B8497B">
        <w:rPr>
          <w:b/>
        </w:rPr>
        <w:t xml:space="preserve">ry File </w:t>
      </w:r>
      <w:r w:rsidR="008435C2" w:rsidRPr="006C5CE7">
        <w:rPr>
          <w:b/>
        </w:rPr>
        <w:t>1</w:t>
      </w:r>
      <w:r w:rsidR="00B8497B">
        <w:rPr>
          <w:b/>
        </w:rPr>
        <w:t>A</w:t>
      </w:r>
      <w:r w:rsidR="008435C2" w:rsidRPr="006C5CE7">
        <w:rPr>
          <w:b/>
        </w:rPr>
        <w:t xml:space="preserve">. Probes and associated weights composing the </w:t>
      </w:r>
      <w:proofErr w:type="spellStart"/>
      <w:r w:rsidR="008435C2">
        <w:rPr>
          <w:b/>
        </w:rPr>
        <w:t>DunedinPoAm</w:t>
      </w:r>
      <w:proofErr w:type="spellEnd"/>
      <w:r w:rsidR="008435C2" w:rsidRPr="006C5CE7">
        <w:rPr>
          <w:b/>
        </w:rPr>
        <w:t xml:space="preserve"> algorithm.</w:t>
      </w:r>
      <w:r w:rsidR="008435C2">
        <w:rPr>
          <w:b/>
        </w:rPr>
        <w:t xml:space="preserve"> </w:t>
      </w:r>
      <w:r w:rsidR="008435C2">
        <w:t xml:space="preserve">The </w:t>
      </w:r>
      <w:proofErr w:type="spellStart"/>
      <w:r w:rsidR="008435C2">
        <w:t>DunedinPoAm</w:t>
      </w:r>
      <w:proofErr w:type="spellEnd"/>
      <w:r w:rsidR="008435C2">
        <w:t xml:space="preserve"> algorithm is a linear combination of 46 CpG methylation beta values weighted by coefficients estimated in the elastic net regression and added to the model intercept value of -0.06. (For sensitivity analyses addressing normalization method, and specific probes, see Supplement section 3.)</w:t>
      </w:r>
      <w:r w:rsidR="00A07F0F">
        <w:t xml:space="preserve"> R code to implement the </w:t>
      </w:r>
      <w:proofErr w:type="spellStart"/>
      <w:r w:rsidR="00A07F0F">
        <w:t>DunedinPoAm</w:t>
      </w:r>
      <w:proofErr w:type="spellEnd"/>
      <w:r w:rsidR="00A07F0F">
        <w:t xml:space="preserve"> scoring algorithm is included as supplemental file “DunedinPoAm_Projector.zip”.</w:t>
      </w:r>
    </w:p>
    <w:p w14:paraId="58EDA2FB" w14:textId="7F634E94" w:rsidR="008435C2" w:rsidRPr="006C5CE7" w:rsidRDefault="005F289B" w:rsidP="008435C2">
      <w:pPr>
        <w:rPr>
          <w:b/>
        </w:rPr>
      </w:pPr>
      <w:r w:rsidRPr="005F289B">
        <w:rPr>
          <w:b/>
        </w:rPr>
        <w:drawing>
          <wp:inline distT="0" distB="0" distL="0" distR="0" wp14:anchorId="1FCA7B47" wp14:editId="61A8DFFA">
            <wp:extent cx="4489704" cy="7079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96304" cy="7089928"/>
                    </a:xfrm>
                    <a:prstGeom prst="rect">
                      <a:avLst/>
                    </a:prstGeom>
                  </pic:spPr>
                </pic:pic>
              </a:graphicData>
            </a:graphic>
          </wp:inline>
        </w:drawing>
      </w:r>
    </w:p>
    <w:p w14:paraId="2F924FE6" w14:textId="77777777" w:rsidR="008435C2" w:rsidRDefault="008435C2" w:rsidP="008435C2">
      <w:pPr>
        <w:rPr>
          <w:rFonts w:cstheme="minorHAnsi"/>
          <w:b/>
        </w:rPr>
      </w:pPr>
    </w:p>
    <w:p w14:paraId="1B1006CB" w14:textId="77777777" w:rsidR="008435C2" w:rsidRDefault="008435C2" w:rsidP="008435C2">
      <w:pPr>
        <w:rPr>
          <w:rFonts w:cstheme="minorHAnsi"/>
          <w:b/>
        </w:rPr>
      </w:pPr>
    </w:p>
    <w:p w14:paraId="6BEAE990" w14:textId="54237899" w:rsidR="00E30AF7" w:rsidRPr="00C4112B" w:rsidRDefault="00B8497B" w:rsidP="00E30AF7">
      <w:r>
        <w:softHyphen/>
      </w:r>
      <w:r>
        <w:softHyphen/>
      </w:r>
      <w:r>
        <w:softHyphen/>
      </w:r>
      <w:r>
        <w:softHyphen/>
      </w:r>
      <w:r>
        <w:rPr>
          <w:b/>
        </w:rPr>
        <w:t xml:space="preserve">Supplementary File </w:t>
      </w:r>
      <w:r w:rsidRPr="006C5CE7">
        <w:rPr>
          <w:b/>
        </w:rPr>
        <w:t>1</w:t>
      </w:r>
      <w:r>
        <w:rPr>
          <w:b/>
        </w:rPr>
        <w:t>B</w:t>
      </w:r>
      <w:r w:rsidR="00E30AF7">
        <w:rPr>
          <w:b/>
        </w:rPr>
        <w:t xml:space="preserve">. Comparison of age-38 </w:t>
      </w:r>
      <w:proofErr w:type="spellStart"/>
      <w:r w:rsidR="007F4452">
        <w:rPr>
          <w:b/>
        </w:rPr>
        <w:t>DundedinPoAm</w:t>
      </w:r>
      <w:proofErr w:type="spellEnd"/>
      <w:r w:rsidR="00E30AF7">
        <w:rPr>
          <w:b/>
        </w:rPr>
        <w:t xml:space="preserve"> and age 26-38 Pace of Aging effect-sizes for analysis of </w:t>
      </w:r>
      <w:proofErr w:type="spellStart"/>
      <w:r w:rsidR="00E30AF7">
        <w:rPr>
          <w:b/>
        </w:rPr>
        <w:t>healthspan</w:t>
      </w:r>
      <w:proofErr w:type="spellEnd"/>
      <w:r w:rsidR="00E30AF7">
        <w:rPr>
          <w:b/>
        </w:rPr>
        <w:t xml:space="preserve">-related characteristics. </w:t>
      </w:r>
      <w:r w:rsidR="00E30AF7" w:rsidRPr="0070365C">
        <w:rPr>
          <w:bCs/>
        </w:rPr>
        <w:t xml:space="preserve">The </w:t>
      </w:r>
      <w:r w:rsidR="00E30AF7">
        <w:t xml:space="preserve">table shows effect-sizes for analysis of </w:t>
      </w:r>
      <w:proofErr w:type="spellStart"/>
      <w:r w:rsidR="00E30AF7">
        <w:t>healthspan</w:t>
      </w:r>
      <w:proofErr w:type="spellEnd"/>
      <w:r w:rsidR="00E30AF7">
        <w:t xml:space="preserve">-related characteristics at age 45 years. </w:t>
      </w:r>
      <w:proofErr w:type="spellStart"/>
      <w:r w:rsidR="00E30AF7">
        <w:t>mPoA</w:t>
      </w:r>
      <w:proofErr w:type="spellEnd"/>
      <w:r w:rsidR="00E30AF7">
        <w:t xml:space="preserve"> was measured from blood DNA methylation collected when Study members were aged 38 years. Pace of Aging was measured from longitudinal change in 18 biomarkers across measurements made at ages 26, 32, and 38 years. Sample restricted to N=810 Study members with data on </w:t>
      </w:r>
      <w:proofErr w:type="spellStart"/>
      <w:r w:rsidR="00E30AF7">
        <w:t>mPoA</w:t>
      </w:r>
      <w:proofErr w:type="spellEnd"/>
      <w:r w:rsidR="00E30AF7">
        <w:t xml:space="preserve"> and Pace of Aging. Effect-sizes correspond to the analysis reported in </w:t>
      </w:r>
      <w:r w:rsidR="00E30AF7" w:rsidRPr="009F1B66">
        <w:rPr>
          <w:b/>
        </w:rPr>
        <w:t>Supplemental Figure 1B</w:t>
      </w:r>
      <w:r w:rsidR="00E30AF7">
        <w:t xml:space="preserve"> and are reported in terms of standard deviation differences in the age-45 outcome associated with a 1 standard deviation increase in </w:t>
      </w:r>
      <w:proofErr w:type="spellStart"/>
      <w:r w:rsidR="00E30AF7">
        <w:t>mPoA</w:t>
      </w:r>
      <w:proofErr w:type="spellEnd"/>
      <w:r w:rsidR="00E30AF7">
        <w:t xml:space="preserve"> (i.e. effect-sizes are interpretable as Pearson r). All models were adjusted for sex.</w:t>
      </w:r>
    </w:p>
    <w:p w14:paraId="2E0F329F" w14:textId="77777777" w:rsidR="00E30AF7" w:rsidRDefault="00E30AF7" w:rsidP="00E30AF7">
      <w:pPr>
        <w:rPr>
          <w:b/>
        </w:rPr>
      </w:pPr>
    </w:p>
    <w:p w14:paraId="1815DA9A" w14:textId="1082B088" w:rsidR="00E30AF7" w:rsidRPr="00C4112B" w:rsidRDefault="007F4452" w:rsidP="00E30AF7">
      <w:pPr>
        <w:rPr>
          <w:b/>
        </w:rPr>
      </w:pPr>
      <w:r w:rsidRPr="007F4452">
        <w:rPr>
          <w:b/>
          <w:noProof/>
        </w:rPr>
        <w:drawing>
          <wp:inline distT="0" distB="0" distL="0" distR="0" wp14:anchorId="00BB1A51" wp14:editId="7A83C1AA">
            <wp:extent cx="5943600" cy="2719070"/>
            <wp:effectExtent l="12700" t="12700" r="12700" b="1143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719070"/>
                    </a:xfrm>
                    <a:prstGeom prst="rect">
                      <a:avLst/>
                    </a:prstGeom>
                    <a:ln w="3175">
                      <a:solidFill>
                        <a:schemeClr val="tx1"/>
                      </a:solidFill>
                    </a:ln>
                  </pic:spPr>
                </pic:pic>
              </a:graphicData>
            </a:graphic>
          </wp:inline>
        </w:drawing>
      </w:r>
    </w:p>
    <w:p w14:paraId="196FFB72" w14:textId="77777777" w:rsidR="00E30AF7" w:rsidRDefault="00E30AF7" w:rsidP="00E30AF7">
      <w:pPr>
        <w:rPr>
          <w:b/>
        </w:rPr>
      </w:pPr>
    </w:p>
    <w:p w14:paraId="780E1269" w14:textId="77777777" w:rsidR="00E30AF7" w:rsidRDefault="00E30AF7" w:rsidP="00E30AF7">
      <w:pPr>
        <w:rPr>
          <w:b/>
        </w:rPr>
      </w:pPr>
    </w:p>
    <w:p w14:paraId="4BF6F3CC" w14:textId="77777777" w:rsidR="007F4452" w:rsidRDefault="007F4452" w:rsidP="007F4452">
      <w:pPr>
        <w:rPr>
          <w:b/>
        </w:rPr>
      </w:pPr>
      <w:r>
        <w:rPr>
          <w:b/>
        </w:rPr>
        <w:br w:type="page"/>
      </w:r>
    </w:p>
    <w:p w14:paraId="5BB11BD1" w14:textId="7B901795" w:rsidR="007F4452" w:rsidRDefault="00B8497B" w:rsidP="007F4452">
      <w:r>
        <w:lastRenderedPageBreak/>
        <w:softHyphen/>
      </w:r>
      <w:r>
        <w:softHyphen/>
      </w:r>
      <w:r>
        <w:softHyphen/>
      </w:r>
      <w:r>
        <w:softHyphen/>
      </w:r>
      <w:r>
        <w:rPr>
          <w:b/>
        </w:rPr>
        <w:t xml:space="preserve">Supplementary File </w:t>
      </w:r>
      <w:r w:rsidRPr="006C5CE7">
        <w:rPr>
          <w:b/>
        </w:rPr>
        <w:t>1</w:t>
      </w:r>
      <w:r>
        <w:rPr>
          <w:b/>
        </w:rPr>
        <w:t>C</w:t>
      </w:r>
      <w:r w:rsidR="007F4452" w:rsidRPr="006C5CE7">
        <w:rPr>
          <w:b/>
        </w:rPr>
        <w:t xml:space="preserve">. </w:t>
      </w:r>
      <w:r w:rsidR="009007E3">
        <w:rPr>
          <w:b/>
        </w:rPr>
        <w:t>Effect-sizes</w:t>
      </w:r>
      <w:r w:rsidR="007F4452">
        <w:rPr>
          <w:b/>
        </w:rPr>
        <w:t xml:space="preserve"> </w:t>
      </w:r>
      <w:r w:rsidR="009007E3">
        <w:rPr>
          <w:b/>
        </w:rPr>
        <w:t xml:space="preserve">for associations </w:t>
      </w:r>
      <w:r w:rsidR="007F4452">
        <w:rPr>
          <w:b/>
        </w:rPr>
        <w:t xml:space="preserve">of age-38 </w:t>
      </w:r>
      <w:proofErr w:type="spellStart"/>
      <w:r w:rsidR="007F4452">
        <w:rPr>
          <w:b/>
        </w:rPr>
        <w:t>DundedinPoAm</w:t>
      </w:r>
      <w:proofErr w:type="spellEnd"/>
      <w:r w:rsidR="007F4452">
        <w:rPr>
          <w:b/>
        </w:rPr>
        <w:t xml:space="preserve"> and </w:t>
      </w:r>
      <w:r w:rsidR="00B74822">
        <w:rPr>
          <w:b/>
        </w:rPr>
        <w:t>epigenetic clock</w:t>
      </w:r>
      <w:r w:rsidR="00CA0A58">
        <w:rPr>
          <w:b/>
        </w:rPr>
        <w:t>s</w:t>
      </w:r>
      <w:r w:rsidR="007F4452">
        <w:rPr>
          <w:b/>
        </w:rPr>
        <w:t xml:space="preserve"> </w:t>
      </w:r>
      <w:r w:rsidR="009007E3">
        <w:rPr>
          <w:b/>
        </w:rPr>
        <w:t>with</w:t>
      </w:r>
      <w:r w:rsidR="007F4452">
        <w:rPr>
          <w:b/>
        </w:rPr>
        <w:t xml:space="preserve"> </w:t>
      </w:r>
      <w:proofErr w:type="spellStart"/>
      <w:r w:rsidR="007F4452">
        <w:rPr>
          <w:b/>
        </w:rPr>
        <w:t>healthspan</w:t>
      </w:r>
      <w:proofErr w:type="spellEnd"/>
      <w:r w:rsidR="007F4452">
        <w:rPr>
          <w:b/>
        </w:rPr>
        <w:t>-related characteristics</w:t>
      </w:r>
      <w:r w:rsidR="009007E3">
        <w:rPr>
          <w:b/>
        </w:rPr>
        <w:t xml:space="preserve"> at age 45 and change in </w:t>
      </w:r>
      <w:proofErr w:type="spellStart"/>
      <w:r w:rsidR="009007E3">
        <w:rPr>
          <w:b/>
        </w:rPr>
        <w:t>healthspan</w:t>
      </w:r>
      <w:proofErr w:type="spellEnd"/>
      <w:r w:rsidR="009007E3">
        <w:rPr>
          <w:b/>
        </w:rPr>
        <w:t xml:space="preserve"> characteristics from age 38-45</w:t>
      </w:r>
      <w:r w:rsidR="007F4452">
        <w:rPr>
          <w:b/>
        </w:rPr>
        <w:t>.</w:t>
      </w:r>
      <w:r w:rsidR="007F4452" w:rsidRPr="00B74822">
        <w:t xml:space="preserve"> </w:t>
      </w:r>
      <w:r w:rsidR="00B74822" w:rsidRPr="00B74822">
        <w:t>Panel A of</w:t>
      </w:r>
      <w:r w:rsidR="00B74822">
        <w:rPr>
          <w:b/>
        </w:rPr>
        <w:t xml:space="preserve"> </w:t>
      </w:r>
      <w:r w:rsidR="00B74822">
        <w:rPr>
          <w:bCs/>
        </w:rPr>
        <w:t>t</w:t>
      </w:r>
      <w:r w:rsidR="007F4452" w:rsidRPr="0070365C">
        <w:rPr>
          <w:bCs/>
        </w:rPr>
        <w:t xml:space="preserve">he </w:t>
      </w:r>
      <w:r w:rsidR="007F4452">
        <w:t xml:space="preserve">table shows effect-sizes for analysis of </w:t>
      </w:r>
      <w:proofErr w:type="spellStart"/>
      <w:r w:rsidR="007F4452">
        <w:t>healthspan</w:t>
      </w:r>
      <w:proofErr w:type="spellEnd"/>
      <w:r w:rsidR="007F4452">
        <w:t xml:space="preserve">-related characteristics at age 45 years. </w:t>
      </w:r>
      <w:r w:rsidR="00B74822">
        <w:t xml:space="preserve">Panel B of the table shows effect-sizes for analysis of change in </w:t>
      </w:r>
      <w:proofErr w:type="spellStart"/>
      <w:r w:rsidR="00B74822">
        <w:t>healthspan</w:t>
      </w:r>
      <w:proofErr w:type="spellEnd"/>
      <w:r w:rsidR="00B74822">
        <w:t xml:space="preserve">-related characteristics from 38 to 45. </w:t>
      </w:r>
      <w:r w:rsidR="007F4452">
        <w:t xml:space="preserve">Methylation measurements were derived from blood DNA methylation collected when Study members were aged 38 years. </w:t>
      </w:r>
      <w:r w:rsidR="00B74822" w:rsidRPr="006C5CE7">
        <w:t xml:space="preserve">Prior to analysis, Horvath, </w:t>
      </w:r>
      <w:proofErr w:type="spellStart"/>
      <w:r w:rsidR="00B74822" w:rsidRPr="006C5CE7">
        <w:t>Hannum</w:t>
      </w:r>
      <w:proofErr w:type="spellEnd"/>
      <w:r w:rsidR="00B74822" w:rsidRPr="006C5CE7">
        <w:t xml:space="preserve">, and Levine Clock values were </w:t>
      </w:r>
      <w:proofErr w:type="spellStart"/>
      <w:r w:rsidR="00B74822" w:rsidRPr="006C5CE7">
        <w:t>residualized</w:t>
      </w:r>
      <w:proofErr w:type="spellEnd"/>
      <w:r w:rsidR="00B74822" w:rsidRPr="006C5CE7">
        <w:t xml:space="preserve"> for chronological age. </w:t>
      </w:r>
      <w:r w:rsidR="007F4452">
        <w:t xml:space="preserve">Effect-sizes are reported in terms of standard deviation differences in the outcome associated with a 1 standard deviation increase in </w:t>
      </w:r>
      <w:r w:rsidR="00B74822">
        <w:t>methylation measures</w:t>
      </w:r>
      <w:r w:rsidR="007F4452">
        <w:t xml:space="preserve"> (i.e. effect-sizes are interpretable as Pearson r). All models were adjusted for sex.</w:t>
      </w:r>
      <w:r w:rsidR="00B74822">
        <w:t xml:space="preserve"> </w:t>
      </w:r>
    </w:p>
    <w:p w14:paraId="3E404157" w14:textId="421787F0" w:rsidR="00B74822" w:rsidRDefault="00B74822" w:rsidP="007F4452"/>
    <w:p w14:paraId="5CC6AEB9" w14:textId="1FDF7981" w:rsidR="00B74822" w:rsidRPr="00B74822" w:rsidRDefault="00B74822" w:rsidP="007F4452">
      <w:pPr>
        <w:rPr>
          <w:b/>
        </w:rPr>
      </w:pPr>
      <w:r w:rsidRPr="00B74822">
        <w:rPr>
          <w:b/>
        </w:rPr>
        <w:t xml:space="preserve">Panel A. Analysis of </w:t>
      </w:r>
      <w:proofErr w:type="spellStart"/>
      <w:r w:rsidRPr="00B74822">
        <w:rPr>
          <w:b/>
        </w:rPr>
        <w:t>healthspan</w:t>
      </w:r>
      <w:proofErr w:type="spellEnd"/>
      <w:r w:rsidRPr="00B74822">
        <w:rPr>
          <w:b/>
        </w:rPr>
        <w:t>-related characteristics at age 45 years</w:t>
      </w:r>
    </w:p>
    <w:p w14:paraId="4EE549B8" w14:textId="469FD21A" w:rsidR="00E30AF7" w:rsidRDefault="007F4452" w:rsidP="00E30AF7">
      <w:pPr>
        <w:rPr>
          <w:b/>
        </w:rPr>
      </w:pPr>
      <w:r w:rsidRPr="007F4452">
        <w:rPr>
          <w:b/>
          <w:noProof/>
        </w:rPr>
        <w:drawing>
          <wp:inline distT="0" distB="0" distL="0" distR="0" wp14:anchorId="7C4C0FBA" wp14:editId="38B857CA">
            <wp:extent cx="5943600" cy="5299075"/>
            <wp:effectExtent l="12700" t="12700" r="1270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5299075"/>
                    </a:xfrm>
                    <a:prstGeom prst="rect">
                      <a:avLst/>
                    </a:prstGeom>
                    <a:ln w="3175">
                      <a:solidFill>
                        <a:schemeClr val="tx1"/>
                      </a:solidFill>
                    </a:ln>
                  </pic:spPr>
                </pic:pic>
              </a:graphicData>
            </a:graphic>
          </wp:inline>
        </w:drawing>
      </w:r>
    </w:p>
    <w:p w14:paraId="61006681" w14:textId="77777777" w:rsidR="007F4452" w:rsidRDefault="007F4452" w:rsidP="00E30AF7">
      <w:pPr>
        <w:rPr>
          <w:b/>
        </w:rPr>
      </w:pPr>
    </w:p>
    <w:p w14:paraId="7525993F" w14:textId="77777777" w:rsidR="00B74822" w:rsidRDefault="00B74822" w:rsidP="00B74822">
      <w:pPr>
        <w:rPr>
          <w:b/>
        </w:rPr>
      </w:pPr>
      <w:r>
        <w:rPr>
          <w:b/>
        </w:rPr>
        <w:br w:type="page"/>
      </w:r>
    </w:p>
    <w:p w14:paraId="1802DF7C" w14:textId="3AE448F0" w:rsidR="00B74822" w:rsidRDefault="00B74822" w:rsidP="00B74822">
      <w:pPr>
        <w:rPr>
          <w:b/>
        </w:rPr>
      </w:pPr>
      <w:r w:rsidRPr="00B74822">
        <w:rPr>
          <w:b/>
        </w:rPr>
        <w:lastRenderedPageBreak/>
        <w:t xml:space="preserve">Panel </w:t>
      </w:r>
      <w:r>
        <w:rPr>
          <w:b/>
        </w:rPr>
        <w:t>B</w:t>
      </w:r>
      <w:r w:rsidRPr="00B74822">
        <w:rPr>
          <w:b/>
        </w:rPr>
        <w:t xml:space="preserve">. Analysis of </w:t>
      </w:r>
      <w:r>
        <w:rPr>
          <w:b/>
        </w:rPr>
        <w:t xml:space="preserve">change in </w:t>
      </w:r>
      <w:proofErr w:type="spellStart"/>
      <w:r w:rsidRPr="00B74822">
        <w:rPr>
          <w:b/>
        </w:rPr>
        <w:t>healthspan</w:t>
      </w:r>
      <w:proofErr w:type="spellEnd"/>
      <w:r w:rsidRPr="00B74822">
        <w:rPr>
          <w:b/>
        </w:rPr>
        <w:t xml:space="preserve">-related characteristics </w:t>
      </w:r>
      <w:r>
        <w:rPr>
          <w:b/>
        </w:rPr>
        <w:t>from age 38-</w:t>
      </w:r>
      <w:r w:rsidRPr="00B74822">
        <w:rPr>
          <w:b/>
        </w:rPr>
        <w:t>45 years</w:t>
      </w:r>
      <w:r>
        <w:rPr>
          <w:b/>
        </w:rPr>
        <w:br/>
      </w:r>
    </w:p>
    <w:p w14:paraId="62CEE58B" w14:textId="2CD9FBCC" w:rsidR="009007E3" w:rsidRPr="00B74822" w:rsidRDefault="009007E3" w:rsidP="00B74822">
      <w:pPr>
        <w:rPr>
          <w:b/>
        </w:rPr>
      </w:pPr>
      <w:r w:rsidRPr="009007E3">
        <w:rPr>
          <w:b/>
          <w:noProof/>
        </w:rPr>
        <w:drawing>
          <wp:inline distT="0" distB="0" distL="0" distR="0" wp14:anchorId="419D9435" wp14:editId="24BB7275">
            <wp:extent cx="5943600" cy="3457575"/>
            <wp:effectExtent l="12700" t="12700" r="1270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457575"/>
                    </a:xfrm>
                    <a:prstGeom prst="rect">
                      <a:avLst/>
                    </a:prstGeom>
                    <a:ln w="3175" cmpd="sng">
                      <a:solidFill>
                        <a:schemeClr val="tx1"/>
                      </a:solidFill>
                    </a:ln>
                  </pic:spPr>
                </pic:pic>
              </a:graphicData>
            </a:graphic>
          </wp:inline>
        </w:drawing>
      </w:r>
    </w:p>
    <w:p w14:paraId="0F8CF48F" w14:textId="77777777" w:rsidR="007F4452" w:rsidRDefault="007F4452" w:rsidP="00E30AF7">
      <w:pPr>
        <w:rPr>
          <w:b/>
        </w:rPr>
      </w:pPr>
      <w:r>
        <w:rPr>
          <w:b/>
        </w:rPr>
        <w:br w:type="page"/>
      </w:r>
    </w:p>
    <w:p w14:paraId="4D49F02F" w14:textId="4BF54D75" w:rsidR="00E30AF7" w:rsidRPr="006C5CE7" w:rsidRDefault="00B8497B" w:rsidP="00E30AF7">
      <w:r w:rsidRPr="00D85DF0">
        <w:rPr>
          <w:b/>
        </w:rPr>
        <w:lastRenderedPageBreak/>
        <w:t>Supplementa</w:t>
      </w:r>
      <w:r>
        <w:rPr>
          <w:b/>
        </w:rPr>
        <w:t>ry File 1D</w:t>
      </w:r>
      <w:r w:rsidR="00E30AF7" w:rsidRPr="006C5CE7">
        <w:rPr>
          <w:b/>
        </w:rPr>
        <w:t xml:space="preserve">. Effect-sizes for associations of </w:t>
      </w:r>
      <w:proofErr w:type="spellStart"/>
      <w:r w:rsidR="009007E3">
        <w:rPr>
          <w:b/>
        </w:rPr>
        <w:t>DunedinPoAm</w:t>
      </w:r>
      <w:proofErr w:type="spellEnd"/>
      <w:r w:rsidR="00E30AF7" w:rsidRPr="006C5CE7">
        <w:rPr>
          <w:b/>
        </w:rPr>
        <w:t xml:space="preserve"> and </w:t>
      </w:r>
      <w:r w:rsidR="009007E3">
        <w:rPr>
          <w:b/>
        </w:rPr>
        <w:t>epigenetic clocks</w:t>
      </w:r>
      <w:r w:rsidR="00E30AF7" w:rsidRPr="006C5CE7">
        <w:rPr>
          <w:b/>
        </w:rPr>
        <w:t xml:space="preserve"> with KDM Biological Age, and self-rated health in the Understanding Society Study. </w:t>
      </w:r>
      <w:r w:rsidR="00E30AF7" w:rsidRPr="006C5CE7">
        <w:t>The table reports standardized regression coefficients and their standard errors from linear regression models in which the predictor was the methylation measure listed in the far</w:t>
      </w:r>
      <w:r w:rsidR="00E30AF7">
        <w:t>-</w:t>
      </w:r>
      <w:r w:rsidR="00E30AF7" w:rsidRPr="006C5CE7">
        <w:t xml:space="preserve">left column and the dependent variable was either KDM Biological Age (left side coefficients) or self-rated health (right side coefficients). All models included sex </w:t>
      </w:r>
      <w:r w:rsidR="00E30AF7">
        <w:t xml:space="preserve">and </w:t>
      </w:r>
      <w:r w:rsidR="00E30AF7" w:rsidRPr="006C5CE7">
        <w:t>chronological age</w:t>
      </w:r>
      <w:r w:rsidR="00E30AF7">
        <w:t xml:space="preserve"> </w:t>
      </w:r>
      <w:r w:rsidR="00E30AF7" w:rsidRPr="006C5CE7">
        <w:t xml:space="preserve">as covariates. </w:t>
      </w:r>
      <w:r w:rsidR="00E30AF7">
        <w:t>Model 2 included</w:t>
      </w:r>
      <w:r w:rsidR="00E30AF7" w:rsidRPr="006C5CE7">
        <w:t xml:space="preserve"> covariates for cell counts estimated from the methylation data</w:t>
      </w:r>
      <w:r w:rsidR="00E30AF7">
        <w:t>. Model 3 included covariates adjusting for</w:t>
      </w:r>
      <w:r w:rsidR="00E30AF7" w:rsidRPr="006C5CE7">
        <w:t xml:space="preserve"> smoking status. </w:t>
      </w:r>
      <w:r w:rsidR="00E30AF7">
        <w:t xml:space="preserve">Model 4 included nonsmokers only. </w:t>
      </w:r>
      <w:r w:rsidR="00E30AF7" w:rsidRPr="006C5CE7">
        <w:t xml:space="preserve">Prior to analysis, Horvath, </w:t>
      </w:r>
      <w:proofErr w:type="spellStart"/>
      <w:r w:rsidR="00E30AF7" w:rsidRPr="006C5CE7">
        <w:t>Hannum</w:t>
      </w:r>
      <w:proofErr w:type="spellEnd"/>
      <w:r w:rsidR="00E30AF7" w:rsidRPr="006C5CE7">
        <w:t xml:space="preserve">, and Levine Clock values were </w:t>
      </w:r>
      <w:proofErr w:type="spellStart"/>
      <w:r w:rsidR="00E30AF7" w:rsidRPr="006C5CE7">
        <w:t>residualized</w:t>
      </w:r>
      <w:proofErr w:type="spellEnd"/>
      <w:r w:rsidR="00E30AF7" w:rsidRPr="006C5CE7">
        <w:t xml:space="preserve"> for chronological age. All methylation variables were </w:t>
      </w:r>
      <w:proofErr w:type="spellStart"/>
      <w:r w:rsidR="00E30AF7" w:rsidRPr="006C5CE7">
        <w:t>residualized</w:t>
      </w:r>
      <w:proofErr w:type="spellEnd"/>
      <w:r w:rsidR="00E30AF7" w:rsidRPr="006C5CE7">
        <w:t xml:space="preserve"> for plate number. </w:t>
      </w:r>
    </w:p>
    <w:p w14:paraId="28901AD6" w14:textId="77777777" w:rsidR="00E30AF7" w:rsidRPr="006C5CE7" w:rsidRDefault="00E30AF7" w:rsidP="00E30AF7"/>
    <w:p w14:paraId="3B623C77" w14:textId="1BCA1739" w:rsidR="00E30AF7" w:rsidRDefault="009007E3" w:rsidP="00E30AF7">
      <w:r w:rsidRPr="009007E3">
        <w:t xml:space="preserve"> </w:t>
      </w:r>
      <w:r w:rsidR="00A64F78" w:rsidRPr="00A64F78">
        <w:rPr>
          <w:noProof/>
        </w:rPr>
        <w:drawing>
          <wp:inline distT="0" distB="0" distL="0" distR="0" wp14:anchorId="32E9AE9D" wp14:editId="49DC8CC2">
            <wp:extent cx="5486400" cy="5715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86400" cy="5715000"/>
                    </a:xfrm>
                    <a:prstGeom prst="rect">
                      <a:avLst/>
                    </a:prstGeom>
                  </pic:spPr>
                </pic:pic>
              </a:graphicData>
            </a:graphic>
          </wp:inline>
        </w:drawing>
      </w:r>
      <w:r w:rsidR="00E30AF7" w:rsidRPr="006C5CE7">
        <w:br w:type="page"/>
      </w:r>
    </w:p>
    <w:p w14:paraId="42B667F7" w14:textId="77777777" w:rsidR="00E30AF7" w:rsidRPr="006C5CE7" w:rsidRDefault="00E30AF7" w:rsidP="00E30AF7"/>
    <w:p w14:paraId="15DD0048" w14:textId="2F592B6C" w:rsidR="003E43FE" w:rsidRDefault="00B8497B" w:rsidP="003E43FE">
      <w:pPr>
        <w:rPr>
          <w:rFonts w:cstheme="minorHAnsi"/>
        </w:rPr>
      </w:pPr>
      <w:r w:rsidRPr="00D85DF0">
        <w:rPr>
          <w:b/>
        </w:rPr>
        <w:t>Supplementa</w:t>
      </w:r>
      <w:r>
        <w:rPr>
          <w:b/>
        </w:rPr>
        <w:t>ry File 1E</w:t>
      </w:r>
      <w:r w:rsidR="003E43FE" w:rsidRPr="00B703C6">
        <w:rPr>
          <w:rFonts w:cstheme="minorHAnsi"/>
          <w:b/>
        </w:rPr>
        <w:t xml:space="preserve">. Effect-sizes for </w:t>
      </w:r>
      <w:r w:rsidR="003E43FE">
        <w:rPr>
          <w:rFonts w:cstheme="minorHAnsi"/>
          <w:b/>
        </w:rPr>
        <w:t>associations of</w:t>
      </w:r>
      <w:r w:rsidR="003E43FE" w:rsidRPr="00B703C6">
        <w:rPr>
          <w:rFonts w:cstheme="minorHAnsi"/>
          <w:b/>
        </w:rPr>
        <w:t xml:space="preserve"> </w:t>
      </w:r>
      <w:proofErr w:type="spellStart"/>
      <w:r w:rsidR="003E43FE" w:rsidRPr="00B703C6">
        <w:rPr>
          <w:rFonts w:cstheme="minorHAnsi"/>
          <w:b/>
        </w:rPr>
        <w:t>DunedinPoAm</w:t>
      </w:r>
      <w:proofErr w:type="spellEnd"/>
      <w:r w:rsidR="003E43FE" w:rsidRPr="00B703C6">
        <w:rPr>
          <w:rFonts w:cstheme="minorHAnsi"/>
          <w:b/>
        </w:rPr>
        <w:t xml:space="preserve"> and epigenetic clocks </w:t>
      </w:r>
      <w:r w:rsidR="003E43FE">
        <w:rPr>
          <w:rFonts w:cstheme="minorHAnsi"/>
          <w:b/>
        </w:rPr>
        <w:t>with morbidity and mortality in</w:t>
      </w:r>
      <w:r w:rsidR="003E43FE" w:rsidRPr="00B703C6">
        <w:rPr>
          <w:rFonts w:cstheme="minorHAnsi"/>
          <w:b/>
        </w:rPr>
        <w:t xml:space="preserve"> the Normative Aging Study.</w:t>
      </w:r>
      <w:r w:rsidR="003E43FE">
        <w:rPr>
          <w:rFonts w:cstheme="minorHAnsi"/>
        </w:rPr>
        <w:t xml:space="preserve"> Time-to-event analyses of mortality and chronic disease incidence (Panels A and B) were conducted using Cox proportional hazard models to estimate hazard ratios (HRs) in N=771 participants. Repeated-measures analysis (Panel C) was conducted using Poisson regression within a generalized estimating equations framework to account for the nonindependence of repeated observations of individuals (N=1,488 observations of 771 individuals). All models included covariate adjustment for chronological age. Smoking status was measured from the American Thoracic Society Questionnaire </w:t>
      </w:r>
      <w:r w:rsidR="003E43FE">
        <w:rPr>
          <w:rFonts w:cstheme="minorHAnsi"/>
        </w:rPr>
        <w:fldChar w:fldCharType="begin"/>
      </w:r>
      <w:r w:rsidR="003E43FE">
        <w:rPr>
          <w:rFonts w:cstheme="minorHAnsi"/>
        </w:rPr>
        <w:instrText xml:space="preserve"> ADDIN ZOTERO_ITEM CSL_CITATION {"citationID":"Cxjaut1k","properties":{"formattedCitation":"(Ferris, 1978)","plainCitation":"(Ferris, 1978)","noteIndex":0},"citationItems":[{"id":3033,"uris":["http://zotero.org/users/1593913/items/KHAH77SR"],"uri":["http://zotero.org/users/1593913/items/KHAH77SR"],"itemData":{"id":3033,"type":"article-journal","archive_location":"742764","container-title":"Am Rev Respir Dis","ISSN":"0003-0805 (Print) 0003-0805 (Linking)","language":"eng","note":"6 Pt 2","page":"1-120","title":"Epidemiology Standardization Project (American Thoracic Society)","title-short":"Epidemiology Standardization Project (American Thoracic Society)","volume":"118","author":[{"family":"Ferris","given":"B. G."}],"issued":{"date-parts":[["1978",12]]}}}],"schema":"https://github.com/citation-style-language/schema/raw/master/csl-citation.json"} </w:instrText>
      </w:r>
      <w:r w:rsidR="003E43FE">
        <w:rPr>
          <w:rFonts w:cstheme="minorHAnsi"/>
        </w:rPr>
        <w:fldChar w:fldCharType="separate"/>
      </w:r>
      <w:r w:rsidR="003E43FE">
        <w:rPr>
          <w:rFonts w:cstheme="minorHAnsi"/>
          <w:noProof/>
        </w:rPr>
        <w:t>(Ferris, 1978)</w:t>
      </w:r>
      <w:r w:rsidR="003E43FE">
        <w:rPr>
          <w:rFonts w:cstheme="minorHAnsi"/>
        </w:rPr>
        <w:fldChar w:fldCharType="end"/>
      </w:r>
      <w:r w:rsidR="003E43FE">
        <w:rPr>
          <w:rFonts w:cstheme="minorHAnsi"/>
        </w:rPr>
        <w:t xml:space="preserve"> completed by participants at each assessment wave. We classified participants as being current, former, or never smokers </w:t>
      </w:r>
      <w:r w:rsidR="003E43FE">
        <w:rPr>
          <w:rFonts w:cstheme="minorHAnsi"/>
        </w:rPr>
        <w:fldChar w:fldCharType="begin"/>
      </w:r>
      <w:r w:rsidR="003E43FE">
        <w:rPr>
          <w:rFonts w:cstheme="minorHAnsi"/>
        </w:rPr>
        <w:instrText xml:space="preserve"> ADDIN ZOTERO_ITEM CSL_CITATION {"citationID":"3j8V88Cn","properties":{"formattedCitation":"(Gao et al., 2019a)","plainCitation":"(Gao et al., 2019a)","noteIndex":0},"citationItems":[{"id":17904,"uris":["http://zotero.org/users/1593913/items/4BE5X8TE"],"uri":["http://zotero.org/users/1593913/items/4BE5X8TE"],"itemData":{"id":17904,"type":"article-journal","abstract":"AbstractBackground.  A ‘mortality risk score’ (MS) based on ten prominent mortality-related cytosine-phosphate-guanine (CpG) sites was previously associated wit","container-title":"International Journal of Epidemiology","DOI":"10.1093/ije/dyz082","journalAbbreviation":"Int J Epidemiol","language":"en","source":"academic.oup.com","title":"Comparative validation of an epigenetic mortality risk score with three aging biomarkers for predicting mortality risks among older adult males","URL":"https://academic.oup.com/ije/advance-article/doi/10.1093/ije/dyz082/5481894","author":[{"family":"Gao","given":"Xu"},{"family":"Colicino","given":"Elena"},{"family":"Shen","given":"Jincheng"},{"family":"Just","given":"Allan C."},{"family":"Nwanaji-Enwerem","given":"Jamaji C."},{"family":"Wang","given":"Cuicui"},{"family":"Coull","given":"Brent"},{"family":"Lin","given":"Xihong"},{"family":"Vokonas","given":"Pantel"},{"family":"Zheng","given":"Yinan"},{"family":"Hou","given":"Lifang"},{"family":"Schwartz","given":"Joel"},{"family":"Baccarelli","given":"Andrea A."}],"accessed":{"date-parts":[["2019",8,27]]},"issued":{"date-parts":[["2019"]]}}}],"schema":"https://github.com/citation-style-language/schema/raw/master/csl-citation.json"} </w:instrText>
      </w:r>
      <w:r w:rsidR="003E43FE">
        <w:rPr>
          <w:rFonts w:cstheme="minorHAnsi"/>
        </w:rPr>
        <w:fldChar w:fldCharType="separate"/>
      </w:r>
      <w:r w:rsidR="003E43FE">
        <w:rPr>
          <w:rFonts w:cstheme="minorHAnsi"/>
          <w:noProof/>
        </w:rPr>
        <w:t>(Gao et al., 2019a)</w:t>
      </w:r>
      <w:r w:rsidR="003E43FE">
        <w:rPr>
          <w:rFonts w:cstheme="minorHAnsi"/>
        </w:rPr>
        <w:fldChar w:fldCharType="end"/>
      </w:r>
      <w:r w:rsidR="003E43FE">
        <w:rPr>
          <w:rFonts w:cstheme="minorHAnsi"/>
        </w:rPr>
        <w:t xml:space="preserve">. Pack years is the total number of cigarettes smoked across the participants lifetime in units equivalent to the number of cigarettes smoked during a year of smoking 1 pack (20 cigarettes) per day. Age acceleration residuals for epigenetic clocks were calculated by regressing epigenetic age on chronological age and predicting residual values. All methylation measures were standardized to M=0 SD=1 for analysis. Effect-sizes thus reflect risk associated with a 1-SD increase in the methylation measure. </w:t>
      </w:r>
    </w:p>
    <w:p w14:paraId="1DC19281" w14:textId="77777777" w:rsidR="003E43FE" w:rsidRDefault="003E43FE" w:rsidP="00E30AF7">
      <w:pPr>
        <w:rPr>
          <w:b/>
        </w:rPr>
      </w:pPr>
    </w:p>
    <w:p w14:paraId="6E3EBC68" w14:textId="7E89DD33" w:rsidR="003E43FE" w:rsidRDefault="009B42AA" w:rsidP="00E30AF7">
      <w:pPr>
        <w:rPr>
          <w:b/>
        </w:rPr>
      </w:pPr>
      <w:r w:rsidRPr="009B42AA">
        <w:rPr>
          <w:b/>
          <w:noProof/>
        </w:rPr>
        <w:drawing>
          <wp:inline distT="0" distB="0" distL="0" distR="0" wp14:anchorId="09F7F959" wp14:editId="208E46DD">
            <wp:extent cx="5943600" cy="398462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984625"/>
                    </a:xfrm>
                    <a:prstGeom prst="rect">
                      <a:avLst/>
                    </a:prstGeom>
                  </pic:spPr>
                </pic:pic>
              </a:graphicData>
            </a:graphic>
          </wp:inline>
        </w:drawing>
      </w:r>
    </w:p>
    <w:p w14:paraId="08AD37E5" w14:textId="77777777" w:rsidR="003E43FE" w:rsidRDefault="003E43FE" w:rsidP="00E30AF7">
      <w:pPr>
        <w:rPr>
          <w:b/>
        </w:rPr>
      </w:pPr>
      <w:r>
        <w:rPr>
          <w:b/>
        </w:rPr>
        <w:br w:type="page"/>
      </w:r>
    </w:p>
    <w:p w14:paraId="6ABF3430" w14:textId="2ED0195E" w:rsidR="00E30AF7" w:rsidRPr="006C5CE7" w:rsidRDefault="00B8497B" w:rsidP="00E30AF7">
      <w:r w:rsidRPr="00D85DF0">
        <w:rPr>
          <w:b/>
        </w:rPr>
        <w:lastRenderedPageBreak/>
        <w:t>Supplementa</w:t>
      </w:r>
      <w:r>
        <w:rPr>
          <w:b/>
        </w:rPr>
        <w:t>ry File 1F</w:t>
      </w:r>
      <w:r w:rsidR="00E30AF7" w:rsidRPr="006C5CE7">
        <w:rPr>
          <w:b/>
        </w:rPr>
        <w:t>. Effect</w:t>
      </w:r>
      <w:r w:rsidR="003E43FE">
        <w:rPr>
          <w:b/>
        </w:rPr>
        <w:t>-</w:t>
      </w:r>
      <w:r w:rsidR="00E30AF7" w:rsidRPr="006C5CE7">
        <w:rPr>
          <w:b/>
        </w:rPr>
        <w:t xml:space="preserve">sizes for associations of socioeconomic status (SES) and victimization exposure with </w:t>
      </w:r>
      <w:proofErr w:type="spellStart"/>
      <w:r w:rsidR="009007E3">
        <w:rPr>
          <w:b/>
        </w:rPr>
        <w:t>DunedinPoAm</w:t>
      </w:r>
      <w:proofErr w:type="spellEnd"/>
      <w:r w:rsidR="00E30AF7" w:rsidRPr="006C5CE7">
        <w:rPr>
          <w:b/>
        </w:rPr>
        <w:t xml:space="preserve"> </w:t>
      </w:r>
      <w:r w:rsidR="00C338BA">
        <w:rPr>
          <w:b/>
        </w:rPr>
        <w:t xml:space="preserve">and epigenetic clocks </w:t>
      </w:r>
      <w:r w:rsidR="00E30AF7" w:rsidRPr="006C5CE7">
        <w:rPr>
          <w:b/>
        </w:rPr>
        <w:t xml:space="preserve">at age 18 in the E-Risk Study. </w:t>
      </w:r>
      <w:r w:rsidR="00E30AF7" w:rsidRPr="006C5CE7">
        <w:t xml:space="preserve">The table shows effect-sizes reported as standardized regression coefficients (b) and 95% confidence intervals (CIs) from models in which childhood family socioeconomic status </w:t>
      </w:r>
      <w:r w:rsidR="00C338BA">
        <w:t xml:space="preserve">(SES) </w:t>
      </w:r>
      <w:r w:rsidR="00E30AF7" w:rsidRPr="006C5CE7">
        <w:t>and victimization were predictor variables and the dependent variable</w:t>
      </w:r>
      <w:r w:rsidR="006C182D">
        <w:t>s were the DNA methylation measures</w:t>
      </w:r>
      <w:r w:rsidR="00E30AF7" w:rsidRPr="006C5CE7">
        <w:t>. Model 1 i</w:t>
      </w:r>
      <w:r w:rsidR="00E30AF7">
        <w:t>ncluded covariate adjustment for sex</w:t>
      </w:r>
      <w:r w:rsidR="00E30AF7" w:rsidRPr="006C5CE7">
        <w:t xml:space="preserve">. Model 2 additionally included covariates for estimated cell counts. (Chronological age was the same for all twins in the birth cohort.) </w:t>
      </w:r>
      <w:r w:rsidR="00E30AF7">
        <w:t>Model</w:t>
      </w:r>
      <w:r w:rsidR="0045005D">
        <w:t>s 3 and 4 adjusted for smoking status. Only 33% of the analysis sample had ever smoked. Model</w:t>
      </w:r>
      <w:r w:rsidR="00E30AF7">
        <w:t xml:space="preserve"> 3 included covariates adjusting for</w:t>
      </w:r>
      <w:r w:rsidR="00E30AF7" w:rsidRPr="006C5CE7">
        <w:t xml:space="preserve"> smoking status</w:t>
      </w:r>
      <w:r w:rsidR="0045005D">
        <w:t xml:space="preserve"> at age 18 (never, former, current)</w:t>
      </w:r>
      <w:r w:rsidR="00E30AF7" w:rsidRPr="006C5CE7">
        <w:t xml:space="preserve">. </w:t>
      </w:r>
      <w:r w:rsidR="00E30AF7">
        <w:t xml:space="preserve">Model 4 included nonsmokers only. </w:t>
      </w:r>
      <w:r w:rsidR="00F60084">
        <w:t xml:space="preserve">Methylation measurements were derived from blood DNA methylation collected when Study members were aged 18 years and were </w:t>
      </w:r>
      <w:proofErr w:type="spellStart"/>
      <w:r w:rsidR="00F60084">
        <w:t>residualized</w:t>
      </w:r>
      <w:proofErr w:type="spellEnd"/>
      <w:r w:rsidR="00F60084">
        <w:t xml:space="preserve"> for plate number prior to analysis.</w:t>
      </w:r>
      <w:r w:rsidR="006C182D">
        <w:t xml:space="preserve"> All E-Risk participants are the same chronological age. Epigenetic clock measures were differenced from this chronological age prior to analysis.</w:t>
      </w:r>
      <w:r w:rsidR="00F60084">
        <w:t xml:space="preserve"> Effect-sizes are reported in terms of standard deviation differences in the outcome associated with a 1 standard deviation increase in methylation measures. All models were adjusted for sex. </w:t>
      </w:r>
      <w:r w:rsidR="00E30AF7" w:rsidRPr="006C5CE7">
        <w:t xml:space="preserve">Standard errors were clustered at the family level to account for non-independence of twin data. </w:t>
      </w:r>
    </w:p>
    <w:p w14:paraId="4441FDE3" w14:textId="58078C6E" w:rsidR="00E30AF7" w:rsidRDefault="00E30AF7" w:rsidP="00E30AF7"/>
    <w:p w14:paraId="34A33F37" w14:textId="120AEDC8" w:rsidR="00EC282C" w:rsidRDefault="00C338BA" w:rsidP="00E30AF7">
      <w:r w:rsidRPr="00C338BA">
        <w:rPr>
          <w:noProof/>
        </w:rPr>
        <w:drawing>
          <wp:inline distT="0" distB="0" distL="0" distR="0" wp14:anchorId="4850CE76" wp14:editId="7F31DFD6">
            <wp:extent cx="5943600" cy="175133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751330"/>
                    </a:xfrm>
                    <a:prstGeom prst="rect">
                      <a:avLst/>
                    </a:prstGeom>
                  </pic:spPr>
                </pic:pic>
              </a:graphicData>
            </a:graphic>
          </wp:inline>
        </w:drawing>
      </w:r>
    </w:p>
    <w:p w14:paraId="4B06E583" w14:textId="207A5AA5" w:rsidR="001D6F6A" w:rsidRPr="006C5CE7" w:rsidRDefault="001D6F6A" w:rsidP="00E30AF7"/>
    <w:p w14:paraId="32B5CF3F" w14:textId="712D0D48" w:rsidR="00E30AF7" w:rsidRPr="006C5CE7" w:rsidRDefault="00E30AF7" w:rsidP="00E30AF7">
      <w:pPr>
        <w:rPr>
          <w:b/>
        </w:rPr>
      </w:pPr>
    </w:p>
    <w:p w14:paraId="03DC7F4E" w14:textId="77777777" w:rsidR="00E30AF7" w:rsidRDefault="00E30AF7" w:rsidP="00E30AF7">
      <w:pPr>
        <w:rPr>
          <w:b/>
        </w:rPr>
      </w:pPr>
    </w:p>
    <w:p w14:paraId="3D0C7787" w14:textId="77777777" w:rsidR="00E30AF7" w:rsidRDefault="00E30AF7" w:rsidP="00E30AF7">
      <w:pPr>
        <w:rPr>
          <w:b/>
        </w:rPr>
      </w:pPr>
      <w:r>
        <w:rPr>
          <w:b/>
        </w:rPr>
        <w:br w:type="page"/>
      </w:r>
    </w:p>
    <w:p w14:paraId="2252459E" w14:textId="52FA55F5" w:rsidR="00E30AF7" w:rsidRPr="00827718" w:rsidRDefault="00B8497B" w:rsidP="00E30AF7">
      <w:pPr>
        <w:rPr>
          <w:b/>
        </w:rPr>
      </w:pPr>
      <w:r w:rsidRPr="00D85DF0">
        <w:rPr>
          <w:b/>
        </w:rPr>
        <w:lastRenderedPageBreak/>
        <w:t>Supplementa</w:t>
      </w:r>
      <w:r>
        <w:rPr>
          <w:b/>
        </w:rPr>
        <w:t>ry File 1G</w:t>
      </w:r>
      <w:r w:rsidR="00E30AF7" w:rsidRPr="006C5CE7">
        <w:rPr>
          <w:b/>
        </w:rPr>
        <w:t xml:space="preserve">. Characteristics of participants in the CALERIE Trial and subsample with baseline methylation data. </w:t>
      </w:r>
      <w:r w:rsidR="00E30AF7" w:rsidRPr="006C5CE7">
        <w:t xml:space="preserve">The top panel of the table shows demographic characteristics and measured rate of aging for participants in the Ad Libitum (usual diet) and Caloric Restriction arms of the CALERIE Trial. The </w:t>
      </w:r>
      <w:r w:rsidR="00317C85">
        <w:t>middle</w:t>
      </w:r>
      <w:r w:rsidR="00E30AF7" w:rsidRPr="006C5CE7">
        <w:t xml:space="preserve"> panel shows the same data for the subset of participants for whom methylation data were available from the baseline CALERIE assessment. </w:t>
      </w:r>
      <w:r w:rsidR="00317C85">
        <w:t>The bottom panel shows e</w:t>
      </w:r>
      <w:r w:rsidR="00317C85" w:rsidRPr="009D1701">
        <w:t>ffec</w:t>
      </w:r>
      <w:r w:rsidR="00317C85">
        <w:t xml:space="preserve">t-sizes for associations of methylation measures with the rate of change in KDM Biological Age during follow-up. Effect-sizes are stratified marginal effects computed from regressions of predicted slopes of change in KDM Biological Age on treatment condition, baseline values of the methylation measures, and the interaction of treatment condition and the methylation measures. Effect-sizes for association of baseline </w:t>
      </w:r>
      <w:proofErr w:type="spellStart"/>
      <w:r w:rsidR="00317C85">
        <w:t>DunedinPoAm</w:t>
      </w:r>
      <w:proofErr w:type="spellEnd"/>
      <w:r w:rsidR="00317C85">
        <w:t xml:space="preserve"> with rate of change in KDM Biological Age over follow-up are plotted separately by treatment condition (CR for caloric restriction and AL for Ad Libitum control). Effect-sizes reflect the predicted increase in the rate of annual change in KDM Biological Age over the 2 years of follow-up associated with a 1 SD increase in the methylation measure. For example, for </w:t>
      </w:r>
      <w:proofErr w:type="spellStart"/>
      <w:r w:rsidR="00317C85">
        <w:t>DunedinPoaM</w:t>
      </w:r>
      <w:proofErr w:type="spellEnd"/>
      <w:r w:rsidR="00317C85">
        <w:t xml:space="preserve">, a value of 0.2 for participants in the AL control condition indicates that having </w:t>
      </w:r>
      <w:proofErr w:type="spellStart"/>
      <w:r w:rsidR="00317C85">
        <w:t>DunedinPoAm</w:t>
      </w:r>
      <w:proofErr w:type="spellEnd"/>
      <w:r w:rsidR="00317C85">
        <w:t xml:space="preserve"> 1 SD higher at baseline is associated with an increase in the aging rate of 0.2 years of physiological change per 12 months of follow-up. Models included covariate adjustment for sex and chronological age at baseline.</w:t>
      </w:r>
    </w:p>
    <w:p w14:paraId="4945947E" w14:textId="77777777" w:rsidR="00E30AF7" w:rsidRPr="006C5CE7" w:rsidRDefault="00E30AF7" w:rsidP="00E30AF7">
      <w:pPr>
        <w:rPr>
          <w:b/>
        </w:rPr>
      </w:pPr>
    </w:p>
    <w:p w14:paraId="0D5E744D" w14:textId="77777777" w:rsidR="00E30AF7" w:rsidRPr="006C5CE7" w:rsidRDefault="00E30AF7" w:rsidP="00E30AF7">
      <w:r w:rsidRPr="00A42207">
        <w:rPr>
          <w:noProof/>
        </w:rPr>
        <w:drawing>
          <wp:inline distT="0" distB="0" distL="0" distR="0" wp14:anchorId="7215BCF4" wp14:editId="7421DCE3">
            <wp:extent cx="3903133" cy="2939396"/>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14652" cy="2948071"/>
                    </a:xfrm>
                    <a:prstGeom prst="rect">
                      <a:avLst/>
                    </a:prstGeom>
                  </pic:spPr>
                </pic:pic>
              </a:graphicData>
            </a:graphic>
          </wp:inline>
        </w:drawing>
      </w:r>
    </w:p>
    <w:p w14:paraId="069DD15A" w14:textId="77777777" w:rsidR="00427F18" w:rsidRDefault="00427F18" w:rsidP="00E30AF7">
      <w:pPr>
        <w:rPr>
          <w:b/>
        </w:rPr>
      </w:pPr>
    </w:p>
    <w:p w14:paraId="22313AC6" w14:textId="33E09B85" w:rsidR="00317C85" w:rsidRDefault="00317C85" w:rsidP="00E30AF7">
      <w:pPr>
        <w:rPr>
          <w:b/>
        </w:rPr>
      </w:pPr>
      <w:r>
        <w:rPr>
          <w:b/>
        </w:rPr>
        <w:t xml:space="preserve">Effect-sizes for associations of </w:t>
      </w:r>
      <w:proofErr w:type="spellStart"/>
      <w:r>
        <w:rPr>
          <w:b/>
        </w:rPr>
        <w:t>DunedinPoAm</w:t>
      </w:r>
      <w:proofErr w:type="spellEnd"/>
      <w:r>
        <w:rPr>
          <w:b/>
        </w:rPr>
        <w:t xml:space="preserve"> and epigenetic clocks with future rate of change in KDM Biological Age in Ad Libitum (AL) control group and Caloric Restriction (CR) intervention group participants</w:t>
      </w:r>
      <w:r w:rsidRPr="00317C85">
        <w:rPr>
          <w:b/>
        </w:rPr>
        <w:t>.</w:t>
      </w:r>
    </w:p>
    <w:p w14:paraId="7BA06F3B" w14:textId="2283F289" w:rsidR="00E30AF7" w:rsidRPr="00317C85" w:rsidRDefault="00191009" w:rsidP="00E30AF7">
      <w:pPr>
        <w:rPr>
          <w:b/>
        </w:rPr>
      </w:pPr>
      <w:r w:rsidRPr="00191009">
        <w:rPr>
          <w:b/>
          <w:noProof/>
        </w:rPr>
        <w:drawing>
          <wp:inline distT="0" distB="0" distL="0" distR="0" wp14:anchorId="3AFC3B80" wp14:editId="1B2AAC78">
            <wp:extent cx="5943600" cy="9677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967740"/>
                    </a:xfrm>
                    <a:prstGeom prst="rect">
                      <a:avLst/>
                    </a:prstGeom>
                  </pic:spPr>
                </pic:pic>
              </a:graphicData>
            </a:graphic>
          </wp:inline>
        </w:drawing>
      </w:r>
      <w:r w:rsidR="00E30AF7" w:rsidRPr="00317C85">
        <w:rPr>
          <w:b/>
        </w:rPr>
        <w:br w:type="page"/>
      </w:r>
    </w:p>
    <w:p w14:paraId="54D832A7" w14:textId="77777777" w:rsidR="00E30AF7" w:rsidRDefault="00E30AF7" w:rsidP="00E30AF7">
      <w:pPr>
        <w:rPr>
          <w:b/>
        </w:rPr>
      </w:pPr>
    </w:p>
    <w:p w14:paraId="18EE4343" w14:textId="11B35251" w:rsidR="006A0B51" w:rsidRPr="00CB688A" w:rsidRDefault="00B8497B" w:rsidP="006A0B51">
      <w:pPr>
        <w:rPr>
          <w:rFonts w:eastAsia="Times New Roman" w:cstheme="minorHAnsi"/>
          <w:b/>
          <w:color w:val="000000" w:themeColor="text1"/>
        </w:rPr>
      </w:pPr>
      <w:r w:rsidRPr="00D85DF0">
        <w:rPr>
          <w:b/>
        </w:rPr>
        <w:t>Supplementa</w:t>
      </w:r>
      <w:r>
        <w:rPr>
          <w:b/>
        </w:rPr>
        <w:t>ry File 1H</w:t>
      </w:r>
      <w:r w:rsidR="006A0B51">
        <w:rPr>
          <w:rFonts w:eastAsia="Times New Roman" w:cstheme="minorHAnsi"/>
          <w:b/>
          <w:color w:val="000000" w:themeColor="text1"/>
        </w:rPr>
        <w:t xml:space="preserve">. </w:t>
      </w:r>
      <w:r w:rsidR="006A0B51" w:rsidRPr="00CB688A">
        <w:rPr>
          <w:rFonts w:eastAsia="Times New Roman" w:cstheme="minorHAnsi"/>
          <w:b/>
          <w:color w:val="000000" w:themeColor="text1"/>
        </w:rPr>
        <w:t>Physical and cognitive functioning and subjective signs of aging measures in the Dunedin Study</w:t>
      </w:r>
    </w:p>
    <w:tbl>
      <w:tblPr>
        <w:tblStyle w:val="TableGrid"/>
        <w:tblW w:w="0" w:type="auto"/>
        <w:tblLook w:val="04A0" w:firstRow="1" w:lastRow="0" w:firstColumn="1" w:lastColumn="0" w:noHBand="0" w:noVBand="1"/>
      </w:tblPr>
      <w:tblGrid>
        <w:gridCol w:w="1475"/>
        <w:gridCol w:w="7875"/>
      </w:tblGrid>
      <w:tr w:rsidR="006A0B51" w:rsidRPr="007D7BB4" w14:paraId="4B67F7B1" w14:textId="77777777" w:rsidTr="00447055">
        <w:tc>
          <w:tcPr>
            <w:tcW w:w="9350" w:type="dxa"/>
            <w:gridSpan w:val="2"/>
          </w:tcPr>
          <w:p w14:paraId="07971E09" w14:textId="77777777" w:rsidR="006A0B51" w:rsidRPr="007D7BB4" w:rsidRDefault="006A0B51" w:rsidP="00447055">
            <w:pPr>
              <w:rPr>
                <w:rFonts w:asciiTheme="majorHAnsi" w:hAnsiTheme="majorHAnsi" w:cstheme="majorHAnsi"/>
                <w:b/>
              </w:rPr>
            </w:pPr>
            <w:r>
              <w:rPr>
                <w:rFonts w:asciiTheme="majorHAnsi" w:hAnsiTheme="majorHAnsi" w:cstheme="majorHAnsi"/>
                <w:b/>
              </w:rPr>
              <w:t xml:space="preserve">Physical Functioning </w:t>
            </w:r>
            <w:r w:rsidRPr="00C07D77">
              <w:rPr>
                <w:rFonts w:asciiTheme="majorHAnsi" w:hAnsiTheme="majorHAnsi" w:cstheme="majorHAnsi"/>
              </w:rPr>
              <w:t>(N=80</w:t>
            </w:r>
            <w:r>
              <w:rPr>
                <w:rFonts w:asciiTheme="majorHAnsi" w:hAnsiTheme="majorHAnsi" w:cstheme="majorHAnsi"/>
              </w:rPr>
              <w:t xml:space="preserve">0 with </w:t>
            </w:r>
            <w:proofErr w:type="spellStart"/>
            <w:r>
              <w:rPr>
                <w:rFonts w:asciiTheme="majorHAnsi" w:hAnsiTheme="majorHAnsi" w:cstheme="majorHAnsi"/>
              </w:rPr>
              <w:t>DunedinPoAm</w:t>
            </w:r>
            <w:proofErr w:type="spellEnd"/>
            <w:r>
              <w:rPr>
                <w:rFonts w:asciiTheme="majorHAnsi" w:hAnsiTheme="majorHAnsi" w:cstheme="majorHAnsi"/>
              </w:rPr>
              <w:t xml:space="preserve"> data</w:t>
            </w:r>
            <w:r w:rsidRPr="00C07D77">
              <w:rPr>
                <w:rFonts w:asciiTheme="majorHAnsi" w:hAnsiTheme="majorHAnsi" w:cstheme="majorHAnsi"/>
              </w:rPr>
              <w:t>)</w:t>
            </w:r>
          </w:p>
        </w:tc>
      </w:tr>
      <w:tr w:rsidR="006A0B51" w:rsidRPr="007D7BB4" w14:paraId="65F3DEC9" w14:textId="77777777" w:rsidTr="00447055">
        <w:tc>
          <w:tcPr>
            <w:tcW w:w="1435" w:type="dxa"/>
          </w:tcPr>
          <w:p w14:paraId="6E961285" w14:textId="77777777" w:rsidR="006A0B51" w:rsidRPr="007D7BB4" w:rsidRDefault="006A0B51" w:rsidP="00447055">
            <w:pPr>
              <w:rPr>
                <w:rFonts w:asciiTheme="majorHAnsi" w:eastAsia="Times New Roman" w:hAnsiTheme="majorHAnsi" w:cstheme="majorHAnsi"/>
                <w:color w:val="000000" w:themeColor="text1"/>
              </w:rPr>
            </w:pPr>
            <w:r w:rsidRPr="007D7BB4">
              <w:rPr>
                <w:rFonts w:asciiTheme="majorHAnsi" w:eastAsia="Times New Roman" w:hAnsiTheme="majorHAnsi" w:cstheme="majorHAnsi"/>
                <w:color w:val="000000" w:themeColor="text1"/>
              </w:rPr>
              <w:t>Balance</w:t>
            </w:r>
          </w:p>
        </w:tc>
        <w:tc>
          <w:tcPr>
            <w:tcW w:w="7915" w:type="dxa"/>
          </w:tcPr>
          <w:p w14:paraId="0E5174A0" w14:textId="77777777" w:rsidR="006A0B51" w:rsidRPr="007D7BB4" w:rsidRDefault="006A0B51" w:rsidP="00447055">
            <w:pPr>
              <w:rPr>
                <w:rFonts w:asciiTheme="majorHAnsi" w:eastAsia="Times New Roman" w:hAnsiTheme="majorHAnsi" w:cstheme="majorHAnsi"/>
                <w:color w:val="000000" w:themeColor="text1"/>
              </w:rPr>
            </w:pPr>
            <w:r w:rsidRPr="006915C8">
              <w:rPr>
                <w:rFonts w:asciiTheme="majorHAnsi" w:hAnsiTheme="majorHAnsi" w:cstheme="majorHAnsi"/>
              </w:rPr>
              <w:t>Balance was measured using the Unipedal Stance Test as the maximum time achieved across three trials of the test with eyes closed</w:t>
            </w:r>
            <w:r>
              <w:rPr>
                <w:rFonts w:asciiTheme="majorHAnsi" w:hAnsiTheme="majorHAnsi" w:cstheme="majorHAnsi"/>
              </w:rPr>
              <w:t xml:space="preserve"> </w:t>
            </w:r>
            <w:r>
              <w:rPr>
                <w:rFonts w:asciiTheme="majorHAnsi" w:hAnsiTheme="majorHAnsi" w:cstheme="majorHAnsi"/>
              </w:rPr>
              <w:fldChar w:fldCharType="begin"/>
            </w:r>
            <w:r>
              <w:rPr>
                <w:rFonts w:asciiTheme="majorHAnsi" w:hAnsiTheme="majorHAnsi" w:cstheme="majorHAnsi"/>
              </w:rPr>
              <w:instrText xml:space="preserve"> ADDIN ZOTERO_ITEM CSL_CITATION {"citationID":"91ViXatr","properties":{"formattedCitation":"(Bohannon et al., 1984; Springer et al., 2007; Vereeck et al., 2008)","plainCitation":"(Bohannon et al., 1984; Springer et al., 2007; Vereeck et al., 2008)","noteIndex":0},"citationItems":[{"id":244,"uris":["http://zotero.org/users/1593913/items/S4KWCJ5U"],"uri":["http://zotero.org/users/1593913/items/S4KWCJ5U"],"itemData":{"id":244,"type":"article-journal","abstract":"This study investigated whether 184 volunteers from 20 to 79 years of age could perform eight timed balance tests and examined the relationship between test performance and age. All subjects were able to balance with their feet together and eyes closed for 30 seconds. The ability to balance on the right and left legs did not differ significantly. Subjects over 60 years of age were unable to balance on one leg, particularly when their eyes were closed, for as long a period as younger subjects. The Pearson product-moment and Spearman correlations of age and duration of one-legged balance were -.65 and -.71 (eyes opened) and -.79 and -.75 (eyes closed). The findings suggest that when timed balance tests are performed as a part of a patient's neurologic examination, the results should be interpreted in light of the patient's age. Information is provided to assist in this interpretation.","container-title":"Physical therapy","ISSN":"0031-9023","issue":"7","journalAbbreviation":"Phys Ther","language":"eng","note":"PMID: 6739548","page":"1067-1070","source":"NCBI PubMed","title":"Decrease in timed balance test scores with aging","volume":"64","author":[{"family":"Bohannon","given":"R W"},{"family":"Larkin","given":"P A"},{"family":"Cook","given":"A C"},{"family":"Gear","given":"J"},{"family":"Singer","given":"J"}],"issued":{"date-parts":[["1984",7]]}}},{"id":242,"uris":["http://zotero.org/users/1593913/items/QZF4MHR2"],"uri":["http://zotero.org/users/1593913/items/QZF4MHR2"],"itemData":{"id":242,"type":"article-journal","abstract":"PURPOSE: Limited normative data are available for the unipedal stance test (UPST), making it difficult for clinicians to use it confidently to detect subtle balance impairments. The purpose of this study was to generate normative values for repeated trials of the UPST with eyes opened and eyes closed across age groups and gender.\nMETHODS: This prospective, mixed-model design was set in a tertiary care medical center. Healthy subjects (n= 549), 18 years or older, performed the UPST with eyes open and closed. Mean and best of 3 UPST times for males and females of 6 age groups (18-39, 40-49, 50-59, 60-69, 70-79, and 80+) were documented and inter-rater reliability was tested.\nRESULTS: There was a significant age dependent decrease in UPST time during both conditions. Inter-rater reliability for the best of 3 trials was determined to be excellent with an intra-class correlation coefficient of 0.994 (95% confidence interval 0.989-0.996) for eyes open and 0.998 (95% confidence interval 0.996-0.999) for eyes closed.\nCONCLUSIONS: This study adds to the understanding of typical performance on the UPST. Performance is age-specific and not related to gender. Clinicians now have more extensive normative values to which individuals can be compared.","container-title":"Journal of geriatric physical therapy (2001)","ISSN":"1539-8412","issue":"1","journalAbbreviation":"J Geriatr Phys Ther","language":"eng","note":"PMID: 19839175","page":"8-15","source":"NCBI PubMed","title":"Normative values for the unipedal stance test with eyes open and closed","volume":"30","author":[{"family":"Springer","given":"Barbara A"},{"family":"Marin","given":"Raul"},{"family":"Cyhan","given":"Tamara"},{"family":"Roberts","given":"Holly"},{"family":"Gill","given":"Norman W"}],"issued":{"date-parts":[["2007"]]}}},{"id":5590,"uris":["http://zotero.org/users/1593913/items/9AJAPPF5"],"uri":["http://zotero.org/users/1593913/items/9AJAPPF5"],"itemData":{"id":5590,"type":"article-journal","container-title":"International Journal of Audiology","DOI":"10.1080/14992020701689688","ISSN":"1499-2027, 1708-8186","issue":"2","page":"67-75","source":"CrossRef","title":"Clinical assessment of balance: Normative data, and gender and age effects","title-short":"Clinical assessment of balance","volume":"47","author":[{"family":"Vereeck","given":"Luc"},{"family":"Wuyts","given":"Floris"},{"family":"Truijen","given":"Steven"},{"family":"Van de Heyning","given":"Paul"}],"issued":{"date-parts":[["2008",1]]}}}],"schema":"https://github.com/citation-style-language/schema/raw/master/csl-citation.json"} </w:instrText>
            </w:r>
            <w:r>
              <w:rPr>
                <w:rFonts w:asciiTheme="majorHAnsi" w:hAnsiTheme="majorHAnsi" w:cstheme="majorHAnsi"/>
              </w:rPr>
              <w:fldChar w:fldCharType="separate"/>
            </w:r>
            <w:r>
              <w:rPr>
                <w:rFonts w:ascii="Calibri Light" w:hAnsiTheme="majorHAnsi" w:cs="Calibri Light"/>
              </w:rPr>
              <w:t>(Bohannon et al., 1984; Springer et al., 2007; Vereeck et al., 2008)</w:t>
            </w:r>
            <w:r>
              <w:rPr>
                <w:rFonts w:asciiTheme="majorHAnsi" w:hAnsiTheme="majorHAnsi" w:cstheme="majorHAnsi"/>
              </w:rPr>
              <w:fldChar w:fldCharType="end"/>
            </w:r>
            <w:r>
              <w:rPr>
                <w:rFonts w:asciiTheme="majorHAnsi" w:hAnsiTheme="majorHAnsi" w:cstheme="majorHAnsi"/>
              </w:rPr>
              <w:t>.</w:t>
            </w:r>
          </w:p>
        </w:tc>
      </w:tr>
      <w:tr w:rsidR="006A0B51" w:rsidRPr="007D7BB4" w14:paraId="0E15C74C" w14:textId="77777777" w:rsidTr="00447055">
        <w:tc>
          <w:tcPr>
            <w:tcW w:w="1435" w:type="dxa"/>
          </w:tcPr>
          <w:p w14:paraId="57B6BBDB" w14:textId="77777777" w:rsidR="006A0B51" w:rsidRPr="009F1958" w:rsidRDefault="006A0B51" w:rsidP="00447055">
            <w:pPr>
              <w:rPr>
                <w:rFonts w:asciiTheme="majorHAnsi" w:eastAsia="Times New Roman" w:hAnsiTheme="majorHAnsi" w:cstheme="majorHAnsi"/>
                <w:color w:val="000000" w:themeColor="text1"/>
              </w:rPr>
            </w:pPr>
            <w:r w:rsidRPr="009F1958">
              <w:rPr>
                <w:rFonts w:asciiTheme="majorHAnsi" w:eastAsia="Times New Roman" w:hAnsiTheme="majorHAnsi" w:cstheme="majorHAnsi"/>
                <w:color w:val="000000" w:themeColor="text1"/>
              </w:rPr>
              <w:t>Gait Speed</w:t>
            </w:r>
          </w:p>
        </w:tc>
        <w:tc>
          <w:tcPr>
            <w:tcW w:w="7915" w:type="dxa"/>
          </w:tcPr>
          <w:p w14:paraId="18519D8C" w14:textId="77777777" w:rsidR="006A0B51" w:rsidRPr="007D7BB4" w:rsidRDefault="006A0B51" w:rsidP="00447055">
            <w:pPr>
              <w:rPr>
                <w:rFonts w:asciiTheme="majorHAnsi" w:eastAsia="Times New Roman" w:hAnsiTheme="majorHAnsi" w:cstheme="majorHAnsi"/>
                <w:color w:val="000000" w:themeColor="text1"/>
              </w:rPr>
            </w:pPr>
            <w:r w:rsidRPr="009F1958">
              <w:rPr>
                <w:rFonts w:asciiTheme="majorHAnsi" w:eastAsia="Times New Roman" w:hAnsiTheme="majorHAnsi" w:cstheme="majorHAnsi"/>
                <w:color w:val="000000" w:themeColor="text1"/>
              </w:rPr>
              <w:t xml:space="preserve">Gait speed (meters per second) was assessed with the 6-m-long </w:t>
            </w:r>
            <w:proofErr w:type="spellStart"/>
            <w:r w:rsidRPr="009F1958">
              <w:rPr>
                <w:rFonts w:asciiTheme="majorHAnsi" w:eastAsia="Times New Roman" w:hAnsiTheme="majorHAnsi" w:cstheme="majorHAnsi"/>
                <w:color w:val="000000" w:themeColor="text1"/>
              </w:rPr>
              <w:t>GAITRite</w:t>
            </w:r>
            <w:proofErr w:type="spellEnd"/>
            <w:r w:rsidRPr="009F1958">
              <w:rPr>
                <w:rFonts w:asciiTheme="majorHAnsi" w:eastAsia="Times New Roman" w:hAnsiTheme="majorHAnsi" w:cstheme="majorHAnsi"/>
                <w:color w:val="000000" w:themeColor="text1"/>
              </w:rPr>
              <w:t xml:space="preserve"> Electronic Walkway (CIR Systems, Inc) with 2-m acceleration and 2-m deceleration before and after the walkway, respectively. Gait speed was assessed under 3 walking conditions: usual gait speed (walk at normal pace from a standing start, measured as a mean of 2 walks) and 2 challenge paradigms, dual</w:t>
            </w:r>
            <w:r>
              <w:rPr>
                <w:rFonts w:asciiTheme="majorHAnsi" w:eastAsia="Times New Roman" w:hAnsiTheme="majorHAnsi" w:cstheme="majorHAnsi"/>
                <w:color w:val="000000" w:themeColor="text1"/>
              </w:rPr>
              <w:t>-</w:t>
            </w:r>
            <w:r w:rsidRPr="009F1958">
              <w:rPr>
                <w:rFonts w:asciiTheme="majorHAnsi" w:eastAsia="Times New Roman" w:hAnsiTheme="majorHAnsi" w:cstheme="majorHAnsi"/>
                <w:color w:val="000000" w:themeColor="text1"/>
              </w:rPr>
              <w:t>task gait speed (walk at normal pace while reciting alternate letters of the alphabet out loud, starting with the letter “A,” measured as a mean of 2 walks) and maximum gait speed (walk as fast as safely possible, measured as a mean of 3 walks). We calculated the mean of the 3 individual walk conditions to generate our primary measure of composite gait speed</w:t>
            </w:r>
            <w:r>
              <w:rPr>
                <w:rFonts w:asciiTheme="majorHAnsi" w:eastAsia="Times New Roman" w:hAnsiTheme="majorHAnsi" w:cstheme="majorHAnsi"/>
                <w:color w:val="000000" w:themeColor="text1"/>
              </w:rPr>
              <w:t xml:space="preserve"> </w:t>
            </w:r>
            <w:r>
              <w:rPr>
                <w:rFonts w:asciiTheme="majorHAnsi" w:eastAsia="Times New Roman" w:hAnsiTheme="majorHAnsi" w:cstheme="majorHAnsi"/>
                <w:color w:val="000000" w:themeColor="text1"/>
              </w:rPr>
              <w:fldChar w:fldCharType="begin"/>
            </w:r>
            <w:r>
              <w:rPr>
                <w:rFonts w:asciiTheme="majorHAnsi" w:eastAsia="Times New Roman" w:hAnsiTheme="majorHAnsi" w:cstheme="majorHAnsi"/>
                <w:color w:val="000000" w:themeColor="text1"/>
              </w:rPr>
              <w:instrText xml:space="preserve"> ADDIN ZOTERO_ITEM CSL_CITATION {"citationID":"JV44vbED","properties":{"formattedCitation":"(Rasmussen et al., 2019)","plainCitation":"(Rasmussen et al., 2019)","noteIndex":0},"citationItems":[{"id":18062,"uris":["http://zotero.org/users/1593913/items/EMKVK545"],"uri":["http://zotero.org/users/1593913/items/EMKVK545"],"itemData":{"id":18062,"type":"article-journal","abstract":"&lt;h3&gt;Importance&lt;/h3&gt;&lt;p&gt;Gait speed is a well-known indicator of risk of functional decline and mortality in older adults, but little is known about the factors associated with gait speed earlier in life.&lt;/p&gt;&lt;h3&gt;Objectives&lt;/h3&gt;&lt;p&gt;To test the hypothesis that slow gait speed reflects accelerated biological aging at midlife, as well as poor neurocognitive functioning in childhood and cognitive decline from childhood to midlife.&lt;/p&gt;&lt;h3&gt;Design, Setting, and Participants&lt;/h3&gt;&lt;p&gt;This cohort study uses data from the Dunedin Multidisciplinary Health and Development Study, a population-based study of a representative 1972 to 1973 birth cohort in New Zealand that observed participants to age 45 years (until April 2019). Data analysis was performed from April to June 2019.&lt;/p&gt;&lt;h3&gt;Exposures&lt;/h3&gt;&lt;p&gt;Childhood neurocognitive functions and accelerated aging, brain structure, and concurrent physical and cognitive functions in adulthood.&lt;/p&gt;&lt;h3&gt;Main Outcomes and Measures&lt;/h3&gt;&lt;p&gt;Gait speed at age 45 years, measured under 3 walking conditions: usual, dual task, and maximum gait speeds.&lt;/p&gt;&lt;h3&gt;Results&lt;/h3&gt;&lt;p&gt;Of the 1037 original participants (91% of eligible births; 535 [51.6%] male), 997 were alive at age 45 years, of whom 904 (90.7%) had gait speed measured (455 [50.3%] male; 93% white). The mean (SD) gait speeds were 1.30 (0.17) m/s for usual gait, 1.16 (0.23) m/s for dual task gait, and 1.99 (0.29) m/s for maximum gait. Adults with more physical limitations (standardized regression coefficient [β], −0.27; 95% CI, −0.34 to −0.21;&lt;i&gt;P&lt;/i&gt; &amp;lt; .001), poorer physical functions (ie, weak grip strength [β, 0.36; 95% CI, 0.25 to 0.46], poor balance [β, 0.28; 95% CI, 0.21 to 0.34], poor visual-motor coordination [β, 0.24; 95% CI, 0.17 to 0.30], and poor performance on the chair-stand [β, 0.34; 95% CI, 0.27 to 0.40] or 2-minute step tests [β, 0.33; 95% CI, 0.27 to 0.39]; all&lt;i&gt;P&lt;/i&gt; &amp;lt; .001), accelerated biological aging across multiple organ systems (β, −0.33; 95% CI, −0.40 to −0.27;&lt;i&gt;P&lt;/i&gt; &amp;lt; .001), older facial appearance (β, −0.25; 95% CI, −0.31 to −0.18;&lt;i&gt;P&lt;/i&gt; &amp;lt; .001), smaller brain volume (β, 0.15; 95% CI, 0.06 to 0.23;&lt;i&gt;P&lt;/i&gt; &amp;lt; .001), more cortical thinning (β, 0.09; 95% CI, 0.02 to 0.16;&lt;i&gt;P&lt;/i&gt; = .01), smaller cortical surface area (β, 0.13; 95% CI, 0.04 to 0.21;&lt;i&gt;P&lt;/i&gt; = .003), and more white matter hyperintensities (β, −0.09; 95% CI, −0.15 to −0.02;&lt;i&gt;P&lt;/i&gt; = .01) had slower gait speed. Participants with lower IQ in midlife (β, 0.38; 95% CI, 0.32 to 0.44;&lt;i&gt;P&lt;/i&gt; &amp;lt; .001) and participants who exhibited cognitive decline from childhood to adulthood (β, 0.10; 95% CI, 0.04 to 0.17;&lt;i&gt;P&lt;/i&gt; &amp;lt; .001) had slower gait at age 45 years. Those with poor neurocognitive functioning as early as age 3 years had slower gait in midlife (β, 0.26; 95% CI, 0.20 to 0.32;&lt;i&gt;P&lt;/i&gt; &amp;lt; .001).&lt;/p&gt;&lt;h3&gt;Conclusions and Relevance&lt;/h3&gt;&lt;p&gt;Adults’ gait speed is associated with more than geriatric functional status; it is also associated with midlife aging and lifelong brain health.&lt;/p&gt;","container-title":"JAMA Network Open","DOI":"10.1001/jamanetworkopen.2019.13123","issue":"10","journalAbbreviation":"JAMA Netw Open","language":"en","page":"e1913123-e1913123","source":"jamanetwork.com","title":"Association of Neurocognitive and Physical Function With Gait Speed in Midlife","volume":"2","author":[{"family":"Rasmussen","given":"Line Jee Hartmann"},{"family":"Caspi","given":"Avshalom"},{"family":"Ambler","given":"Antony"},{"family":"Broadbent","given":"Jonathan M."},{"family":"Cohen","given":"Harvey J."},{"family":"Arbeloff","given":"Tracy","non-dropping-particle":"d’"},{"family":"Elliott","given":"Maxwell"},{"family":"Hancox","given":"Robert J."},{"family":"Harrington","given":"HonaLee"},{"family":"Hogan","given":"Sean"},{"family":"Houts","given":"Renate"},{"family":"Ireland","given":"David"},{"family":"Knodt","given":"Annchen R."},{"family":"Meredith-Jones","given":"Kim"},{"family":"Morey","given":"Miriam C."},{"family":"Morrison","given":"Lynda"},{"family":"Poulton","given":"Richie"},{"family":"Ramrakha","given":"Sandhya"},{"family":"Richmond-Rakerd","given":"Leah"},{"family":"Sison","given":"Maria L."},{"family":"Sneddon","given":"Kate"},{"family":"Thomson","given":"W. Murray"},{"family":"Hariri","given":"Ahmad R."},{"family":"Moffitt","given":"Terrie E."}],"issued":{"date-parts":[["2019",10,2]]}}}],"schema":"https://github.com/citation-style-language/schema/raw/master/csl-citation.json"} </w:instrText>
            </w:r>
            <w:r>
              <w:rPr>
                <w:rFonts w:asciiTheme="majorHAnsi" w:eastAsia="Times New Roman" w:hAnsiTheme="majorHAnsi" w:cstheme="majorHAnsi"/>
                <w:color w:val="000000" w:themeColor="text1"/>
              </w:rPr>
              <w:fldChar w:fldCharType="separate"/>
            </w:r>
            <w:r>
              <w:rPr>
                <w:rFonts w:asciiTheme="majorHAnsi" w:eastAsia="Times New Roman" w:hAnsiTheme="majorHAnsi" w:cstheme="majorHAnsi"/>
                <w:noProof/>
                <w:color w:val="000000" w:themeColor="text1"/>
              </w:rPr>
              <w:t>(Rasmussen et al., 2019)</w:t>
            </w:r>
            <w:r>
              <w:rPr>
                <w:rFonts w:asciiTheme="majorHAnsi" w:eastAsia="Times New Roman" w:hAnsiTheme="majorHAnsi" w:cstheme="majorHAnsi"/>
                <w:color w:val="000000" w:themeColor="text1"/>
              </w:rPr>
              <w:fldChar w:fldCharType="end"/>
            </w:r>
            <w:r>
              <w:rPr>
                <w:rFonts w:asciiTheme="majorHAnsi" w:eastAsia="Times New Roman" w:hAnsiTheme="majorHAnsi" w:cstheme="majorHAnsi"/>
                <w:color w:val="000000" w:themeColor="text1"/>
              </w:rPr>
              <w:t>.</w:t>
            </w:r>
          </w:p>
        </w:tc>
      </w:tr>
      <w:tr w:rsidR="006A0B51" w:rsidRPr="007D7BB4" w14:paraId="7635BB9E" w14:textId="77777777" w:rsidTr="00447055">
        <w:tc>
          <w:tcPr>
            <w:tcW w:w="1435" w:type="dxa"/>
          </w:tcPr>
          <w:p w14:paraId="748B745D" w14:textId="77777777" w:rsidR="006A0B51" w:rsidRPr="009F1958" w:rsidRDefault="006A0B51" w:rsidP="00447055">
            <w:pPr>
              <w:rPr>
                <w:rFonts w:asciiTheme="majorHAnsi" w:eastAsia="Times New Roman" w:hAnsiTheme="majorHAnsi" w:cstheme="majorHAnsi"/>
                <w:color w:val="000000" w:themeColor="text1"/>
              </w:rPr>
            </w:pPr>
            <w:r w:rsidRPr="009F1958">
              <w:rPr>
                <w:rFonts w:asciiTheme="majorHAnsi" w:eastAsia="Times New Roman" w:hAnsiTheme="majorHAnsi" w:cstheme="majorHAnsi"/>
                <w:color w:val="000000" w:themeColor="text1"/>
              </w:rPr>
              <w:t>Steps in Place</w:t>
            </w:r>
          </w:p>
        </w:tc>
        <w:tc>
          <w:tcPr>
            <w:tcW w:w="7915" w:type="dxa"/>
          </w:tcPr>
          <w:p w14:paraId="24FC181C" w14:textId="77777777" w:rsidR="006A0B51" w:rsidRPr="007D7BB4" w:rsidRDefault="006A0B51" w:rsidP="00447055">
            <w:pPr>
              <w:rPr>
                <w:rFonts w:asciiTheme="majorHAnsi" w:eastAsia="Times New Roman" w:hAnsiTheme="majorHAnsi" w:cstheme="majorHAnsi"/>
                <w:color w:val="000000" w:themeColor="text1"/>
              </w:rPr>
            </w:pPr>
            <w:r w:rsidRPr="009F1958">
              <w:rPr>
                <w:rFonts w:asciiTheme="majorHAnsi" w:eastAsia="Times New Roman" w:hAnsiTheme="majorHAnsi" w:cstheme="majorHAnsi"/>
                <w:color w:val="000000" w:themeColor="text1"/>
              </w:rPr>
              <w:t>The 2-min step test was measured as the number of times a participant lifted their right knee to mid-thigh height (measured as the height half-way between the knee cap and the iliac crest) in 2 minutes at a self-directed pace</w:t>
            </w:r>
            <w:r>
              <w:rPr>
                <w:rFonts w:asciiTheme="majorHAnsi" w:eastAsia="Times New Roman" w:hAnsiTheme="majorHAnsi" w:cstheme="majorHAnsi"/>
                <w:color w:val="000000" w:themeColor="text1"/>
              </w:rPr>
              <w:t xml:space="preserve"> </w:t>
            </w:r>
            <w:r>
              <w:rPr>
                <w:rFonts w:asciiTheme="majorHAnsi" w:eastAsia="Times New Roman" w:hAnsiTheme="majorHAnsi" w:cstheme="majorHAnsi"/>
                <w:color w:val="000000" w:themeColor="text1"/>
              </w:rPr>
              <w:fldChar w:fldCharType="begin"/>
            </w:r>
            <w:r>
              <w:rPr>
                <w:rFonts w:asciiTheme="majorHAnsi" w:eastAsia="Times New Roman" w:hAnsiTheme="majorHAnsi" w:cstheme="majorHAnsi"/>
                <w:color w:val="000000" w:themeColor="text1"/>
              </w:rPr>
              <w:instrText xml:space="preserve"> ADDIN ZOTERO_ITEM CSL_CITATION {"citationID":"MjgMGSid","properties":{"formattedCitation":"(Jones and Rikli, 2002; Rikli and Jones, 1999)","plainCitation":"(Jones and Rikli, 2002; Rikli and Jones, 1999)","noteIndex":0},"citationItems":[{"id":18061,"uris":["http://zotero.org/users/1593913/items/IAQ4FEAV"],"uri":["http://zotero.org/users/1593913/items/IAQ4FEAV"],"itemData":{"id":18061,"type":"article-journal","container-title":"The Journal on active aging","journalAbbreviation":"The Journal on active aging","page":"24-30","title":"Measuring functional fitness in older adults","volume":"1","author":[{"family":"Jones","given":"C Jessie"},{"family":"Rikli","given":"Roberta E"}],"issued":{"date-parts":[["2002"]]}}},{"id":18060,"uris":["http://zotero.org/users/1593913/items/8DF2SNFR"],"uri":["http://zotero.org/users/1593913/items/8DF2SNFR"],"itemData":{"id":18060,"type":"article-journal","container-title":"Journal of aging and physical activity","ISSN":"1063-8652","journalAbbreviation":"Journal of aging and physical activity","page":"162-181","title":"Functional fitness normative scores for community-residing older adults, ages 60-94","volume":"7","author":[{"family":"Rikli","given":"Roberta E"},{"family":"Jones","given":"C Jessie"}],"issued":{"date-parts":[["1999"]]}}}],"schema":"https://github.com/citation-style-language/schema/raw/master/csl-citation.json"} </w:instrText>
            </w:r>
            <w:r>
              <w:rPr>
                <w:rFonts w:asciiTheme="majorHAnsi" w:eastAsia="Times New Roman" w:hAnsiTheme="majorHAnsi" w:cstheme="majorHAnsi"/>
                <w:color w:val="000000" w:themeColor="text1"/>
              </w:rPr>
              <w:fldChar w:fldCharType="separate"/>
            </w:r>
            <w:r>
              <w:rPr>
                <w:rFonts w:asciiTheme="majorHAnsi" w:eastAsia="Times New Roman" w:hAnsiTheme="majorHAnsi" w:cstheme="majorHAnsi"/>
                <w:noProof/>
                <w:color w:val="000000" w:themeColor="text1"/>
              </w:rPr>
              <w:t>(Jones and Rikli, 2002; Rikli and Jones, 1999)</w:t>
            </w:r>
            <w:r>
              <w:rPr>
                <w:rFonts w:asciiTheme="majorHAnsi" w:eastAsia="Times New Roman" w:hAnsiTheme="majorHAnsi" w:cstheme="majorHAnsi"/>
                <w:color w:val="000000" w:themeColor="text1"/>
              </w:rPr>
              <w:fldChar w:fldCharType="end"/>
            </w:r>
            <w:r w:rsidRPr="009F1958">
              <w:rPr>
                <w:rFonts w:asciiTheme="majorHAnsi" w:eastAsia="Times New Roman" w:hAnsiTheme="majorHAnsi" w:cstheme="majorHAnsi"/>
                <w:color w:val="000000" w:themeColor="text1"/>
              </w:rPr>
              <w:t>.</w:t>
            </w:r>
          </w:p>
        </w:tc>
      </w:tr>
      <w:tr w:rsidR="006A0B51" w:rsidRPr="007D7BB4" w14:paraId="677810B0" w14:textId="77777777" w:rsidTr="00447055">
        <w:tc>
          <w:tcPr>
            <w:tcW w:w="1435" w:type="dxa"/>
          </w:tcPr>
          <w:p w14:paraId="066B8740" w14:textId="77777777" w:rsidR="006A0B51" w:rsidRPr="009F1958" w:rsidRDefault="006A0B51" w:rsidP="00447055">
            <w:pPr>
              <w:rPr>
                <w:rFonts w:asciiTheme="majorHAnsi" w:eastAsia="Times New Roman" w:hAnsiTheme="majorHAnsi" w:cstheme="majorHAnsi"/>
                <w:color w:val="000000" w:themeColor="text1"/>
              </w:rPr>
            </w:pPr>
            <w:r w:rsidRPr="009F1958">
              <w:rPr>
                <w:rFonts w:asciiTheme="majorHAnsi" w:eastAsia="Times New Roman" w:hAnsiTheme="majorHAnsi" w:cstheme="majorHAnsi"/>
                <w:color w:val="000000" w:themeColor="text1"/>
              </w:rPr>
              <w:t>Chair Stands</w:t>
            </w:r>
          </w:p>
        </w:tc>
        <w:tc>
          <w:tcPr>
            <w:tcW w:w="7915" w:type="dxa"/>
          </w:tcPr>
          <w:p w14:paraId="6630569F" w14:textId="77777777" w:rsidR="006A0B51" w:rsidRPr="007D7BB4" w:rsidRDefault="006A0B51" w:rsidP="00447055">
            <w:pPr>
              <w:rPr>
                <w:rFonts w:asciiTheme="majorHAnsi" w:eastAsia="Times New Roman" w:hAnsiTheme="majorHAnsi" w:cstheme="majorHAnsi"/>
                <w:color w:val="000000" w:themeColor="text1"/>
              </w:rPr>
            </w:pPr>
            <w:r w:rsidRPr="009F1958">
              <w:rPr>
                <w:rFonts w:asciiTheme="majorHAnsi" w:eastAsia="Times New Roman" w:hAnsiTheme="majorHAnsi" w:cstheme="majorHAnsi"/>
                <w:color w:val="000000" w:themeColor="text1"/>
              </w:rPr>
              <w:t>Chair rises were measured as the number of stands a participant completed in 30 seconds from a seated position</w:t>
            </w:r>
            <w:r>
              <w:rPr>
                <w:rFonts w:asciiTheme="majorHAnsi" w:eastAsia="Times New Roman" w:hAnsiTheme="majorHAnsi" w:cstheme="majorHAnsi"/>
                <w:color w:val="000000" w:themeColor="text1"/>
              </w:rPr>
              <w:t xml:space="preserve"> </w:t>
            </w:r>
            <w:r>
              <w:rPr>
                <w:rFonts w:asciiTheme="majorHAnsi" w:eastAsia="Times New Roman" w:hAnsiTheme="majorHAnsi" w:cstheme="majorHAnsi"/>
                <w:color w:val="000000" w:themeColor="text1"/>
              </w:rPr>
              <w:fldChar w:fldCharType="begin"/>
            </w:r>
            <w:r>
              <w:rPr>
                <w:rFonts w:asciiTheme="majorHAnsi" w:eastAsia="Times New Roman" w:hAnsiTheme="majorHAnsi" w:cstheme="majorHAnsi"/>
                <w:color w:val="000000" w:themeColor="text1"/>
              </w:rPr>
              <w:instrText xml:space="preserve"> ADDIN ZOTERO_ITEM CSL_CITATION {"citationID":"Xd8XuMvw","properties":{"formattedCitation":"(Jones et al., 1999; Jones and Rikli, 2002)","plainCitation":"(Jones et al., 1999; Jones and Rikli, 2002)","noteIndex":0},"citationItems":[{"id":18061,"uris":["http://zotero.org/users/1593913/items/IAQ4FEAV"],"uri":["http://zotero.org/users/1593913/items/IAQ4FEAV"],"itemData":{"id":18061,"type":"article-journal","container-title":"The Journal on active aging","journalAbbreviation":"The Journal on active aging","page":"24-30","title":"Measuring functional fitness in older adults","volume":"1","author":[{"family":"Jones","given":"C Jessie"},{"family":"Rikli","given":"Roberta E"}],"issued":{"date-parts":[["2002"]]}}},{"id":18059,"uris":["http://zotero.org/users/1593913/items/VYAFP34H"],"uri":["http://zotero.org/users/1593913/items/VYAFP34H"],"itemData":{"id":18059,"type":"article-journal","container-title":"Research quarterly for exercise and sport","ISSN":"0270-1367","issue":"2","journalAbbreviation":"Research quarterly for exercise and sport","page":"113-119","title":"A 30-s chair-stand test as a measure of lower body strength in community-residing older adults","volume":"70","author":[{"family":"Jones","given":"C Jessie"},{"family":"Rikli","given":"Roberta E"},{"family":"Beam","given":"William C"}],"issued":{"date-parts":[["1999"]]}}}],"schema":"https://github.com/citation-style-language/schema/raw/master/csl-citation.json"} </w:instrText>
            </w:r>
            <w:r>
              <w:rPr>
                <w:rFonts w:asciiTheme="majorHAnsi" w:eastAsia="Times New Roman" w:hAnsiTheme="majorHAnsi" w:cstheme="majorHAnsi"/>
                <w:color w:val="000000" w:themeColor="text1"/>
              </w:rPr>
              <w:fldChar w:fldCharType="separate"/>
            </w:r>
            <w:r>
              <w:rPr>
                <w:rFonts w:asciiTheme="majorHAnsi" w:eastAsia="Times New Roman" w:hAnsiTheme="majorHAnsi" w:cstheme="majorHAnsi"/>
                <w:noProof/>
                <w:color w:val="000000" w:themeColor="text1"/>
              </w:rPr>
              <w:t>(Jones et al., 1999; Jones and Rikli, 2002)</w:t>
            </w:r>
            <w:r>
              <w:rPr>
                <w:rFonts w:asciiTheme="majorHAnsi" w:eastAsia="Times New Roman" w:hAnsiTheme="majorHAnsi" w:cstheme="majorHAnsi"/>
                <w:color w:val="000000" w:themeColor="text1"/>
              </w:rPr>
              <w:fldChar w:fldCharType="end"/>
            </w:r>
            <w:r w:rsidRPr="009F1958">
              <w:rPr>
                <w:rFonts w:asciiTheme="majorHAnsi" w:eastAsia="Times New Roman" w:hAnsiTheme="majorHAnsi" w:cstheme="majorHAnsi"/>
                <w:color w:val="000000" w:themeColor="text1"/>
              </w:rPr>
              <w:t>.</w:t>
            </w:r>
          </w:p>
        </w:tc>
      </w:tr>
      <w:tr w:rsidR="006A0B51" w:rsidRPr="007D7BB4" w14:paraId="541239FA" w14:textId="77777777" w:rsidTr="00447055">
        <w:tc>
          <w:tcPr>
            <w:tcW w:w="1435" w:type="dxa"/>
          </w:tcPr>
          <w:p w14:paraId="0425249B" w14:textId="77777777" w:rsidR="006A0B51" w:rsidRPr="007D7BB4" w:rsidRDefault="006A0B51" w:rsidP="00447055">
            <w:pPr>
              <w:rPr>
                <w:rFonts w:asciiTheme="majorHAnsi" w:eastAsia="Times New Roman" w:hAnsiTheme="majorHAnsi" w:cstheme="majorHAnsi"/>
                <w:color w:val="000000" w:themeColor="text1"/>
              </w:rPr>
            </w:pPr>
            <w:r w:rsidRPr="007D7BB4">
              <w:rPr>
                <w:rFonts w:asciiTheme="majorHAnsi" w:eastAsia="Times New Roman" w:hAnsiTheme="majorHAnsi" w:cstheme="majorHAnsi"/>
                <w:color w:val="000000" w:themeColor="text1"/>
              </w:rPr>
              <w:t>Grip Strength</w:t>
            </w:r>
          </w:p>
        </w:tc>
        <w:tc>
          <w:tcPr>
            <w:tcW w:w="7915" w:type="dxa"/>
          </w:tcPr>
          <w:p w14:paraId="1FF9FAAB" w14:textId="77777777" w:rsidR="006A0B51" w:rsidRPr="007D7BB4" w:rsidRDefault="006A0B51" w:rsidP="00447055">
            <w:pPr>
              <w:rPr>
                <w:rFonts w:asciiTheme="majorHAnsi" w:eastAsia="Times New Roman" w:hAnsiTheme="majorHAnsi" w:cstheme="majorHAnsi"/>
                <w:color w:val="000000" w:themeColor="text1"/>
              </w:rPr>
            </w:pPr>
            <w:r w:rsidRPr="009F1958">
              <w:rPr>
                <w:rFonts w:asciiTheme="majorHAnsi" w:hAnsiTheme="majorHAnsi" w:cstheme="majorHAnsi"/>
              </w:rPr>
              <w:t xml:space="preserve">Handgrip strength was measured for the dominant hand (elbow held at 90°, upper arm held tight against the trunk) as the maximum value achieved across three trials using a Jamar digital dynamometer </w:t>
            </w:r>
            <w:r w:rsidRPr="007D7BB4">
              <w:rPr>
                <w:rFonts w:asciiTheme="majorHAnsi" w:hAnsiTheme="majorHAnsi" w:cstheme="majorHAnsi"/>
              </w:rPr>
              <w:fldChar w:fldCharType="begin"/>
            </w:r>
            <w:r>
              <w:rPr>
                <w:rFonts w:asciiTheme="majorHAnsi" w:hAnsiTheme="majorHAnsi" w:cstheme="majorHAnsi"/>
              </w:rPr>
              <w:instrText xml:space="preserve"> ADDIN ZOTERO_ITEM CSL_CITATION {"citationID":"1v57uqe24o","properties":{"formattedCitation":"(Mathiowetz et al., 1985; Rantanen T et al., 1999)","plainCitation":"(Mathiowetz et al., 1985; Rantanen T et al., 1999)","noteIndex":0},"citationItems":[{"id":5589,"uris":["http://zotero.org/users/1593913/items/IP4MT3Z7"],"uri":["http://zotero.org/users/1593913/items/IP4MT3Z7"],"itemData":{"id":5589,"type":"article-journal","abstract":"Context Poor muscle strength, functional limitations, and\ndisability often coexist, but whether muscle strength during midlife\npredicts old age functional ability is not known.Objective To determine whether hand grip strength measured during\nmidlife predicts old age functional limitations and disability in\ninitially healthy men.Design and Setting A 25-year prospective cohort study, the\nHonolulu Heart Program, which began in 1965 among Japanese-American men\nliving on Oahu, Hawaii.Participants A total of 6089 45- to 68-year-old men who\nwere healthy at baseline and whose maximal hand grip strength was\nmeasured from 1965 through 1970. Altogether, 2259 men died over the\nfollow-up period and 3218 survivors participated in the disability\nassessment in 1991 through 1993.Main Outcome Measures Functional limitations including slow\ncustomary walking speed (≤0.4 m/s) and inability to rise from a seated\nposition without using the arms, and multiple self-reported upper\nextremity, mobility, and self-care disability outcomes.Results After adjustment for multiple potential confounders, risk\nof functional limitations and disability 25 years later increased as\nbaseline hand grip strength, divided into tertiles, declined. The odds\nratio (OR) of walking speed of 0.4 m/s or slower was 2.87 (95%\nconfidence interval [CI], 1.76-4.67) in those in the lowest third and\n1.79 (95% CI, 1.14-2.81) in the middle third of grip strength vs those\nin the highest third. The risk of self-care disability was more than 2\ntimes greater in the lowest vs the highest grip strength tertile.\nAdding chronic conditions identified at follow-up to the models\npredicting disability reduced the ORs related to grip strength only\nminimally.Conclusions Among healthy 45- to 68-year-old men, hand grip\nstrength was highly predictive of functional limitations and disability\n25 years later. Good muscle strength in midlife may protect people from\nold age disability by providing a greater safety margin above the\nthreshold of disability.","container-title":"JAMA","DOI":"10.1001/jama.281.6.558","ISSN":"0098-7484","issue":"6","journalAbbreviation":"JAMA","page":"558-560","source":"Silverchair","title":"MIdlife hand grip strength as a predictor of old age disability","volume":"281","author":[{"literal":"Rantanen T"},{"literal":"Guralnik JM"},{"literal":"Foley D"},{"literal":"et al"}],"issued":{"date-parts":[["1999",2,10]]}}},{"id":240,"uris":["http://zotero.org/users/1593913/items/4CJIVDNI"],"uri":["http://zotero.org/users/1593913/items/4CJIVDNI"],"itemData":{"id":240,"type":"article-journal","abstract":"The primary purpose of this study was to establish clinical norms for adults aged 20 to 75+ years on four tests of hand strength. A dynamometer was used to measure grip strength and a pinch gauge to measure tip, key, and palmar pinch. A sample of 310 male and 328 female adults, ages 20 to 94, from the seven-county Milwaukee area were tested using standardized positioning and instructions. Right hand and left hand data were stratified into 12 age groups for both sexes. This stratification provides a means of comparing the score of individual patients to that of normal subjects of the same age and sex. The highest grip strength scores occurred in the 25 to 39 age groups. For tip, key, and palmar pinch the average scores were relatively stable from 20 to 59 years, with a gradual decline from 60 to 79 years. A high correlation was seen between grip strength and age, but a low to moderate correlation between pinch strength and age. The newer pinch gauge used in this study appears to read higher than that used in a previous normative study. Comparison of the average hand strength of right-handed and left-handed subjects showed only minimal differences.","container-title":"Archives of physical medicine and rehabilitation","ISSN":"0003-9993","issue":"2","journalAbbreviation":"Arch Phys Med Rehabil","language":"eng","note":"PMID: 3970660","page":"69-74","source":"NCBI PubMed","title":"Grip and pinch strength: normative data for adults","title-short":"Grip and pinch strength","volume":"66","author":[{"family":"Mathiowetz","given":"V"},{"family":"Kashman","given":"N"},{"family":"Volland","given":"G"},{"family":"Weber","given":"K"},{"family":"Dowe","given":"M"},{"family":"Rogers","given":"S"}],"issued":{"date-parts":[["1985",2]]}}}],"schema":"https://github.com/citation-style-language/schema/raw/master/csl-citation.json"} </w:instrText>
            </w:r>
            <w:r w:rsidRPr="007D7BB4">
              <w:rPr>
                <w:rFonts w:asciiTheme="majorHAnsi" w:hAnsiTheme="majorHAnsi" w:cstheme="majorHAnsi"/>
              </w:rPr>
              <w:fldChar w:fldCharType="separate"/>
            </w:r>
            <w:r>
              <w:rPr>
                <w:rFonts w:asciiTheme="majorHAnsi" w:hAnsiTheme="majorHAnsi" w:cstheme="majorHAnsi"/>
              </w:rPr>
              <w:t>(Mathiowetz et al., 1985; Rantanen T et al., 1999)</w:t>
            </w:r>
            <w:r w:rsidRPr="007D7BB4">
              <w:rPr>
                <w:rFonts w:asciiTheme="majorHAnsi" w:hAnsiTheme="majorHAnsi" w:cstheme="majorHAnsi"/>
              </w:rPr>
              <w:fldChar w:fldCharType="end"/>
            </w:r>
            <w:r w:rsidRPr="007D7BB4">
              <w:rPr>
                <w:rFonts w:asciiTheme="majorHAnsi" w:hAnsiTheme="majorHAnsi" w:cstheme="majorHAnsi"/>
              </w:rPr>
              <w:t>.</w:t>
            </w:r>
          </w:p>
        </w:tc>
      </w:tr>
      <w:tr w:rsidR="006A0B51" w:rsidRPr="007D7BB4" w14:paraId="5217B6BD" w14:textId="77777777" w:rsidTr="00447055">
        <w:tc>
          <w:tcPr>
            <w:tcW w:w="1435" w:type="dxa"/>
          </w:tcPr>
          <w:p w14:paraId="5A470D13" w14:textId="77777777" w:rsidR="006A0B51" w:rsidRPr="007D7BB4" w:rsidRDefault="006A0B51" w:rsidP="00447055">
            <w:pP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Motor Coordination</w:t>
            </w:r>
          </w:p>
        </w:tc>
        <w:tc>
          <w:tcPr>
            <w:tcW w:w="7915" w:type="dxa"/>
          </w:tcPr>
          <w:p w14:paraId="72CD8943" w14:textId="77777777" w:rsidR="006A0B51" w:rsidRPr="009F1958" w:rsidRDefault="006A0B51" w:rsidP="00447055">
            <w:pPr>
              <w:rPr>
                <w:rFonts w:asciiTheme="majorHAnsi" w:hAnsiTheme="majorHAnsi" w:cstheme="majorHAnsi"/>
              </w:rPr>
            </w:pPr>
            <w:r w:rsidRPr="00B5640B">
              <w:rPr>
                <w:rFonts w:asciiTheme="majorHAnsi" w:hAnsiTheme="majorHAnsi" w:cstheme="majorHAnsi"/>
              </w:rPr>
              <w:t>At ages 38 and 45, we measured motor functioning as the time to completion of the Grooved Pegboard Test with the dominant hand.</w:t>
            </w:r>
          </w:p>
        </w:tc>
      </w:tr>
      <w:tr w:rsidR="006A0B51" w:rsidRPr="007D7BB4" w14:paraId="5AAE2E59" w14:textId="77777777" w:rsidTr="00447055">
        <w:tc>
          <w:tcPr>
            <w:tcW w:w="1435" w:type="dxa"/>
          </w:tcPr>
          <w:p w14:paraId="72CA63F9" w14:textId="77777777" w:rsidR="006A0B51" w:rsidRPr="007D7BB4" w:rsidRDefault="006A0B51" w:rsidP="00447055">
            <w:pPr>
              <w:rPr>
                <w:rFonts w:asciiTheme="majorHAnsi" w:eastAsia="Times New Roman" w:hAnsiTheme="majorHAnsi" w:cstheme="majorHAnsi"/>
                <w:color w:val="000000" w:themeColor="text1"/>
              </w:rPr>
            </w:pPr>
            <w:r w:rsidRPr="007D7BB4">
              <w:rPr>
                <w:rFonts w:asciiTheme="majorHAnsi" w:eastAsia="Times New Roman" w:hAnsiTheme="majorHAnsi" w:cstheme="majorHAnsi"/>
                <w:color w:val="000000" w:themeColor="text1"/>
              </w:rPr>
              <w:t>Physical Limitations</w:t>
            </w:r>
          </w:p>
        </w:tc>
        <w:tc>
          <w:tcPr>
            <w:tcW w:w="7915" w:type="dxa"/>
          </w:tcPr>
          <w:p w14:paraId="596A3633" w14:textId="77777777" w:rsidR="006A0B51" w:rsidRPr="007D7BB4" w:rsidRDefault="006A0B51" w:rsidP="00447055">
            <w:pPr>
              <w:rPr>
                <w:rFonts w:asciiTheme="majorHAnsi" w:eastAsia="Times New Roman" w:hAnsiTheme="majorHAnsi" w:cstheme="majorHAnsi"/>
                <w:color w:val="000000" w:themeColor="text1"/>
              </w:rPr>
            </w:pPr>
            <w:r w:rsidRPr="009F1958">
              <w:rPr>
                <w:rFonts w:asciiTheme="majorHAnsi" w:hAnsiTheme="majorHAnsi" w:cstheme="majorHAnsi"/>
              </w:rPr>
              <w:t>Physical limitations were measured with the 10-item RAND 36-Item Health Survey 1.0 physical functioning scale</w:t>
            </w:r>
            <w:r>
              <w:rPr>
                <w:rFonts w:asciiTheme="majorHAnsi" w:hAnsiTheme="majorHAnsi" w:cstheme="majorHAnsi"/>
              </w:rPr>
              <w:t xml:space="preserve"> </w:t>
            </w:r>
            <w:r w:rsidRPr="007D7BB4">
              <w:rPr>
                <w:rFonts w:asciiTheme="majorHAnsi" w:hAnsiTheme="majorHAnsi" w:cstheme="majorHAnsi"/>
              </w:rPr>
              <w:fldChar w:fldCharType="begin"/>
            </w:r>
            <w:r>
              <w:rPr>
                <w:rFonts w:asciiTheme="majorHAnsi" w:hAnsiTheme="majorHAnsi" w:cstheme="majorHAnsi"/>
              </w:rPr>
              <w:instrText xml:space="preserve"> ADDIN ZOTERO_ITEM CSL_CITATION {"citationID":"1nhb10sto","properties":{"formattedCitation":"(Ware and Sherbourne, 1992)","plainCitation":"(Ware and Sherbourne, 1992)","noteIndex":0},"citationItems":[{"id":5592,"uris":["http://zotero.org/users/1593913/items/7Q3WJTXG"],"uri":["http://zotero.org/users/1593913/items/7Q3WJTXG"],"itemData":{"id":5592,"type":"article-journal","abstract":"A 36-item short-form (SF-36) was constructed to survey health status in the Medical Outcomes Study. The SF-36 was designed for use in clinical practice and research, health policy evaluations, and general population surveys. The SF-36 includes one multi-item scale that assesses eight health concepts: 1) limitations in physical activities because of health problems; 2) limitations in social activities because of physical or emotional problems; 3) limitations in usual role activities because of physical health problems; 4) bodily pain; 5) general mental health (psychological distress and well-being); 6) limitations in usual role activities because of emotional problems; 7) vitality (energy and fatigue); and 8) general health perceptions. The survey was constructed for self-administration by persons 14 years of age and older, and for administration by a trained interviewer in person or by telephone. The history of the development of the SF-36, the origin of specific items, and the logic underlying their selection are summarized. The content and features of the SF-36 are compared with the 20-item Medical Outcomes Study short-form.","container-title":"Medical Care","ISSN":"0025-7079","issue":"6","journalAbbreviation":"Medical Care","page":"473-483","source":"JSTOR","title":"The MOS 36-Item Short-Form Health Survey (SF-36): I. Conceptual Framework and Item Selection","title-short":"The MOS 36-Item Short-Form Health Survey (SF-36)","volume":"30","author":[{"family":"Ware","given":"John E.","suffix":"Jr."},{"family":"Sherbourne","given":"Cathy Donald"}],"issued":{"date-parts":[["1992",6,1]]}}}],"schema":"https://github.com/citation-style-language/schema/raw/master/csl-citation.json"} </w:instrText>
            </w:r>
            <w:r w:rsidRPr="007D7BB4">
              <w:rPr>
                <w:rFonts w:asciiTheme="majorHAnsi" w:hAnsiTheme="majorHAnsi" w:cstheme="majorHAnsi"/>
              </w:rPr>
              <w:fldChar w:fldCharType="separate"/>
            </w:r>
            <w:r>
              <w:rPr>
                <w:rFonts w:asciiTheme="majorHAnsi" w:hAnsiTheme="majorHAnsi" w:cstheme="majorHAnsi"/>
              </w:rPr>
              <w:t>(Ware and Sherbourne, 1992)</w:t>
            </w:r>
            <w:r w:rsidRPr="007D7BB4">
              <w:rPr>
                <w:rFonts w:asciiTheme="majorHAnsi" w:hAnsiTheme="majorHAnsi" w:cstheme="majorHAnsi"/>
              </w:rPr>
              <w:fldChar w:fldCharType="end"/>
            </w:r>
            <w:r w:rsidRPr="009F1958">
              <w:rPr>
                <w:rFonts w:asciiTheme="majorHAnsi" w:hAnsiTheme="majorHAnsi" w:cstheme="majorHAnsi"/>
              </w:rPr>
              <w:t>. Participant responses (“limited a lot”, “limited a little”, “not limited at all”) assessed their difficulty with completing various activities, e.g., climbing several flights of stairs, walking more than 1 km, participating in strenuous sports, etc. Scores were reversed to reflect physical limitations so that a high score indicates more limitations.</w:t>
            </w:r>
            <w:r>
              <w:rPr>
                <w:rFonts w:asciiTheme="majorHAnsi" w:hAnsiTheme="majorHAnsi" w:cstheme="majorHAnsi"/>
              </w:rPr>
              <w:t xml:space="preserve"> </w:t>
            </w:r>
          </w:p>
        </w:tc>
      </w:tr>
      <w:tr w:rsidR="006A0B51" w:rsidRPr="007D7BB4" w14:paraId="02C26A1B" w14:textId="77777777" w:rsidTr="00447055">
        <w:tc>
          <w:tcPr>
            <w:tcW w:w="1435" w:type="dxa"/>
          </w:tcPr>
          <w:p w14:paraId="6734F4C8" w14:textId="77777777" w:rsidR="006A0B51" w:rsidRPr="007D7BB4" w:rsidRDefault="006A0B51" w:rsidP="00447055">
            <w:pPr>
              <w:rPr>
                <w:rFonts w:asciiTheme="majorHAnsi" w:eastAsia="Times New Roman" w:hAnsiTheme="majorHAnsi" w:cstheme="majorHAnsi"/>
                <w:color w:val="000000" w:themeColor="text1"/>
              </w:rPr>
            </w:pPr>
            <w:r w:rsidRPr="007D7BB4">
              <w:rPr>
                <w:rFonts w:asciiTheme="majorHAnsi" w:eastAsia="Times New Roman" w:hAnsiTheme="majorHAnsi" w:cstheme="majorHAnsi"/>
                <w:color w:val="000000" w:themeColor="text1"/>
              </w:rPr>
              <w:t>Decline in Physical Functioning</w:t>
            </w:r>
          </w:p>
        </w:tc>
        <w:tc>
          <w:tcPr>
            <w:tcW w:w="7915" w:type="dxa"/>
          </w:tcPr>
          <w:p w14:paraId="759F7E6F" w14:textId="77777777" w:rsidR="006A0B51" w:rsidRPr="007D7BB4" w:rsidRDefault="006A0B51" w:rsidP="00447055">
            <w:pPr>
              <w:rPr>
                <w:rFonts w:asciiTheme="majorHAnsi" w:eastAsia="Times New Roman" w:hAnsiTheme="majorHAnsi" w:cstheme="majorHAnsi"/>
                <w:color w:val="000000" w:themeColor="text1"/>
              </w:rPr>
            </w:pPr>
            <w:r w:rsidRPr="007D7BB4">
              <w:rPr>
                <w:rFonts w:asciiTheme="majorHAnsi" w:eastAsia="Times New Roman" w:hAnsiTheme="majorHAnsi" w:cstheme="majorHAnsi"/>
                <w:color w:val="000000" w:themeColor="text1"/>
              </w:rPr>
              <w:t xml:space="preserve">Tests of balance and grip strength and interviews about physical limitations were completed at both the age-38 and age-45 Dunedin Study assessments. We measured decline across the 7-year measurement interval by subtracting the age-38 test score from the age-45 test score. </w:t>
            </w:r>
          </w:p>
        </w:tc>
      </w:tr>
      <w:tr w:rsidR="006A0B51" w:rsidRPr="007D7BB4" w14:paraId="3323F994" w14:textId="77777777" w:rsidTr="00447055">
        <w:tc>
          <w:tcPr>
            <w:tcW w:w="9350" w:type="dxa"/>
            <w:gridSpan w:val="2"/>
          </w:tcPr>
          <w:p w14:paraId="776D31FF" w14:textId="77777777" w:rsidR="006A0B51" w:rsidRPr="007D7BB4" w:rsidRDefault="006A0B51" w:rsidP="00447055">
            <w:pPr>
              <w:rPr>
                <w:rFonts w:asciiTheme="majorHAnsi" w:eastAsia="Times New Roman" w:hAnsiTheme="majorHAnsi" w:cstheme="majorHAnsi"/>
                <w:b/>
                <w:color w:val="000000" w:themeColor="text1"/>
              </w:rPr>
            </w:pPr>
            <w:r>
              <w:rPr>
                <w:rFonts w:asciiTheme="majorHAnsi" w:eastAsia="Times New Roman" w:hAnsiTheme="majorHAnsi" w:cstheme="majorHAnsi"/>
                <w:b/>
                <w:color w:val="000000" w:themeColor="text1"/>
              </w:rPr>
              <w:t xml:space="preserve">Cognitive Functioning </w:t>
            </w:r>
            <w:r w:rsidRPr="00C07D77">
              <w:rPr>
                <w:rFonts w:asciiTheme="majorHAnsi" w:eastAsia="Times New Roman" w:hAnsiTheme="majorHAnsi" w:cstheme="majorHAnsi"/>
                <w:color w:val="000000" w:themeColor="text1"/>
              </w:rPr>
              <w:t>(</w:t>
            </w:r>
            <w:r>
              <w:rPr>
                <w:rFonts w:asciiTheme="majorHAnsi" w:eastAsia="Times New Roman" w:hAnsiTheme="majorHAnsi" w:cstheme="majorHAnsi"/>
                <w:color w:val="000000" w:themeColor="text1"/>
              </w:rPr>
              <w:t xml:space="preserve">N=795 with </w:t>
            </w:r>
            <w:proofErr w:type="spellStart"/>
            <w:r>
              <w:rPr>
                <w:rFonts w:asciiTheme="majorHAnsi" w:eastAsia="Times New Roman" w:hAnsiTheme="majorHAnsi" w:cstheme="majorHAnsi"/>
                <w:color w:val="000000" w:themeColor="text1"/>
              </w:rPr>
              <w:t>mPoA</w:t>
            </w:r>
            <w:proofErr w:type="spellEnd"/>
            <w:r>
              <w:rPr>
                <w:rFonts w:asciiTheme="majorHAnsi" w:eastAsia="Times New Roman" w:hAnsiTheme="majorHAnsi" w:cstheme="majorHAnsi"/>
                <w:color w:val="000000" w:themeColor="text1"/>
              </w:rPr>
              <w:t xml:space="preserve"> data</w:t>
            </w:r>
            <w:r w:rsidRPr="00C07D77">
              <w:rPr>
                <w:rFonts w:asciiTheme="majorHAnsi" w:eastAsia="Times New Roman" w:hAnsiTheme="majorHAnsi" w:cstheme="majorHAnsi"/>
                <w:color w:val="000000" w:themeColor="text1"/>
              </w:rPr>
              <w:t>)</w:t>
            </w:r>
          </w:p>
        </w:tc>
      </w:tr>
      <w:tr w:rsidR="006A0B51" w:rsidRPr="007D7BB4" w14:paraId="1FF6C159" w14:textId="77777777" w:rsidTr="00447055">
        <w:tc>
          <w:tcPr>
            <w:tcW w:w="1435" w:type="dxa"/>
          </w:tcPr>
          <w:p w14:paraId="062A6994" w14:textId="77777777" w:rsidR="006A0B51" w:rsidRPr="007D7BB4" w:rsidRDefault="006A0B51" w:rsidP="00447055">
            <w:pPr>
              <w:rPr>
                <w:rFonts w:asciiTheme="majorHAnsi" w:eastAsia="Times New Roman" w:hAnsiTheme="majorHAnsi" w:cstheme="majorHAnsi"/>
                <w:color w:val="000000" w:themeColor="text1"/>
              </w:rPr>
            </w:pPr>
            <w:r w:rsidRPr="007D7BB4">
              <w:rPr>
                <w:rFonts w:asciiTheme="majorHAnsi" w:eastAsia="Times New Roman" w:hAnsiTheme="majorHAnsi" w:cstheme="majorHAnsi"/>
                <w:color w:val="000000" w:themeColor="text1"/>
              </w:rPr>
              <w:lastRenderedPageBreak/>
              <w:t>Cognitive Functioning</w:t>
            </w:r>
          </w:p>
        </w:tc>
        <w:tc>
          <w:tcPr>
            <w:tcW w:w="7915" w:type="dxa"/>
          </w:tcPr>
          <w:p w14:paraId="2420F8D5" w14:textId="77777777" w:rsidR="006A0B51" w:rsidRPr="007D7BB4" w:rsidRDefault="006A0B51" w:rsidP="00447055">
            <w:pPr>
              <w:rPr>
                <w:rFonts w:asciiTheme="majorHAnsi" w:eastAsia="Times New Roman" w:hAnsiTheme="majorHAnsi" w:cstheme="majorHAnsi"/>
                <w:color w:val="000000" w:themeColor="text1"/>
              </w:rPr>
            </w:pPr>
            <w:r w:rsidRPr="009F1958">
              <w:rPr>
                <w:rFonts w:asciiTheme="majorHAnsi" w:eastAsia="Times New Roman" w:hAnsiTheme="majorHAnsi" w:cstheme="majorHAnsi"/>
                <w:color w:val="000000" w:themeColor="text1"/>
              </w:rPr>
              <w:t>The Wechsler Adult Intelligence Scale-IV (WAIS-IV)</w:t>
            </w:r>
            <w:r>
              <w:rPr>
                <w:rFonts w:asciiTheme="majorHAnsi" w:eastAsia="Times New Roman" w:hAnsiTheme="majorHAnsi" w:cstheme="majorHAnsi"/>
                <w:color w:val="000000" w:themeColor="text1"/>
              </w:rPr>
              <w:t xml:space="preserve"> </w:t>
            </w:r>
            <w:r w:rsidRPr="007D7BB4">
              <w:rPr>
                <w:rFonts w:asciiTheme="majorHAnsi" w:hAnsiTheme="majorHAnsi" w:cstheme="majorHAnsi"/>
              </w:rPr>
              <w:fldChar w:fldCharType="begin"/>
            </w:r>
            <w:r>
              <w:rPr>
                <w:rFonts w:asciiTheme="majorHAnsi" w:hAnsiTheme="majorHAnsi" w:cstheme="majorHAnsi"/>
              </w:rPr>
              <w:instrText xml:space="preserve"> ADDIN ZOTERO_ITEM CSL_CITATION {"citationID":"blfv7grcj","properties":{"formattedCitation":"(Wechsler, 2008)","plainCitation":"(Wechsler, 2008)","noteIndex":0},"citationItems":[{"id":432,"uris":["http://zotero.org/users/1593913/items/HA7TBJHD"],"uri":["http://zotero.org/users/1593913/items/HA7TBJHD"],"itemData":{"id":432,"type":"book","edition":"4th","event-place":"San Antonio, TX","publisher":"Pearson Assessment","publisher-place":"San Antonio, TX","title":"Wechsler Adult Intelligence Scale","title-short":"Wechsler Adult Intelligence Scale","author":[{"family":"Wechsler","given":"D"}],"issued":{"date-parts":[["2008"]]}}}],"schema":"https://github.com/citation-style-language/schema/raw/master/csl-citation.json"} </w:instrText>
            </w:r>
            <w:r w:rsidRPr="007D7BB4">
              <w:rPr>
                <w:rFonts w:asciiTheme="majorHAnsi" w:hAnsiTheme="majorHAnsi" w:cstheme="majorHAnsi"/>
              </w:rPr>
              <w:fldChar w:fldCharType="separate"/>
            </w:r>
            <w:r>
              <w:rPr>
                <w:rFonts w:asciiTheme="majorHAnsi" w:hAnsiTheme="majorHAnsi" w:cstheme="majorHAnsi"/>
              </w:rPr>
              <w:t>(Wechsler, 2008)</w:t>
            </w:r>
            <w:r w:rsidRPr="007D7BB4">
              <w:rPr>
                <w:rFonts w:asciiTheme="majorHAnsi" w:hAnsiTheme="majorHAnsi" w:cstheme="majorHAnsi"/>
              </w:rPr>
              <w:fldChar w:fldCharType="end"/>
            </w:r>
            <w:r w:rsidRPr="009F1958">
              <w:rPr>
                <w:rFonts w:asciiTheme="majorHAnsi" w:eastAsia="Times New Roman" w:hAnsiTheme="majorHAnsi" w:cstheme="majorHAnsi"/>
                <w:color w:val="000000" w:themeColor="text1"/>
              </w:rPr>
              <w:t xml:space="preserve"> was administered to the participants at age 45 years, yielding the IQ. In addition to full scale IQ, the WAIS-IV measures four specific domains of cognitive function: Processing Speed, Working Memory, Perceptual Reasoning, and Verbal Comprehension.</w:t>
            </w:r>
          </w:p>
        </w:tc>
      </w:tr>
      <w:tr w:rsidR="006A0B51" w:rsidRPr="007D7BB4" w14:paraId="7D16C243" w14:textId="77777777" w:rsidTr="00447055">
        <w:tc>
          <w:tcPr>
            <w:tcW w:w="1435" w:type="dxa"/>
          </w:tcPr>
          <w:p w14:paraId="58642F20" w14:textId="77777777" w:rsidR="006A0B51" w:rsidRPr="007D7BB4" w:rsidRDefault="006A0B51" w:rsidP="00447055">
            <w:pPr>
              <w:rPr>
                <w:rFonts w:asciiTheme="majorHAnsi" w:eastAsia="Times New Roman" w:hAnsiTheme="majorHAnsi" w:cstheme="majorHAnsi"/>
                <w:color w:val="000000" w:themeColor="text1"/>
              </w:rPr>
            </w:pPr>
            <w:r w:rsidRPr="007D7BB4">
              <w:rPr>
                <w:rFonts w:asciiTheme="majorHAnsi" w:eastAsia="Times New Roman" w:hAnsiTheme="majorHAnsi" w:cstheme="majorHAnsi"/>
                <w:color w:val="000000" w:themeColor="text1"/>
              </w:rPr>
              <w:t>Cognitive Decline</w:t>
            </w:r>
          </w:p>
        </w:tc>
        <w:tc>
          <w:tcPr>
            <w:tcW w:w="7915" w:type="dxa"/>
          </w:tcPr>
          <w:p w14:paraId="1670B685" w14:textId="77777777" w:rsidR="006A0B51" w:rsidRPr="007D7BB4" w:rsidRDefault="006A0B51" w:rsidP="00447055">
            <w:pPr>
              <w:rPr>
                <w:rFonts w:asciiTheme="majorHAnsi" w:eastAsia="Times New Roman" w:hAnsiTheme="majorHAnsi" w:cstheme="majorHAnsi"/>
                <w:color w:val="000000" w:themeColor="text1"/>
              </w:rPr>
            </w:pPr>
            <w:r w:rsidRPr="007D7BB4">
              <w:rPr>
                <w:rFonts w:asciiTheme="majorHAnsi" w:hAnsiTheme="majorHAnsi" w:cstheme="majorHAnsi"/>
              </w:rPr>
              <w:t>IQ is a highly reliable measure of general intellectual functioning that captures overall ability across differentiable cognitive functions. We measured IQ from the individually administered Wechsler Intelligence Scale for Children-Revised (WISC-R; averaged across ages 7, 9, 11, and 13)</w:t>
            </w:r>
            <w:r w:rsidRPr="007D7BB4">
              <w:rPr>
                <w:rFonts w:asciiTheme="majorHAnsi" w:hAnsiTheme="majorHAnsi" w:cstheme="majorHAnsi"/>
              </w:rPr>
              <w:fldChar w:fldCharType="begin"/>
            </w:r>
            <w:r>
              <w:rPr>
                <w:rFonts w:asciiTheme="majorHAnsi" w:hAnsiTheme="majorHAnsi" w:cstheme="majorHAnsi"/>
              </w:rPr>
              <w:instrText xml:space="preserve"> ADDIN ZOTERO_ITEM CSL_CITATION {"citationID":"aere7de2s","properties":{"formattedCitation":"(Wechsler, 2003)","plainCitation":"(Wechsler, 2003)","noteIndex":0},"citationItems":[{"id":1652,"uris":["http://zotero.org/users/1593913/items/F95W3BAN"],"uri":["http://zotero.org/users/1593913/items/F95W3BAN"],"itemData":{"id":1652,"type":"book","edition":"4th (UK Version)","event-place":"San Antonio, TX","publisher":"Harcourt Assessment","publisher-place":"San Antonio, TX","title":"Wechsler Intelligence Scale for Children","title-short":"Wechsler Intelligence Scale for Children","author":[{"family":"Wechsler","given":"D"}],"issued":{"date-parts":[["2003"]]}}}],"schema":"https://github.com/citation-style-language/schema/raw/master/csl-citation.json"} </w:instrText>
            </w:r>
            <w:r w:rsidRPr="007D7BB4">
              <w:rPr>
                <w:rFonts w:asciiTheme="majorHAnsi" w:hAnsiTheme="majorHAnsi" w:cstheme="majorHAnsi"/>
              </w:rPr>
              <w:fldChar w:fldCharType="separate"/>
            </w:r>
            <w:r>
              <w:rPr>
                <w:rFonts w:asciiTheme="majorHAnsi" w:hAnsiTheme="majorHAnsi" w:cstheme="majorHAnsi"/>
              </w:rPr>
              <w:t>(Wechsler, 2003)</w:t>
            </w:r>
            <w:r w:rsidRPr="007D7BB4">
              <w:rPr>
                <w:rFonts w:asciiTheme="majorHAnsi" w:hAnsiTheme="majorHAnsi" w:cstheme="majorHAnsi"/>
              </w:rPr>
              <w:fldChar w:fldCharType="end"/>
            </w:r>
            <w:r w:rsidRPr="007D7BB4">
              <w:rPr>
                <w:rFonts w:asciiTheme="majorHAnsi" w:hAnsiTheme="majorHAnsi" w:cstheme="majorHAnsi"/>
              </w:rPr>
              <w:t xml:space="preserve"> and the Wechsler Adult Intelligence Scale-IV (WAIS-IV; age </w:t>
            </w:r>
            <w:r>
              <w:rPr>
                <w:rFonts w:asciiTheme="majorHAnsi" w:hAnsiTheme="majorHAnsi" w:cstheme="majorHAnsi"/>
              </w:rPr>
              <w:t>45</w:t>
            </w:r>
            <w:r w:rsidRPr="007D7BB4">
              <w:rPr>
                <w:rFonts w:asciiTheme="majorHAnsi" w:hAnsiTheme="majorHAnsi" w:cstheme="majorHAnsi"/>
              </w:rPr>
              <w:t xml:space="preserve">) </w:t>
            </w:r>
            <w:r w:rsidRPr="007D7BB4">
              <w:rPr>
                <w:rFonts w:asciiTheme="majorHAnsi" w:hAnsiTheme="majorHAnsi" w:cstheme="majorHAnsi"/>
              </w:rPr>
              <w:fldChar w:fldCharType="begin"/>
            </w:r>
            <w:r>
              <w:rPr>
                <w:rFonts w:asciiTheme="majorHAnsi" w:hAnsiTheme="majorHAnsi" w:cstheme="majorHAnsi"/>
              </w:rPr>
              <w:instrText xml:space="preserve"> ADDIN ZOTERO_ITEM CSL_CITATION {"citationID":"fhoNHwCX","properties":{"formattedCitation":"(Wechsler, 2008)","plainCitation":"(Wechsler, 2008)","noteIndex":0},"citationItems":[{"id":432,"uris":["http://zotero.org/users/1593913/items/HA7TBJHD"],"uri":["http://zotero.org/users/1593913/items/HA7TBJHD"],"itemData":{"id":432,"type":"book","edition":"4th","event-place":"San Antonio, TX","publisher":"Pearson Assessment","publisher-place":"San Antonio, TX","title":"Wechsler Adult Intelligence Scale","title-short":"Wechsler Adult Intelligence Scale","author":[{"family":"Wechsler","given":"D"}],"issued":{"date-parts":[["2008"]]}}}],"schema":"https://github.com/citation-style-language/schema/raw/master/csl-citation.json"} </w:instrText>
            </w:r>
            <w:r w:rsidRPr="007D7BB4">
              <w:rPr>
                <w:rFonts w:asciiTheme="majorHAnsi" w:hAnsiTheme="majorHAnsi" w:cstheme="majorHAnsi"/>
              </w:rPr>
              <w:fldChar w:fldCharType="separate"/>
            </w:r>
            <w:r>
              <w:rPr>
                <w:rFonts w:asciiTheme="majorHAnsi" w:hAnsiTheme="majorHAnsi" w:cstheme="majorHAnsi"/>
              </w:rPr>
              <w:t>(Wechsler, 2008)</w:t>
            </w:r>
            <w:r w:rsidRPr="007D7BB4">
              <w:rPr>
                <w:rFonts w:asciiTheme="majorHAnsi" w:hAnsiTheme="majorHAnsi" w:cstheme="majorHAnsi"/>
              </w:rPr>
              <w:fldChar w:fldCharType="end"/>
            </w:r>
            <w:r w:rsidRPr="007D7BB4">
              <w:rPr>
                <w:rFonts w:asciiTheme="majorHAnsi" w:hAnsiTheme="majorHAnsi" w:cstheme="majorHAnsi"/>
              </w:rPr>
              <w:t>. We measured IQ decline by comparing scores from the WISC-R and the WAIS-IV.</w:t>
            </w:r>
          </w:p>
        </w:tc>
      </w:tr>
      <w:tr w:rsidR="006A0B51" w:rsidRPr="007D7BB4" w14:paraId="1ED2A8BB" w14:textId="77777777" w:rsidTr="00447055">
        <w:tc>
          <w:tcPr>
            <w:tcW w:w="9350" w:type="dxa"/>
            <w:gridSpan w:val="2"/>
          </w:tcPr>
          <w:p w14:paraId="6D277C26" w14:textId="77777777" w:rsidR="006A0B51" w:rsidRPr="007D7BB4" w:rsidRDefault="006A0B51" w:rsidP="00447055">
            <w:pPr>
              <w:rPr>
                <w:rFonts w:asciiTheme="majorHAnsi" w:hAnsiTheme="majorHAnsi" w:cstheme="majorHAnsi"/>
                <w:b/>
              </w:rPr>
            </w:pPr>
            <w:r>
              <w:rPr>
                <w:rFonts w:asciiTheme="majorHAnsi" w:hAnsiTheme="majorHAnsi" w:cstheme="majorHAnsi"/>
                <w:b/>
              </w:rPr>
              <w:t xml:space="preserve">Subjective Signs of Aging </w:t>
            </w:r>
            <w:r w:rsidRPr="00C07D77">
              <w:rPr>
                <w:rFonts w:asciiTheme="majorHAnsi" w:hAnsiTheme="majorHAnsi" w:cstheme="majorHAnsi"/>
              </w:rPr>
              <w:t>(</w:t>
            </w:r>
            <w:r>
              <w:rPr>
                <w:rFonts w:asciiTheme="majorHAnsi" w:hAnsiTheme="majorHAnsi" w:cstheme="majorHAnsi"/>
              </w:rPr>
              <w:t xml:space="preserve">N=802 with </w:t>
            </w:r>
            <w:proofErr w:type="spellStart"/>
            <w:r>
              <w:rPr>
                <w:rFonts w:asciiTheme="majorHAnsi" w:hAnsiTheme="majorHAnsi" w:cstheme="majorHAnsi"/>
              </w:rPr>
              <w:t>mPoA</w:t>
            </w:r>
            <w:proofErr w:type="spellEnd"/>
            <w:r>
              <w:rPr>
                <w:rFonts w:asciiTheme="majorHAnsi" w:hAnsiTheme="majorHAnsi" w:cstheme="majorHAnsi"/>
              </w:rPr>
              <w:t xml:space="preserve"> data</w:t>
            </w:r>
            <w:r w:rsidRPr="00C07D77">
              <w:rPr>
                <w:rFonts w:asciiTheme="majorHAnsi" w:hAnsiTheme="majorHAnsi" w:cstheme="majorHAnsi"/>
              </w:rPr>
              <w:t>)</w:t>
            </w:r>
          </w:p>
        </w:tc>
      </w:tr>
      <w:tr w:rsidR="006A0B51" w:rsidRPr="007D7BB4" w14:paraId="0DFFF1F3" w14:textId="77777777" w:rsidTr="00447055">
        <w:tc>
          <w:tcPr>
            <w:tcW w:w="1435" w:type="dxa"/>
          </w:tcPr>
          <w:p w14:paraId="129FC934" w14:textId="77777777" w:rsidR="006A0B51" w:rsidRPr="007D7BB4" w:rsidRDefault="006A0B51" w:rsidP="00447055">
            <w:pP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Self-rated Health</w:t>
            </w:r>
          </w:p>
        </w:tc>
        <w:tc>
          <w:tcPr>
            <w:tcW w:w="7915" w:type="dxa"/>
          </w:tcPr>
          <w:p w14:paraId="16F69D5F" w14:textId="77777777" w:rsidR="006A0B51" w:rsidRPr="007D7BB4" w:rsidRDefault="006A0B51" w:rsidP="00447055">
            <w:pPr>
              <w:rPr>
                <w:rFonts w:asciiTheme="majorHAnsi" w:hAnsiTheme="majorHAnsi" w:cstheme="majorHAnsi"/>
              </w:rPr>
            </w:pPr>
            <w:r w:rsidRPr="007D7BB4">
              <w:rPr>
                <w:rFonts w:asciiTheme="majorHAnsi" w:hAnsiTheme="majorHAnsi" w:cstheme="majorHAnsi"/>
              </w:rPr>
              <w:t>Study members rated their health on a scale of 1-5 (poor, fair, good, very good, or excellent).</w:t>
            </w:r>
          </w:p>
        </w:tc>
      </w:tr>
      <w:tr w:rsidR="006A0B51" w:rsidRPr="007D7BB4" w14:paraId="75344D7B" w14:textId="77777777" w:rsidTr="00447055">
        <w:tc>
          <w:tcPr>
            <w:tcW w:w="1435" w:type="dxa"/>
          </w:tcPr>
          <w:p w14:paraId="2EF19FBD" w14:textId="77777777" w:rsidR="006A0B51" w:rsidRPr="007D7BB4" w:rsidRDefault="006A0B51" w:rsidP="00447055">
            <w:pP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Facial Aging</w:t>
            </w:r>
          </w:p>
        </w:tc>
        <w:tc>
          <w:tcPr>
            <w:tcW w:w="7915" w:type="dxa"/>
          </w:tcPr>
          <w:p w14:paraId="0689F2CD" w14:textId="77777777" w:rsidR="006A0B51" w:rsidRPr="007D7BB4" w:rsidRDefault="006A0B51" w:rsidP="00447055">
            <w:pPr>
              <w:rPr>
                <w:rFonts w:asciiTheme="majorHAnsi" w:hAnsiTheme="majorHAnsi" w:cs="Times"/>
                <w:b/>
              </w:rPr>
            </w:pPr>
            <w:r w:rsidRPr="009F1958">
              <w:rPr>
                <w:rFonts w:asciiTheme="majorHAnsi" w:hAnsiTheme="majorHAnsi" w:cs="Arial"/>
              </w:rPr>
              <w:t>Facial Aging</w:t>
            </w:r>
            <w:r>
              <w:rPr>
                <w:rFonts w:asciiTheme="majorHAnsi" w:hAnsiTheme="majorHAnsi" w:cs="Arial"/>
              </w:rPr>
              <w:t xml:space="preserve"> is the subjective perception of aged appearance based on a facial photograph and is proposed as a clinically-useful marker of mortality risk  </w:t>
            </w:r>
            <w:r>
              <w:rPr>
                <w:rFonts w:asciiTheme="majorHAnsi" w:hAnsiTheme="majorHAnsi" w:cs="Arial"/>
              </w:rPr>
              <w:fldChar w:fldCharType="begin"/>
            </w:r>
            <w:r>
              <w:rPr>
                <w:rFonts w:asciiTheme="majorHAnsi" w:hAnsiTheme="majorHAnsi" w:cs="Arial"/>
              </w:rPr>
              <w:instrText xml:space="preserve"> ADDIN ZOTERO_ITEM CSL_CITATION {"citationID":"bhgU76Df","properties":{"formattedCitation":"(Christensen et al., 2009)","plainCitation":"(Christensen et al., 2009)","noteIndex":0},"citationItems":[{"id":5593,"uris":["http://zotero.org/users/1593913/items/A9FS3ADN"],"uri":["http://zotero.org/users/1593913/items/A9FS3ADN"],"itemData":{"id":5593,"type":"article-journal","abstract":"Objective To determine whether perceived age correlates with survival and important age related phenotypes., Design Follow-up study, with survival of twins determined up to January 2008, by which time 675 (37%) had died., Setting Population based twin cohort in Denmark., Participants 20 nurses, 10 young men, and 11 older women (assessors); 1826 twins aged ≥70., Main outcome measures Assessors: perceived age of twins from photographs. Twins: physical and cognitive tests and molecular biomarker of ageing (leucocyte telomere length)., Results For all three groups of assessors, perceived age was significantly associated with survival, even after adjustment for chronological age, sex, and rearing environment. Perceived age was still significantly associated with survival after further adjustment for physical and cognitive functioning. The likelihood that the older looking twin of the pair died first increased with increasing discordance in perceived age within the twin pair—that is, the bigger the difference in perceived age within the pair, the more likely that the older looking twin died first. Twin analyses suggested that common genetic factors influence both perceived age and survival. Perceived age, controlled for chronological age and sex, also correlated significantly with physical and cognitive functioning as well as with leucocyte telomere length. , Conclusion Perceived age—which is widely used by clinicians as a general indication of a patient’s health—is a robust biomarker of ageing that predicts survival among those aged ≥70 and correlates with important functional and molecular ageing phenotypes.","container-title":"BMJ : British Medical Journal","DOI":"10.1136/bmj.b5262","ISSN":"0959-8138","journalAbbreviation":"BMJ","note":"PMID: 20008378\nPMCID: PMC2792675","source":"PubMed Central","title":"Perceived age as clinically useful biomarker of ageing: cohort study","title-short":"Perceived age as clinically useful biomarker of ageing","URL":"http://www.ncbi.nlm.nih.gov/pmc/articles/PMC2792675/","volume":"339","author":[{"family":"Christensen","given":"Kaare"},{"family":"Thinggaard","given":"Mikael"},{"family":"McGue","given":"Matt"},{"family":"Rexbye","given":"Helle"},{"family":"Hjelmborg","given":"Jacob v B"},{"family":"Aviv","given":"Abraham"},{"family":"Gunn","given":"David"},{"family":"Ouderaa","given":"Frans","non-dropping-particle":"van der"},{"family":"Vaupel","given":"James W"}],"accessed":{"date-parts":[["2014",1,23]]},"issued":{"date-parts":[["2009"]]}}}],"schema":"https://github.com/citation-style-language/schema/raw/master/csl-citation.json"} </w:instrText>
            </w:r>
            <w:r>
              <w:rPr>
                <w:rFonts w:asciiTheme="majorHAnsi" w:hAnsiTheme="majorHAnsi" w:cs="Arial"/>
              </w:rPr>
              <w:fldChar w:fldCharType="separate"/>
            </w:r>
            <w:r>
              <w:rPr>
                <w:rFonts w:asciiTheme="majorHAnsi" w:hAnsiTheme="majorHAnsi" w:cs="Arial"/>
                <w:noProof/>
              </w:rPr>
              <w:t>(Christensen et al., 2009)</w:t>
            </w:r>
            <w:r>
              <w:rPr>
                <w:rFonts w:asciiTheme="majorHAnsi" w:hAnsiTheme="majorHAnsi" w:cs="Arial"/>
              </w:rPr>
              <w:fldChar w:fldCharType="end"/>
            </w:r>
            <w:r>
              <w:rPr>
                <w:rFonts w:asciiTheme="majorHAnsi" w:hAnsiTheme="majorHAnsi" w:cs="Arial"/>
              </w:rPr>
              <w:t>. Facial Aging measurement</w:t>
            </w:r>
            <w:r w:rsidRPr="009F1958">
              <w:rPr>
                <w:rFonts w:asciiTheme="majorHAnsi" w:hAnsiTheme="majorHAnsi" w:cs="Arial"/>
              </w:rPr>
              <w:t xml:space="preserve"> </w:t>
            </w:r>
            <w:r>
              <w:rPr>
                <w:rFonts w:asciiTheme="majorHAnsi" w:hAnsiTheme="majorHAnsi" w:cs="Arial"/>
              </w:rPr>
              <w:t xml:space="preserve">in the Dunedin Study </w:t>
            </w:r>
            <w:r w:rsidRPr="009F1958">
              <w:rPr>
                <w:rFonts w:asciiTheme="majorHAnsi" w:hAnsiTheme="majorHAnsi" w:cs="Arial"/>
              </w:rPr>
              <w:t xml:space="preserve">was based on </w:t>
            </w:r>
            <w:r w:rsidRPr="00394E78">
              <w:rPr>
                <w:rFonts w:asciiTheme="majorHAnsi" w:hAnsiTheme="majorHAnsi" w:cs="Arial"/>
              </w:rPr>
              <w:t xml:space="preserve">ratings by an independent panel of 8 raters of each participant’s facial photograph </w:t>
            </w:r>
            <w:r w:rsidRPr="00394E78">
              <w:rPr>
                <w:rFonts w:asciiTheme="majorHAnsi" w:hAnsiTheme="majorHAnsi" w:cs="Arial"/>
              </w:rPr>
              <w:fldChar w:fldCharType="begin"/>
            </w:r>
            <w:r w:rsidRPr="00394E78">
              <w:rPr>
                <w:rFonts w:asciiTheme="majorHAnsi" w:hAnsiTheme="majorHAnsi" w:cs="Arial"/>
              </w:rPr>
              <w:instrText xml:space="preserve"> ADDIN ZOTERO_ITEM CSL_CITATION {"citationID":"FIWBZ6ev","properties":{"formattedCitation":"(Belsky et al., 2015; Shalev et al., 2014)","plainCitation":"(Belsky et al., 2015; Shalev et al., 2014)","noteIndex":0},"citationItems":[{"id":6274,"uris":["http://zotero.org/users/1593913/items/K7V9I8VA"],"uri":["http://zotero.org/users/1593913/items/K7V9I8VA"],"itemData":{"id":6274,"type":"article-journal","abstract":"Antiaging therapies show promise in model organism research. Translation to humans is needed to address the challenges of an aging global population. Interventions to slow human aging will need to be applied to still-young individuals. However, most human aging research examines older adults, many with chronic disease. As a result, little is known about aging in young humans. We studied aging in 954 young humans, the Dunedin Study birth cohort, tracking multiple biomarkers across three time points spanning their third and fourth decades of life. We developed and validated two methods by which aging can be measured in young adults, one cross-sectional and one longitudinal. Our longitudinal measure allows quantification of the pace of coordinated physiological deterioration across multiple organ systems (e.g., pulmonary, periodontal, cardiovascular, renal, hepatic, and immune function). We applied these methods to assess biological aging in young humans who had not yet developed age-related diseases. Young individuals of the same chronological age varied in their \"biological aging\" (declining integrity of multiple organ systems). Already, before midlife, individuals who were aging more rapidly were less physically able, showed cognitive decline and brain aging, self-reported worse health, and looked older. Measured biological aging in young adults can be used to identify causes of aging and evaluate rejuvenation therapies.","container-title":"Proceedings of the National Academy of Sciences of the United States of America","DOI":"10.1073/pnas.1506264112","ISSN":"1091-6490","issue":"30","journalAbbreviation":"Proc. Natl. Acad. Sci. U.S.A.","language":"eng","note":"PMID: 26150497\nPMCID: PMC4522793","page":"E4104-4110","source":"PubMed","title":"Quantification of biological aging in young adults","volume":"112","author":[{"family":"Belsky","given":"Daniel W."},{"family":"Caspi","given":"Avshalom"},{"family":"Houts","given":"Renate"},{"family":"Cohen","given":"Harvey J."},{"family":"Corcoran","given":"David L."},{"family":"Danese","given":"Andrea"},{"family":"Harrington","given":"HonaLee"},{"family":"Israel","given":"Salomon"},{"family":"Levine","given":"Morgan E."},{"family":"Schaefer","given":"Jonathan D."},{"family":"Sugden","given":"Karen"},{"family":"Williams","given":"Ben"},{"family":"Yashin","given":"Anatoli I."},{"family":"Poulton","given":"Richie"},{"family":"Moffitt","given":"Terrie E."}],"issued":{"date-parts":[["2015",7,28]]}}},{"id":6060,"uris":["http://zotero.org/users/1593913/items/EBJTFWFA"],"uri":["http://zotero.org/users/1593913/items/EBJTFWFA"],"itemData":{"id":6060,"type":"article-journal","abstract":"BACKGROUND: Perinatal complications predict increased risk for morbidity and early mortality. Evidence of perinatal programming of adult mortality raises the question of what mechanisms embed this long-term effect. We tested a hypothesis related to the theory of developmental origins of health and disease: that perinatal complications assessed at birth predict indicators of accelerated aging by midlife.\nMETHODS: Perinatal complications, including both maternal and neonatal complications, were assessed in the Dunedin Multidisciplinary Health and Development Study cohort (N = 1037), a 38-year, prospective longitudinal study of a representative birth cohort. Two aging indicators were assessed at age 38 years, objectively by leukocyte telomere length (TL) and subjectively by perceived facial age.\nRESULTS: Perinatal complications predicted both leukocyte TL (β = -0.101; 95% confidence interval, -0.169 to -0.033; P = .004) and perceived age (β = 0.097; 95% confidence interval, 0.029 to 0.165; P = .005) by midlife. We repeated analyses with controls for measures of family history and social risk that could predispose to perinatal complications and accelerated aging, and for measures of poor health taken in between birth and the age-38 follow-up. These covariates attenuated, but did not fully explain the associations observed between perinatal complications and aging indicators.\nCONCLUSIONS: Our findings provide support for early-life developmental programming by linking newborns' perinatal complications to accelerated aging at midlife. We observed indications of accelerated aging \"inside,\" as measured by leukocyte TL, an indicator of cellular aging, and \"outside,\" as measured by perceived age, an indicator of declining tissue integrity. A better understanding of mechanisms underlying perinatal programming of adult aging is needed.","container-title":"Pediatrics","DOI":"10.1542/peds.2014-1669","ISSN":"1098-4275","issue":"5","journalAbbreviation":"Pediatrics","language":"eng","note":"PMID: 25349321","page":"e1315-1323","source":"NCBI PubMed","title":"Perinatal complications and aging indicators by midlife","volume":"134","author":[{"family":"Shalev","given":"Idan"},{"family":"Caspi","given":"Avshalom"},{"family":"Ambler","given":"Antony"},{"family":"Belsky","given":"Daniel W."},{"family":"Chapple","given":"Simon"},{"family":"Cohen","given":"Harvey Jay"},{"family":"Israel","given":"Salomon"},{"family":"Poulton","given":"Richie"},{"family":"Ramrakha","given":"Sandhya"},{"family":"Rivera","given":"Christine D."},{"family":"Sugden","given":"Karen"},{"family":"Williams","given":"Benjamin"},{"family":"Wolke","given":"Dieter"},{"family":"Moffitt","given":"Terrie E."}],"issued":{"date-parts":[["2014",11]]}}}],"schema":"https://github.com/citation-style-language/schema/raw/master/csl-citation.json"} </w:instrText>
            </w:r>
            <w:r w:rsidRPr="00394E78">
              <w:rPr>
                <w:rFonts w:asciiTheme="majorHAnsi" w:hAnsiTheme="majorHAnsi" w:cs="Arial"/>
              </w:rPr>
              <w:fldChar w:fldCharType="separate"/>
            </w:r>
            <w:r w:rsidRPr="00394E78">
              <w:rPr>
                <w:rFonts w:asciiTheme="majorHAnsi" w:hAnsiTheme="majorHAnsi" w:cs="Arial"/>
                <w:noProof/>
              </w:rPr>
              <w:t>(Belsky et al., 2015; Shalev et al., 2014)</w:t>
            </w:r>
            <w:r w:rsidRPr="00394E78">
              <w:rPr>
                <w:rFonts w:asciiTheme="majorHAnsi" w:hAnsiTheme="majorHAnsi" w:cs="Arial"/>
              </w:rPr>
              <w:fldChar w:fldCharType="end"/>
            </w:r>
            <w:r w:rsidRPr="00394E78">
              <w:rPr>
                <w:rFonts w:asciiTheme="majorHAnsi" w:hAnsiTheme="majorHAnsi" w:cs="Arial"/>
              </w:rPr>
              <w:t>. Facial Aging was based on two measurements of perceived age. First, Age Range was assessed by an independent panel of 4 raters, who were presented with standardized (non-smiling) facial</w:t>
            </w:r>
            <w:r w:rsidRPr="009F1958">
              <w:rPr>
                <w:rFonts w:asciiTheme="majorHAnsi" w:hAnsiTheme="majorHAnsi" w:cs="Arial"/>
              </w:rPr>
              <w:t xml:space="preserve"> photographs of participants and were kept blind to their actual age. Raters used a Likert scale to categorize each participant into a 5-year age range (i.e., from 20-24 years old up to 70+ years old) (interrater reliability = .77). Scores for each participant were averaged across all raters. Second, Relative Age was assessed by a different panel of 4 raters, who were told that all photos were of people aged 45 years old. Raters then used a 7-item Likert scale to assign a “relative age” to each participant (1</w:t>
            </w:r>
            <w:proofErr w:type="gramStart"/>
            <w:r w:rsidRPr="009F1958">
              <w:rPr>
                <w:rFonts w:asciiTheme="majorHAnsi" w:hAnsiTheme="majorHAnsi" w:cs="Arial"/>
              </w:rPr>
              <w:t>=</w:t>
            </w:r>
            <w:r>
              <w:rPr>
                <w:rFonts w:asciiTheme="majorHAnsi" w:hAnsiTheme="majorHAnsi" w:cs="Arial"/>
              </w:rPr>
              <w:t>“</w:t>
            </w:r>
            <w:proofErr w:type="gramEnd"/>
            <w:r w:rsidRPr="009F1958">
              <w:rPr>
                <w:rFonts w:asciiTheme="majorHAnsi" w:hAnsiTheme="majorHAnsi" w:cs="Arial"/>
              </w:rPr>
              <w:t>young looking”, 7=</w:t>
            </w:r>
            <w:r>
              <w:rPr>
                <w:rFonts w:asciiTheme="majorHAnsi" w:hAnsiTheme="majorHAnsi" w:cs="Arial"/>
              </w:rPr>
              <w:t>“</w:t>
            </w:r>
            <w:r w:rsidRPr="009F1958">
              <w:rPr>
                <w:rFonts w:asciiTheme="majorHAnsi" w:hAnsiTheme="majorHAnsi" w:cs="Arial"/>
              </w:rPr>
              <w:t>old looking”) (interrater reliability = .79). The measure of perceived age at 45 years, Facial Age, was derived by standardizing and averaging Age Range and Relative Age scores.</w:t>
            </w:r>
          </w:p>
        </w:tc>
      </w:tr>
      <w:tr w:rsidR="006A0B51" w:rsidRPr="007D7BB4" w14:paraId="49F53A61" w14:textId="77777777" w:rsidTr="00447055">
        <w:tc>
          <w:tcPr>
            <w:tcW w:w="1435" w:type="dxa"/>
          </w:tcPr>
          <w:p w14:paraId="728D4B8F" w14:textId="77777777" w:rsidR="006A0B51" w:rsidRPr="007D7BB4" w:rsidRDefault="006A0B51" w:rsidP="00447055">
            <w:pP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 xml:space="preserve">Subjective Decline </w:t>
            </w:r>
          </w:p>
        </w:tc>
        <w:tc>
          <w:tcPr>
            <w:tcW w:w="7915" w:type="dxa"/>
          </w:tcPr>
          <w:p w14:paraId="3198B219" w14:textId="77777777" w:rsidR="006A0B51" w:rsidRPr="007D7BB4" w:rsidRDefault="006A0B51" w:rsidP="00447055">
            <w:pPr>
              <w:rPr>
                <w:rFonts w:asciiTheme="majorHAnsi" w:hAnsiTheme="majorHAnsi" w:cstheme="majorHAnsi"/>
              </w:rPr>
            </w:pPr>
            <w:r>
              <w:rPr>
                <w:rFonts w:asciiTheme="majorHAnsi" w:hAnsiTheme="majorHAnsi" w:cstheme="majorHAnsi"/>
              </w:rPr>
              <w:t xml:space="preserve">Self-rated Health and Facial Aging were measured at both the age-38 and age-45 assessments. We measured decline in self-rated health as incident fair/poor health reported at the age-45 assessment. We measured acceleration in Facial Aging by computing the difference in Facial Aging Z-scores between the age-45 and age-38 assessments. </w:t>
            </w:r>
          </w:p>
        </w:tc>
      </w:tr>
    </w:tbl>
    <w:p w14:paraId="5FCD7826" w14:textId="77777777" w:rsidR="006A0B51" w:rsidRDefault="006A0B51" w:rsidP="006A0B51">
      <w:pPr>
        <w:rPr>
          <w:rFonts w:eastAsia="Times New Roman" w:cstheme="minorHAnsi"/>
          <w:color w:val="000000" w:themeColor="text1"/>
        </w:rPr>
      </w:pPr>
    </w:p>
    <w:p w14:paraId="58CBD219" w14:textId="4BE1F9DB" w:rsidR="000056AF" w:rsidRPr="00657721" w:rsidRDefault="000056AF">
      <w:pPr>
        <w:rPr>
          <w:b/>
        </w:rPr>
      </w:pPr>
    </w:p>
    <w:sectPr w:rsidR="000056AF" w:rsidRPr="00657721" w:rsidSect="007E417D">
      <w:headerReference w:type="even" r:id="rId15"/>
      <w:headerReference w:type="default" r:id="rId16"/>
      <w:footerReference w:type="even" r:id="rId17"/>
      <w:foot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56D0B" w14:textId="77777777" w:rsidR="00F74DF4" w:rsidRDefault="00F74DF4" w:rsidP="00287062">
      <w:r>
        <w:separator/>
      </w:r>
    </w:p>
  </w:endnote>
  <w:endnote w:type="continuationSeparator" w:id="0">
    <w:p w14:paraId="182EA3B2" w14:textId="77777777" w:rsidR="00F74DF4" w:rsidRDefault="00F74DF4" w:rsidP="0028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92670214"/>
      <w:docPartObj>
        <w:docPartGallery w:val="Page Numbers (Bottom of Page)"/>
        <w:docPartUnique/>
      </w:docPartObj>
    </w:sdtPr>
    <w:sdtEndPr>
      <w:rPr>
        <w:rStyle w:val="PageNumber"/>
      </w:rPr>
    </w:sdtEndPr>
    <w:sdtContent>
      <w:p w14:paraId="338FEB7E" w14:textId="77777777" w:rsidR="0051420F" w:rsidRDefault="008E7763" w:rsidP="00DF0A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49FD18" w14:textId="77777777" w:rsidR="0051420F" w:rsidRDefault="00F74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54029572"/>
      <w:docPartObj>
        <w:docPartGallery w:val="Page Numbers (Bottom of Page)"/>
        <w:docPartUnique/>
      </w:docPartObj>
    </w:sdtPr>
    <w:sdtEndPr>
      <w:rPr>
        <w:rStyle w:val="PageNumber"/>
      </w:rPr>
    </w:sdtEndPr>
    <w:sdtContent>
      <w:p w14:paraId="046D623A" w14:textId="77777777" w:rsidR="0051420F" w:rsidRDefault="008E7763" w:rsidP="00DF0A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sdtContent>
  </w:sdt>
  <w:p w14:paraId="735DF8C6" w14:textId="77777777" w:rsidR="0051420F" w:rsidRDefault="00F74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1827F" w14:textId="77777777" w:rsidR="00F74DF4" w:rsidRDefault="00F74DF4" w:rsidP="00287062">
      <w:r>
        <w:separator/>
      </w:r>
    </w:p>
  </w:footnote>
  <w:footnote w:type="continuationSeparator" w:id="0">
    <w:p w14:paraId="4062E15A" w14:textId="77777777" w:rsidR="00F74DF4" w:rsidRDefault="00F74DF4" w:rsidP="00287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DC0AC" w14:textId="77777777" w:rsidR="0051420F" w:rsidRDefault="008E7763">
    <w:pPr>
      <w:pStyle w:val="Header"/>
    </w:pPr>
    <w:r>
      <w:rPr>
        <w:noProof/>
      </w:rPr>
      <mc:AlternateContent>
        <mc:Choice Requires="wps">
          <w:drawing>
            <wp:anchor distT="0" distB="0" distL="114300" distR="114300" simplePos="0" relativeHeight="251662336" behindDoc="1" locked="0" layoutInCell="0" allowOverlap="1" wp14:anchorId="48E3F558" wp14:editId="6C4806E9">
              <wp:simplePos x="0" y="0"/>
              <wp:positionH relativeFrom="margin">
                <wp:align>center</wp:align>
              </wp:positionH>
              <wp:positionV relativeFrom="margin">
                <wp:align>center</wp:align>
              </wp:positionV>
              <wp:extent cx="7780655" cy="106680"/>
              <wp:effectExtent l="0" t="2667000" r="0" b="26530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8065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1BD56D" w14:textId="77777777" w:rsidR="0051420F" w:rsidRDefault="008E7763" w:rsidP="000A1925">
                          <w:pPr>
                            <w:pStyle w:val="NormalWeb"/>
                            <w:spacing w:before="0" w:beforeAutospacing="0" w:after="0" w:afterAutospacing="0"/>
                            <w:jc w:val="center"/>
                          </w:pPr>
                          <w:r>
                            <w:rPr>
                              <w:rFonts w:ascii="Calibri" w:eastAsia="Calibri" w:hAnsi="Calibri" w:cs="Calibri"/>
                              <w:color w:val="C0C0C0"/>
                              <w:sz w:val="2"/>
                              <w:szCs w:val="2"/>
                            </w:rPr>
                            <w:t>Preliminary - Do Not Distribute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E3F558" id="_x0000_t202" coordsize="21600,21600" o:spt="202" path="m,l,21600r21600,l21600,xe">
              <v:stroke joinstyle="miter"/>
              <v:path gradientshapeok="t" o:connecttype="rect"/>
            </v:shapetype>
            <v:shape id="Text Box 4" o:spid="_x0000_s1026" type="#_x0000_t202" style="position:absolute;margin-left:0;margin-top:0;width:612.65pt;height:8.4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" o:allowincell="f" filled="f" stroked="f">
              <v:stroke joinstyle="round"/>
              <o:lock v:ext="edit" shapetype="t"/>
              <v:textbox style="mso-fit-shape-to-text:t">
                <w:txbxContent>
                  <w:p w14:paraId="7C1BD56D" w14:textId="77777777" w:rsidR="0051420F" w:rsidRDefault="008E7763" w:rsidP="000A1925">
                    <w:pPr>
                      <w:pStyle w:val="NormalWeb"/>
                      <w:spacing w:before="0" w:beforeAutospacing="0" w:after="0" w:afterAutospacing="0"/>
                      <w:jc w:val="center"/>
                    </w:pPr>
                    <w:r>
                      <w:rPr>
                        <w:rFonts w:ascii="Calibri" w:eastAsia="Calibri" w:hAnsi="Calibri" w:cs="Calibri"/>
                        <w:color w:val="C0C0C0"/>
                        <w:sz w:val="2"/>
                        <w:szCs w:val="2"/>
                      </w:rPr>
                      <w:t>Preliminary - Do Not Distribute</w:t>
                    </w:r>
                  </w:p>
                </w:txbxContent>
              </v:textbox>
              <w10:wrap anchorx="margin" anchory="margin"/>
            </v:shape>
          </w:pict>
        </mc:Fallback>
      </mc:AlternateContent>
    </w:r>
    <w:r w:rsidR="00F74DF4">
      <w:rPr>
        <w:noProof/>
      </w:rPr>
      <w:pict w14:anchorId="75743E19">
        <v:shape id="PowerPlusWaterMarkObject2" o:spid="_x0000_s2051" type="#_x0000_t202" style="position:absolute;margin-left:0;margin-top:0;width:612.65pt;height:47.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" o:allowincell="f" filled="f" stroked="f">
          <v:stroke joinstyle="round"/>
          <o:lock v:ext="edit" rotation="t" aspectratio="t" verticies="t" adjusthandles="t" grouping="t" shapetype="t"/>
          <v:textbox>
            <w:txbxContent>
              <w:p w14:paraId="3A6CB2B3" w14:textId="77777777" w:rsidR="00A453EA" w:rsidRDefault="008E7763" w:rsidP="00A453EA">
                <w:pPr>
                  <w:pStyle w:val="NormalWeb"/>
                  <w:spacing w:before="0" w:beforeAutospacing="0" w:after="0" w:afterAutospacing="0"/>
                  <w:jc w:val="center"/>
                </w:pPr>
                <w:r>
                  <w:rPr>
                    <w:rFonts w:ascii="Calibri" w:hAnsi="Calibri" w:cs="Calibri"/>
                    <w:color w:val="C0C0C0"/>
                    <w:sz w:val="72"/>
                    <w:szCs w:val="72"/>
                  </w:rPr>
                  <w:t>Preliminary - Do Not Distribute</w:t>
                </w:r>
              </w:p>
            </w:txbxContent>
          </v:textbox>
          <w10:wrap anchorx="margin" anchory="margin"/>
        </v:shape>
      </w:pict>
    </w:r>
    <w:r w:rsidR="00F74DF4">
      <w:rPr>
        <w:noProof/>
      </w:rPr>
      <w:pict w14:anchorId="650F253E">
        <v:shape id="PowerPlusWaterMarkObject1" o:spid="_x0000_s2050" type="#_x0000_t202" style="position:absolute;margin-left:0;margin-top:0;width:612.65pt;height:47.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" o:allowincell="f" filled="f" stroked="f">
          <v:stroke joinstyle="round"/>
          <o:lock v:ext="edit" rotation="t" aspectratio="t" verticies="t" adjusthandles="t" grouping="t" shapetype="t"/>
          <v:textbox>
            <w:txbxContent>
              <w:p w14:paraId="45801B3F" w14:textId="77777777" w:rsidR="00A453EA" w:rsidRDefault="008E7763" w:rsidP="00A453EA">
                <w:pPr>
                  <w:pStyle w:val="NormalWeb"/>
                  <w:spacing w:before="0" w:beforeAutospacing="0" w:after="0" w:afterAutospacing="0"/>
                  <w:jc w:val="center"/>
                </w:pPr>
                <w:r>
                  <w:rPr>
                    <w:rFonts w:ascii="Calibri" w:hAnsi="Calibri" w:cs="Calibri"/>
                    <w:color w:val="C0C0C0"/>
                    <w:sz w:val="72"/>
                    <w:szCs w:val="72"/>
                  </w:rPr>
                  <w:t>Preliminary - Do Not Distribute</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6D0E5" w14:textId="4FFED51C" w:rsidR="0051420F" w:rsidRDefault="00E74075">
    <w:pPr>
      <w:pStyle w:val="Header"/>
    </w:pPr>
    <w:proofErr w:type="spellStart"/>
    <w:r>
      <w:t>DunedinPoAm</w:t>
    </w:r>
    <w:proofErr w:type="spellEnd"/>
    <w:r w:rsidR="008E7763">
      <w:ptab w:relativeTo="margin" w:alignment="center" w:leader="none"/>
    </w:r>
    <w:r>
      <w:t>Supplementa</w:t>
    </w:r>
    <w:r w:rsidR="001E22DF">
      <w:t>ry</w:t>
    </w:r>
    <w:r>
      <w:t xml:space="preserve"> </w:t>
    </w:r>
    <w:r w:rsidR="00657721">
      <w:t>File</w:t>
    </w:r>
    <w:r w:rsidR="001E22DF">
      <w:t xml:space="preserv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4EB4A" w14:textId="77777777" w:rsidR="0051420F" w:rsidRDefault="008E7763">
    <w:pPr>
      <w:pStyle w:val="Header"/>
    </w:pPr>
    <w:r>
      <w:rPr>
        <w:noProof/>
      </w:rPr>
      <mc:AlternateContent>
        <mc:Choice Requires="wps">
          <w:drawing>
            <wp:anchor distT="0" distB="0" distL="114300" distR="114300" simplePos="0" relativeHeight="251663360" behindDoc="1" locked="0" layoutInCell="0" allowOverlap="1" wp14:anchorId="3D8303EA" wp14:editId="6639ED2A">
              <wp:simplePos x="0" y="0"/>
              <wp:positionH relativeFrom="margin">
                <wp:align>center</wp:align>
              </wp:positionH>
              <wp:positionV relativeFrom="margin">
                <wp:align>center</wp:align>
              </wp:positionV>
              <wp:extent cx="7780655" cy="106680"/>
              <wp:effectExtent l="0" t="2667000" r="0" b="26530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8065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9EF0C7" w14:textId="77777777" w:rsidR="0051420F" w:rsidRDefault="008E7763" w:rsidP="000A1925">
                          <w:pPr>
                            <w:pStyle w:val="NormalWeb"/>
                            <w:spacing w:before="0" w:beforeAutospacing="0" w:after="0" w:afterAutospacing="0"/>
                            <w:jc w:val="center"/>
                          </w:pPr>
                          <w:r>
                            <w:rPr>
                              <w:rFonts w:ascii="Calibri" w:eastAsia="Calibri" w:hAnsi="Calibri" w:cs="Calibri"/>
                              <w:color w:val="C0C0C0"/>
                              <w:sz w:val="2"/>
                              <w:szCs w:val="2"/>
                            </w:rPr>
                            <w:t>Preliminary - Do Not Distribute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8303EA" id="_x0000_t202" coordsize="21600,21600" o:spt="202" path="m,l,21600r21600,l21600,xe">
              <v:stroke joinstyle="miter"/>
              <v:path gradientshapeok="t" o:connecttype="rect"/>
            </v:shapetype>
            <v:shape id="Text Box 2" o:spid="_x0000_s1027" type="#_x0000_t202" style="position:absolute;margin-left:0;margin-top:0;width:612.65pt;height:8.4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" o:allowincell="f" filled="f" stroked="f">
              <v:stroke joinstyle="round"/>
              <o:lock v:ext="edit" shapetype="t"/>
              <v:textbox style="mso-fit-shape-to-text:t">
                <w:txbxContent>
                  <w:p w14:paraId="0D9EF0C7" w14:textId="77777777" w:rsidR="0051420F" w:rsidRDefault="008E7763" w:rsidP="000A1925">
                    <w:pPr>
                      <w:pStyle w:val="NormalWeb"/>
                      <w:spacing w:before="0" w:beforeAutospacing="0" w:after="0" w:afterAutospacing="0"/>
                      <w:jc w:val="center"/>
                    </w:pPr>
                    <w:r>
                      <w:rPr>
                        <w:rFonts w:ascii="Calibri" w:eastAsia="Calibri" w:hAnsi="Calibri" w:cs="Calibri"/>
                        <w:color w:val="C0C0C0"/>
                        <w:sz w:val="2"/>
                        <w:szCs w:val="2"/>
                      </w:rPr>
                      <w:t>Preliminary - Do Not Distribute</w:t>
                    </w:r>
                  </w:p>
                </w:txbxContent>
              </v:textbox>
              <w10:wrap anchorx="margin" anchory="margin"/>
            </v:shape>
          </w:pict>
        </mc:Fallback>
      </mc:AlternateContent>
    </w:r>
    <w:r w:rsidR="00F74DF4">
      <w:rPr>
        <w:noProof/>
      </w:rPr>
      <w:pict w14:anchorId="2BF07FF3">
        <v:shapetype id="_x0000_t202" coordsize="21600,21600" o:spt="202" path="m,l,21600r21600,l21600,xe">
          <v:stroke joinstyle="miter"/>
          <v:path gradientshapeok="t" o:connecttype="rect"/>
        </v:shapetype>
        <v:shape id="PowerPlusWaterMarkObject3" o:spid="_x0000_s2049" type="#_x0000_t202" style="position:absolute;margin-left:0;margin-top:0;width:612.65pt;height:47.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" o:allowincell="f" filled="f" stroked="f">
          <v:stroke joinstyle="round"/>
          <o:lock v:ext="edit" rotation="t" aspectratio="t" verticies="t" adjusthandles="t" grouping="t" shapetype="t"/>
          <v:textbox>
            <w:txbxContent>
              <w:p w14:paraId="633B0DE4" w14:textId="77777777" w:rsidR="00A453EA" w:rsidRDefault="008E7763" w:rsidP="00A453EA">
                <w:pPr>
                  <w:pStyle w:val="NormalWeb"/>
                  <w:spacing w:before="0" w:beforeAutospacing="0" w:after="0" w:afterAutospacing="0"/>
                  <w:jc w:val="center"/>
                </w:pPr>
                <w:r>
                  <w:rPr>
                    <w:rFonts w:ascii="Calibri" w:hAnsi="Calibri" w:cs="Calibri"/>
                    <w:color w:val="C0C0C0"/>
                    <w:sz w:val="72"/>
                    <w:szCs w:val="72"/>
                  </w:rPr>
                  <w:t>Preliminary - Do Not Distribute</w:t>
                </w:r>
              </w:p>
            </w:txbxContent>
          </v:textbox>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1E"/>
    <w:rsid w:val="000056AF"/>
    <w:rsid w:val="000268C2"/>
    <w:rsid w:val="000457CE"/>
    <w:rsid w:val="00051E3C"/>
    <w:rsid w:val="000E3BC9"/>
    <w:rsid w:val="00116A8E"/>
    <w:rsid w:val="00133AFD"/>
    <w:rsid w:val="00145B01"/>
    <w:rsid w:val="00152A9A"/>
    <w:rsid w:val="00191009"/>
    <w:rsid w:val="0019736A"/>
    <w:rsid w:val="001A1A9F"/>
    <w:rsid w:val="001C23A8"/>
    <w:rsid w:val="001D6F6A"/>
    <w:rsid w:val="001E22DF"/>
    <w:rsid w:val="0022621E"/>
    <w:rsid w:val="00287062"/>
    <w:rsid w:val="002E7496"/>
    <w:rsid w:val="00317C85"/>
    <w:rsid w:val="00365883"/>
    <w:rsid w:val="003741F4"/>
    <w:rsid w:val="00374A82"/>
    <w:rsid w:val="00394E78"/>
    <w:rsid w:val="003958C5"/>
    <w:rsid w:val="003A721A"/>
    <w:rsid w:val="003B4147"/>
    <w:rsid w:val="003D5A1C"/>
    <w:rsid w:val="003E43FE"/>
    <w:rsid w:val="00427F18"/>
    <w:rsid w:val="0045005D"/>
    <w:rsid w:val="00493E83"/>
    <w:rsid w:val="004E5243"/>
    <w:rsid w:val="00507752"/>
    <w:rsid w:val="005232F7"/>
    <w:rsid w:val="005327A9"/>
    <w:rsid w:val="005555BF"/>
    <w:rsid w:val="00577FEA"/>
    <w:rsid w:val="00586CFF"/>
    <w:rsid w:val="005C6340"/>
    <w:rsid w:val="005F289B"/>
    <w:rsid w:val="00604ECB"/>
    <w:rsid w:val="00657721"/>
    <w:rsid w:val="0067129D"/>
    <w:rsid w:val="00675076"/>
    <w:rsid w:val="006A0B51"/>
    <w:rsid w:val="006C182D"/>
    <w:rsid w:val="006D0100"/>
    <w:rsid w:val="006D2E86"/>
    <w:rsid w:val="006E594C"/>
    <w:rsid w:val="006E6478"/>
    <w:rsid w:val="00740190"/>
    <w:rsid w:val="00761563"/>
    <w:rsid w:val="007635C2"/>
    <w:rsid w:val="00764B4C"/>
    <w:rsid w:val="007F4452"/>
    <w:rsid w:val="008435C2"/>
    <w:rsid w:val="00850A24"/>
    <w:rsid w:val="0089505D"/>
    <w:rsid w:val="008E17E5"/>
    <w:rsid w:val="008E7763"/>
    <w:rsid w:val="008F71D0"/>
    <w:rsid w:val="009007E3"/>
    <w:rsid w:val="0090791F"/>
    <w:rsid w:val="00946C72"/>
    <w:rsid w:val="009B42AA"/>
    <w:rsid w:val="009E1C46"/>
    <w:rsid w:val="009F1BB9"/>
    <w:rsid w:val="00A07F0F"/>
    <w:rsid w:val="00A64F78"/>
    <w:rsid w:val="00AA24A3"/>
    <w:rsid w:val="00AF0113"/>
    <w:rsid w:val="00B050FF"/>
    <w:rsid w:val="00B106AA"/>
    <w:rsid w:val="00B13B26"/>
    <w:rsid w:val="00B13BFF"/>
    <w:rsid w:val="00B5640B"/>
    <w:rsid w:val="00B67E31"/>
    <w:rsid w:val="00B74822"/>
    <w:rsid w:val="00B8497B"/>
    <w:rsid w:val="00BA39F6"/>
    <w:rsid w:val="00BE799E"/>
    <w:rsid w:val="00C111CF"/>
    <w:rsid w:val="00C338BA"/>
    <w:rsid w:val="00C3671D"/>
    <w:rsid w:val="00C43BAF"/>
    <w:rsid w:val="00C542FE"/>
    <w:rsid w:val="00C95222"/>
    <w:rsid w:val="00CA0A58"/>
    <w:rsid w:val="00D336DB"/>
    <w:rsid w:val="00D533AA"/>
    <w:rsid w:val="00DB35F7"/>
    <w:rsid w:val="00DB4E53"/>
    <w:rsid w:val="00DF1588"/>
    <w:rsid w:val="00E05A57"/>
    <w:rsid w:val="00E17219"/>
    <w:rsid w:val="00E30AF7"/>
    <w:rsid w:val="00E72531"/>
    <w:rsid w:val="00E74075"/>
    <w:rsid w:val="00EB2F6E"/>
    <w:rsid w:val="00EC282C"/>
    <w:rsid w:val="00ED3BFF"/>
    <w:rsid w:val="00ED7201"/>
    <w:rsid w:val="00EF3338"/>
    <w:rsid w:val="00F31633"/>
    <w:rsid w:val="00F60084"/>
    <w:rsid w:val="00F61BE7"/>
    <w:rsid w:val="00F7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4A1B80"/>
  <w15:chartTrackingRefBased/>
  <w15:docId w15:val="{8627A5E2-3274-0146-977E-C6AF033E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AF7"/>
    <w:pPr>
      <w:tabs>
        <w:tab w:val="center" w:pos="4680"/>
        <w:tab w:val="right" w:pos="9360"/>
      </w:tabs>
    </w:pPr>
  </w:style>
  <w:style w:type="character" w:customStyle="1" w:styleId="HeaderChar">
    <w:name w:val="Header Char"/>
    <w:basedOn w:val="DefaultParagraphFont"/>
    <w:link w:val="Header"/>
    <w:uiPriority w:val="99"/>
    <w:rsid w:val="00E30AF7"/>
  </w:style>
  <w:style w:type="paragraph" w:styleId="Footer">
    <w:name w:val="footer"/>
    <w:basedOn w:val="Normal"/>
    <w:link w:val="FooterChar"/>
    <w:uiPriority w:val="99"/>
    <w:unhideWhenUsed/>
    <w:rsid w:val="00E30AF7"/>
    <w:pPr>
      <w:tabs>
        <w:tab w:val="center" w:pos="4680"/>
        <w:tab w:val="right" w:pos="9360"/>
      </w:tabs>
    </w:pPr>
  </w:style>
  <w:style w:type="character" w:customStyle="1" w:styleId="FooterChar">
    <w:name w:val="Footer Char"/>
    <w:basedOn w:val="DefaultParagraphFont"/>
    <w:link w:val="Footer"/>
    <w:uiPriority w:val="99"/>
    <w:rsid w:val="00E30AF7"/>
  </w:style>
  <w:style w:type="character" w:styleId="PageNumber">
    <w:name w:val="page number"/>
    <w:basedOn w:val="DefaultParagraphFont"/>
    <w:uiPriority w:val="99"/>
    <w:semiHidden/>
    <w:unhideWhenUsed/>
    <w:rsid w:val="00E30AF7"/>
  </w:style>
  <w:style w:type="paragraph" w:styleId="NormalWeb">
    <w:name w:val="Normal (Web)"/>
    <w:basedOn w:val="Normal"/>
    <w:uiPriority w:val="99"/>
    <w:unhideWhenUsed/>
    <w:rsid w:val="00E30AF7"/>
    <w:pPr>
      <w:spacing w:before="100" w:beforeAutospacing="1" w:after="100" w:afterAutospacing="1"/>
    </w:pPr>
    <w:rPr>
      <w:rFonts w:ascii="Times New Roman" w:eastAsiaTheme="minorEastAsia" w:hAnsi="Times New Roman" w:cs="Times New Roman"/>
    </w:rPr>
  </w:style>
  <w:style w:type="character" w:styleId="CommentReference">
    <w:name w:val="annotation reference"/>
    <w:basedOn w:val="DefaultParagraphFont"/>
    <w:uiPriority w:val="99"/>
    <w:semiHidden/>
    <w:unhideWhenUsed/>
    <w:rsid w:val="00E30AF7"/>
    <w:rPr>
      <w:sz w:val="18"/>
      <w:szCs w:val="18"/>
    </w:rPr>
  </w:style>
  <w:style w:type="paragraph" w:styleId="CommentText">
    <w:name w:val="annotation text"/>
    <w:basedOn w:val="Normal"/>
    <w:link w:val="CommentTextChar"/>
    <w:uiPriority w:val="99"/>
    <w:semiHidden/>
    <w:unhideWhenUsed/>
    <w:rsid w:val="00E30AF7"/>
  </w:style>
  <w:style w:type="character" w:customStyle="1" w:styleId="CommentTextChar">
    <w:name w:val="Comment Text Char"/>
    <w:basedOn w:val="DefaultParagraphFont"/>
    <w:link w:val="CommentText"/>
    <w:uiPriority w:val="99"/>
    <w:semiHidden/>
    <w:rsid w:val="00E30AF7"/>
  </w:style>
  <w:style w:type="character" w:styleId="Hyperlink">
    <w:name w:val="Hyperlink"/>
    <w:basedOn w:val="DefaultParagraphFont"/>
    <w:uiPriority w:val="99"/>
    <w:unhideWhenUsed/>
    <w:rsid w:val="00E30AF7"/>
    <w:rPr>
      <w:color w:val="0000FF"/>
      <w:u w:val="single"/>
    </w:rPr>
  </w:style>
  <w:style w:type="paragraph" w:styleId="Bibliography">
    <w:name w:val="Bibliography"/>
    <w:basedOn w:val="Normal"/>
    <w:next w:val="Normal"/>
    <w:uiPriority w:val="37"/>
    <w:unhideWhenUsed/>
    <w:rsid w:val="00E30AF7"/>
    <w:pPr>
      <w:tabs>
        <w:tab w:val="left" w:pos="500"/>
      </w:tabs>
      <w:ind w:left="720" w:hanging="720"/>
    </w:pPr>
  </w:style>
  <w:style w:type="table" w:styleId="TableGrid">
    <w:name w:val="Table Grid"/>
    <w:basedOn w:val="TableNormal"/>
    <w:uiPriority w:val="39"/>
    <w:rsid w:val="00E30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0A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0AF7"/>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BE7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80844">
      <w:bodyDiv w:val="1"/>
      <w:marLeft w:val="0"/>
      <w:marRight w:val="0"/>
      <w:marTop w:val="0"/>
      <w:marBottom w:val="0"/>
      <w:divBdr>
        <w:top w:val="none" w:sz="0" w:space="0" w:color="auto"/>
        <w:left w:val="none" w:sz="0" w:space="0" w:color="auto"/>
        <w:bottom w:val="none" w:sz="0" w:space="0" w:color="auto"/>
        <w:right w:val="none" w:sz="0" w:space="0" w:color="auto"/>
      </w:divBdr>
    </w:div>
    <w:div w:id="543909355">
      <w:bodyDiv w:val="1"/>
      <w:marLeft w:val="0"/>
      <w:marRight w:val="0"/>
      <w:marTop w:val="0"/>
      <w:marBottom w:val="0"/>
      <w:divBdr>
        <w:top w:val="none" w:sz="0" w:space="0" w:color="auto"/>
        <w:left w:val="none" w:sz="0" w:space="0" w:color="auto"/>
        <w:bottom w:val="none" w:sz="0" w:space="0" w:color="auto"/>
        <w:right w:val="none" w:sz="0" w:space="0" w:color="auto"/>
      </w:divBdr>
    </w:div>
    <w:div w:id="632909136">
      <w:bodyDiv w:val="1"/>
      <w:marLeft w:val="0"/>
      <w:marRight w:val="0"/>
      <w:marTop w:val="0"/>
      <w:marBottom w:val="0"/>
      <w:divBdr>
        <w:top w:val="none" w:sz="0" w:space="0" w:color="auto"/>
        <w:left w:val="none" w:sz="0" w:space="0" w:color="auto"/>
        <w:bottom w:val="none" w:sz="0" w:space="0" w:color="auto"/>
        <w:right w:val="none" w:sz="0" w:space="0" w:color="auto"/>
      </w:divBdr>
    </w:div>
    <w:div w:id="1841314545">
      <w:bodyDiv w:val="1"/>
      <w:marLeft w:val="0"/>
      <w:marRight w:val="0"/>
      <w:marTop w:val="0"/>
      <w:marBottom w:val="0"/>
      <w:divBdr>
        <w:top w:val="none" w:sz="0" w:space="0" w:color="auto"/>
        <w:left w:val="none" w:sz="0" w:space="0" w:color="auto"/>
        <w:bottom w:val="none" w:sz="0" w:space="0" w:color="auto"/>
        <w:right w:val="none" w:sz="0" w:space="0" w:color="auto"/>
      </w:divBdr>
    </w:div>
    <w:div w:id="187171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emf"/><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6921</Words>
  <Characters>39450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Belsky, Daniel</dc:creator>
  <cp:keywords/>
  <dc:description/>
  <cp:lastModifiedBy>Belsky, Daniel</cp:lastModifiedBy>
  <cp:revision>2</cp:revision>
  <cp:lastPrinted>2020-04-10T21:23:00Z</cp:lastPrinted>
  <dcterms:created xsi:type="dcterms:W3CDTF">2020-04-30T15:47:00Z</dcterms:created>
  <dcterms:modified xsi:type="dcterms:W3CDTF">2020-04-30T15:47:00Z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zotero-version="5.0.84"&gt;&lt;session id="FKuTBm6G"/&gt;&lt;style id="http://www.zotero.org/styles/elife" hasBibliography="1" bibliographyStyleHasBeenSet="1"/&gt;&lt;prefs&gt;&lt;pref name="fieldType" value="Field"/&gt;&lt;/prefs&gt;&lt;/data&gt;</vt:lpwstr>
  </property>
</Properties>
</file>