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4BDF587" w:rsidR="00877644" w:rsidRPr="00125190" w:rsidRDefault="00C3240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analyzed existing data from multiple prospective longitudinal studies. Sample sizes are detailed in the results section when each sample is first introduced.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12293C0" w:rsidR="00B330BD" w:rsidRPr="00125190" w:rsidRDefault="003934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analyzed existing data from multiple prospective longitudinal studies. </w:t>
      </w:r>
      <w:r>
        <w:rPr>
          <w:rFonts w:asciiTheme="minorHAnsi" w:hAnsiTheme="minorHAnsi"/>
        </w:rPr>
        <w:t xml:space="preserve">Details on the measurements of key variables are provided in the methods section of the main text and supplemental methods.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52A1D17" w:rsidR="0015519A" w:rsidRPr="00505C51" w:rsidRDefault="0039346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on statistical analysis are reported in the “statistical analysis” section of the Methods section. We report effect-sizes in terms of Pearson r and Cohen’s d in the results section, along with 95% Confidence intervals.</w:t>
      </w:r>
      <w:r w:rsidR="00EA384E">
        <w:rPr>
          <w:rFonts w:asciiTheme="minorHAnsi" w:hAnsiTheme="minorHAnsi"/>
          <w:sz w:val="22"/>
          <w:szCs w:val="22"/>
        </w:rPr>
        <w:t xml:space="preserve"> </w:t>
      </w:r>
      <w:r w:rsidR="000F191A">
        <w:rPr>
          <w:rFonts w:asciiTheme="minorHAnsi" w:hAnsiTheme="minorHAnsi"/>
          <w:sz w:val="22"/>
          <w:szCs w:val="22"/>
        </w:rPr>
        <w:t xml:space="preserve">We specifically note instances in which associations are not statistically different from zero at the alpha=0.05 threshold. </w:t>
      </w:r>
      <w:r w:rsidR="00EA384E">
        <w:rPr>
          <w:rFonts w:asciiTheme="minorHAnsi" w:hAnsiTheme="minorHAnsi"/>
          <w:sz w:val="22"/>
          <w:szCs w:val="22"/>
        </w:rPr>
        <w:t xml:space="preserve">P-values for all analyses are reported in the supplemental tables. </w:t>
      </w:r>
      <w:r>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83AF69D" w:rsidR="00BC3CCE" w:rsidRPr="00505C51" w:rsidRDefault="0039346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There were no experimental assignments to treatment condition in this analysis. We include analysis of data from the CALERIE randomized trial. We were not involved in the conduct of that trial and did not execute group assignment.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C672D9A" w:rsidR="00BC3CCE" w:rsidRPr="00505C51" w:rsidRDefault="000F191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The data analyzed in this study concern human participants in ongoing longitudinal studies or, in the case of the CALERIE Trial, a concluded randomized trial. Data for these studies are not available without specific agreements to ensure protection of participant data privacy. Details about data access are reported in the methods section of the article. We have included our analysis code (Stata software) as a supplementary file. </w:t>
      </w:r>
      <w:bookmarkStart w:id="0" w:name="_GoBack"/>
      <w:bookmarkEnd w:id="0"/>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748AF" w14:textId="77777777" w:rsidR="002B74E0" w:rsidRDefault="002B74E0" w:rsidP="004215FE">
      <w:r>
        <w:separator/>
      </w:r>
    </w:p>
  </w:endnote>
  <w:endnote w:type="continuationSeparator" w:id="0">
    <w:p w14:paraId="391ADB92" w14:textId="77777777" w:rsidR="002B74E0" w:rsidRDefault="002B74E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756B2" w14:textId="77777777" w:rsidR="002B74E0" w:rsidRDefault="002B74E0" w:rsidP="004215FE">
      <w:r>
        <w:separator/>
      </w:r>
    </w:p>
  </w:footnote>
  <w:footnote w:type="continuationSeparator" w:id="0">
    <w:p w14:paraId="28163722" w14:textId="77777777" w:rsidR="002B74E0" w:rsidRDefault="002B74E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191A"/>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B74E0"/>
    <w:rsid w:val="00307F5D"/>
    <w:rsid w:val="003248ED"/>
    <w:rsid w:val="00370080"/>
    <w:rsid w:val="00393469"/>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3240E"/>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384E"/>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783F19D-183D-C94B-B588-FFF01A17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71C1B-66CA-3948-91D3-61D25AF3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Belsky, Daniel</cp:lastModifiedBy>
  <cp:revision>3</cp:revision>
  <dcterms:created xsi:type="dcterms:W3CDTF">2020-01-09T03:04:00Z</dcterms:created>
  <dcterms:modified xsi:type="dcterms:W3CDTF">2020-01-09T03:35:00Z</dcterms:modified>
</cp:coreProperties>
</file>