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Lienhypertexte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proofErr w:type="spellStart"/>
        <w:r w:rsidR="007B7AF0" w:rsidRPr="00505C51">
          <w:rPr>
            <w:rStyle w:val="Lienhypertexte"/>
            <w:rFonts w:asciiTheme="minorHAnsi" w:hAnsiTheme="minorHAnsi"/>
            <w:bCs/>
            <w:sz w:val="22"/>
            <w:szCs w:val="22"/>
            <w:lang w:val="en-GB"/>
          </w:rPr>
          <w:t>BioSharing</w:t>
        </w:r>
        <w:proofErr w:type="spellEnd"/>
        <w:r w:rsidR="007B7AF0" w:rsidRPr="00505C51">
          <w:rPr>
            <w:rStyle w:val="Lienhypertexte"/>
            <w:rFonts w:asciiTheme="minorHAnsi" w:hAnsiTheme="minorHAnsi"/>
            <w:bCs/>
            <w:sz w:val="22"/>
            <w:szCs w:val="22"/>
            <w:lang w:val="en-GB"/>
          </w:rPr>
          <w:t xml:space="preserve">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Lienhypertexte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Lienhypertexte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Pardeliste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Pardeliste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Pardeliste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03808A61" w:rsidR="00877644" w:rsidRPr="00125190" w:rsidRDefault="00CE44E4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The sample size was based on </w:t>
      </w:r>
      <w:r w:rsidR="00586B3D">
        <w:rPr>
          <w:rFonts w:asciiTheme="minorHAnsi" w:hAnsiTheme="minorHAnsi"/>
        </w:rPr>
        <w:t xml:space="preserve">standard practice in the field.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Pardeliste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Pardeliste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Pardeliste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Pardeliste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Pardeliste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Pardeliste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3083AA68" w14:textId="77777777" w:rsidR="00CE37CC" w:rsidRPr="00CE37CC" w:rsidRDefault="00CE37CC" w:rsidP="00CE37CC">
      <w:pPr>
        <w:framePr w:w="7817" w:h="1088" w:hSpace="180" w:wrap="around" w:vAnchor="text" w:hAnchor="page" w:x="1858" w:y="1"/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autoSpaceDE w:val="0"/>
        <w:autoSpaceDN w:val="0"/>
        <w:adjustRightInd w:val="0"/>
        <w:spacing w:after="240" w:line="360" w:lineRule="atLeast"/>
        <w:rPr>
          <w:rFonts w:ascii="Times" w:hAnsi="Times" w:cs="Times"/>
        </w:rPr>
      </w:pPr>
      <w:r w:rsidRPr="00CE37CC">
        <w:rPr>
          <w:rFonts w:ascii="Times" w:hAnsi="Times" w:cs="Times"/>
        </w:rPr>
        <w:lastRenderedPageBreak/>
        <w:t xml:space="preserve">For counting of immunostaining, retrograde labeling, FISH, Western blot, qPCR at least 3 animals (3-6 animals) of each genotype (biological replicates) were used. Each animal is from </w:t>
      </w:r>
      <w:proofErr w:type="spellStart"/>
      <w:r w:rsidRPr="00CE37CC">
        <w:rPr>
          <w:rFonts w:ascii="Times" w:hAnsi="Times" w:cs="Times"/>
        </w:rPr>
        <w:t>independant</w:t>
      </w:r>
      <w:proofErr w:type="spellEnd"/>
      <w:r w:rsidRPr="00CE37CC">
        <w:rPr>
          <w:rFonts w:ascii="Times" w:hAnsi="Times" w:cs="Times"/>
        </w:rPr>
        <w:t xml:space="preserve"> littermate and all controls for each n are control littermates. </w:t>
      </w:r>
    </w:p>
    <w:p w14:paraId="41601A36" w14:textId="77777777" w:rsidR="00CE37CC" w:rsidRDefault="00CE37CC" w:rsidP="00CE37CC">
      <w:pPr>
        <w:framePr w:w="7817" w:h="1088" w:hSpace="180" w:wrap="around" w:vAnchor="text" w:hAnchor="page" w:x="1858" w:y="1"/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autoSpaceDE w:val="0"/>
        <w:autoSpaceDN w:val="0"/>
        <w:adjustRightInd w:val="0"/>
        <w:spacing w:after="240" w:line="360" w:lineRule="atLeast"/>
        <w:rPr>
          <w:rFonts w:ascii="MS Mincho" w:eastAsia="MS Mincho" w:hAnsi="MS Mincho" w:cs="MS Mincho"/>
        </w:rPr>
      </w:pPr>
      <w:r w:rsidRPr="00CE37CC">
        <w:rPr>
          <w:rFonts w:ascii="Times" w:hAnsi="Times" w:cs="Times"/>
        </w:rPr>
        <w:t xml:space="preserve">For </w:t>
      </w:r>
      <w:proofErr w:type="spellStart"/>
      <w:r w:rsidRPr="00CE37CC">
        <w:rPr>
          <w:rFonts w:ascii="Times" w:hAnsi="Times" w:cs="Times"/>
        </w:rPr>
        <w:t>polysome</w:t>
      </w:r>
      <w:proofErr w:type="spellEnd"/>
      <w:r w:rsidRPr="00CE37CC">
        <w:rPr>
          <w:rFonts w:ascii="Times" w:hAnsi="Times" w:cs="Times"/>
        </w:rPr>
        <w:t xml:space="preserve"> profiling, at E13.5, E14.5, E18.5 and P0, cortices from respectively 4, 3, 2 or 1 animals were used as one biological replicate. 3 biological replicates were used in each experiment for each genotype.</w:t>
      </w:r>
      <w:r w:rsidRPr="00CE37CC">
        <w:rPr>
          <w:rFonts w:ascii="MS Mincho" w:eastAsia="MS Mincho" w:hAnsi="MS Mincho" w:cs="MS Mincho"/>
        </w:rPr>
        <w:t> </w:t>
      </w:r>
    </w:p>
    <w:p w14:paraId="462D1632" w14:textId="1EDA634F" w:rsidR="00CE37CC" w:rsidRPr="00CE37CC" w:rsidRDefault="00CE37CC" w:rsidP="00CE37CC">
      <w:pPr>
        <w:framePr w:w="7817" w:h="1088" w:hSpace="180" w:wrap="around" w:vAnchor="text" w:hAnchor="page" w:x="1858" w:y="1"/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autoSpaceDE w:val="0"/>
        <w:autoSpaceDN w:val="0"/>
        <w:adjustRightInd w:val="0"/>
        <w:spacing w:after="240" w:line="360" w:lineRule="atLeast"/>
        <w:rPr>
          <w:rFonts w:ascii="Times" w:hAnsi="Times" w:cs="Times"/>
        </w:rPr>
      </w:pPr>
      <w:r w:rsidRPr="00CE37CC">
        <w:rPr>
          <w:rFonts w:ascii="Times" w:hAnsi="Times" w:cs="Times"/>
        </w:rPr>
        <w:t xml:space="preserve">For primary neurons experiments, cortices from almost 18 embryos from 3 different WT pregnant females were harvested and used as one biological replicate, this experiment was repeated for 3 times. </w:t>
      </w:r>
    </w:p>
    <w:p w14:paraId="4AB961C4" w14:textId="77777777" w:rsidR="00CE37CC" w:rsidRPr="00CE37CC" w:rsidRDefault="00CE37CC" w:rsidP="00CE37CC">
      <w:pPr>
        <w:framePr w:w="7817" w:h="1088" w:hSpace="180" w:wrap="around" w:vAnchor="text" w:hAnchor="page" w:x="1858" w:y="1"/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autoSpaceDE w:val="0"/>
        <w:autoSpaceDN w:val="0"/>
        <w:adjustRightInd w:val="0"/>
        <w:spacing w:after="240" w:line="360" w:lineRule="atLeast"/>
        <w:rPr>
          <w:rFonts w:ascii="Times" w:hAnsi="Times" w:cs="Times"/>
        </w:rPr>
      </w:pPr>
      <w:r w:rsidRPr="00CE37CC">
        <w:rPr>
          <w:rFonts w:ascii="Times" w:hAnsi="Times" w:cs="Times"/>
        </w:rPr>
        <w:t xml:space="preserve">For CLIP, cortices from almost 10 embryos from 1-2 pregnant </w:t>
      </w:r>
      <w:proofErr w:type="spellStart"/>
      <w:r w:rsidRPr="00CE37CC">
        <w:rPr>
          <w:rFonts w:ascii="Times" w:hAnsi="Times" w:cs="Times"/>
        </w:rPr>
        <w:t>wt</w:t>
      </w:r>
      <w:proofErr w:type="spellEnd"/>
      <w:r w:rsidRPr="00CE37CC">
        <w:rPr>
          <w:rFonts w:ascii="Times" w:hAnsi="Times" w:cs="Times"/>
        </w:rPr>
        <w:t xml:space="preserve"> females were used and lysed in 5 ml lysis buffer, 500 </w:t>
      </w:r>
      <w:proofErr w:type="spellStart"/>
      <w:r w:rsidRPr="00CE37CC">
        <w:rPr>
          <w:rFonts w:ascii="Times" w:hAnsi="Times" w:cs="Times"/>
        </w:rPr>
        <w:t>ul</w:t>
      </w:r>
      <w:proofErr w:type="spellEnd"/>
      <w:r w:rsidRPr="00CE37CC">
        <w:rPr>
          <w:rFonts w:ascii="Times" w:hAnsi="Times" w:cs="Times"/>
        </w:rPr>
        <w:t xml:space="preserve"> of this lysis was used as one biological replicate for one immunoprecipitation. 3-6 biological replicates were used in 3 different technical replicates. </w:t>
      </w:r>
    </w:p>
    <w:p w14:paraId="44E881BB" w14:textId="437CA150" w:rsidR="00CE37CC" w:rsidRPr="00CE37CC" w:rsidRDefault="00CE37CC" w:rsidP="00CE37CC">
      <w:pPr>
        <w:framePr w:w="7817" w:h="1088" w:hSpace="180" w:wrap="around" w:vAnchor="text" w:hAnchor="page" w:x="1858" w:y="1"/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autoSpaceDE w:val="0"/>
        <w:autoSpaceDN w:val="0"/>
        <w:adjustRightInd w:val="0"/>
        <w:spacing w:line="280" w:lineRule="atLeast"/>
        <w:rPr>
          <w:rFonts w:ascii="Times" w:hAnsi="Times" w:cs="Times"/>
        </w:rPr>
      </w:pPr>
      <w:r w:rsidRPr="00CE37CC">
        <w:rPr>
          <w:rFonts w:ascii="Times" w:hAnsi="Times" w:cs="Times"/>
          <w:noProof/>
          <w:lang w:val="fr-FR" w:eastAsia="fr-FR"/>
        </w:rPr>
        <w:drawing>
          <wp:inline distT="0" distB="0" distL="0" distR="0" wp14:anchorId="7EEEF6EC" wp14:editId="5ECB976A">
            <wp:extent cx="8255" cy="825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37CC">
        <w:rPr>
          <w:rFonts w:ascii="Times" w:hAnsi="Times" w:cs="Times"/>
        </w:rPr>
        <w:t xml:space="preserve"> </w:t>
      </w:r>
    </w:p>
    <w:p w14:paraId="3B20916F" w14:textId="6661DB04" w:rsidR="00CE37CC" w:rsidRDefault="00CE37CC" w:rsidP="00CE37CC">
      <w:pPr>
        <w:framePr w:w="7817" w:h="1088" w:hSpace="180" w:wrap="around" w:vAnchor="text" w:hAnchor="page" w:x="1858" w:y="1"/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autoSpaceDE w:val="0"/>
        <w:autoSpaceDN w:val="0"/>
        <w:adjustRightInd w:val="0"/>
        <w:spacing w:after="240" w:line="360" w:lineRule="atLeast"/>
        <w:rPr>
          <w:rFonts w:ascii="MS Mincho" w:eastAsia="MS Mincho" w:hAnsi="MS Mincho" w:cs="MS Mincho"/>
        </w:rPr>
      </w:pPr>
      <w:r w:rsidRPr="00CE37CC">
        <w:rPr>
          <w:rFonts w:ascii="Times" w:hAnsi="Times" w:cs="Times"/>
        </w:rPr>
        <w:t xml:space="preserve">For in utero </w:t>
      </w:r>
      <w:proofErr w:type="spellStart"/>
      <w:r w:rsidRPr="00CE37CC">
        <w:rPr>
          <w:rFonts w:ascii="Times" w:hAnsi="Times" w:cs="Times"/>
        </w:rPr>
        <w:t>electroporations</w:t>
      </w:r>
      <w:proofErr w:type="spellEnd"/>
      <w:r w:rsidRPr="00CE37CC">
        <w:rPr>
          <w:rFonts w:ascii="Times" w:hAnsi="Times" w:cs="Times"/>
        </w:rPr>
        <w:t xml:space="preserve">, 3 pregnant females were </w:t>
      </w:r>
      <w:proofErr w:type="spellStart"/>
      <w:r w:rsidRPr="00CE37CC">
        <w:rPr>
          <w:rFonts w:ascii="Times" w:hAnsi="Times" w:cs="Times"/>
        </w:rPr>
        <w:t>electroporated</w:t>
      </w:r>
      <w:proofErr w:type="spellEnd"/>
      <w:r w:rsidRPr="00CE37CC">
        <w:rPr>
          <w:rFonts w:ascii="Times" w:hAnsi="Times" w:cs="Times"/>
        </w:rPr>
        <w:t xml:space="preserve"> for each p</w:t>
      </w:r>
      <w:r w:rsidR="00A44A17">
        <w:rPr>
          <w:rFonts w:ascii="Times" w:hAnsi="Times" w:cs="Times"/>
        </w:rPr>
        <w:t>l</w:t>
      </w:r>
      <w:r w:rsidRPr="00CE37CC">
        <w:rPr>
          <w:rFonts w:ascii="Times" w:hAnsi="Times" w:cs="Times"/>
        </w:rPr>
        <w:t>asmid</w:t>
      </w:r>
      <w:r w:rsidR="00A44A17">
        <w:rPr>
          <w:rFonts w:ascii="Times" w:hAnsi="Times" w:cs="Times"/>
        </w:rPr>
        <w:t xml:space="preserve"> (combined to T-dimer red)</w:t>
      </w:r>
      <w:r w:rsidRPr="00CE37CC">
        <w:rPr>
          <w:rFonts w:ascii="Times" w:hAnsi="Times" w:cs="Times"/>
        </w:rPr>
        <w:t xml:space="preserve"> </w:t>
      </w:r>
      <w:r w:rsidR="00A44A17">
        <w:rPr>
          <w:rFonts w:ascii="Times" w:hAnsi="Times" w:cs="Times"/>
        </w:rPr>
        <w:t xml:space="preserve">and </w:t>
      </w:r>
      <w:proofErr w:type="spellStart"/>
      <w:r w:rsidRPr="00CE37CC">
        <w:rPr>
          <w:rFonts w:ascii="Times" w:hAnsi="Times" w:cs="Times"/>
        </w:rPr>
        <w:t>and</w:t>
      </w:r>
      <w:proofErr w:type="spellEnd"/>
      <w:r w:rsidR="00A44A17">
        <w:rPr>
          <w:rFonts w:ascii="Times" w:hAnsi="Times" w:cs="Times"/>
        </w:rPr>
        <w:t xml:space="preserve"> its control GFP. </w:t>
      </w:r>
      <w:r w:rsidRPr="00CE37CC">
        <w:rPr>
          <w:rFonts w:ascii="Times" w:hAnsi="Times" w:cs="Times"/>
        </w:rPr>
        <w:t xml:space="preserve"> </w:t>
      </w:r>
      <w:r w:rsidR="00A44A17">
        <w:rPr>
          <w:rFonts w:ascii="Times" w:hAnsi="Times" w:cs="Times"/>
        </w:rPr>
        <w:t>E</w:t>
      </w:r>
      <w:r w:rsidRPr="00CE37CC">
        <w:rPr>
          <w:rFonts w:ascii="Times" w:hAnsi="Times" w:cs="Times"/>
        </w:rPr>
        <w:t>ach animal come from an independent in utero electroporation experiment.</w:t>
      </w:r>
      <w:r w:rsidRPr="00CE37CC">
        <w:rPr>
          <w:rFonts w:ascii="MS Mincho" w:eastAsia="MS Mincho" w:hAnsi="MS Mincho" w:cs="MS Mincho"/>
        </w:rPr>
        <w:t> </w:t>
      </w:r>
      <w:bookmarkStart w:id="0" w:name="_GoBack"/>
      <w:bookmarkEnd w:id="0"/>
    </w:p>
    <w:p w14:paraId="26C5C17F" w14:textId="6B7830F4" w:rsidR="00CE37CC" w:rsidRPr="00CE37CC" w:rsidRDefault="00CE37CC" w:rsidP="00CE37CC">
      <w:pPr>
        <w:framePr w:w="7817" w:h="1088" w:hSpace="180" w:wrap="around" w:vAnchor="text" w:hAnchor="page" w:x="1858" w:y="1"/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autoSpaceDE w:val="0"/>
        <w:autoSpaceDN w:val="0"/>
        <w:adjustRightInd w:val="0"/>
        <w:spacing w:after="240" w:line="360" w:lineRule="atLeast"/>
        <w:rPr>
          <w:rFonts w:ascii="Times" w:hAnsi="Times" w:cs="Times"/>
        </w:rPr>
      </w:pPr>
      <w:r w:rsidRPr="00CE37CC">
        <w:rPr>
          <w:rFonts w:ascii="Times" w:hAnsi="Times" w:cs="Times"/>
        </w:rPr>
        <w:t xml:space="preserve">No data were excluded. </w:t>
      </w:r>
    </w:p>
    <w:p w14:paraId="0B9CE175" w14:textId="77777777" w:rsidR="00CE37CC" w:rsidRPr="00CE37CC" w:rsidRDefault="00CE37CC" w:rsidP="00CE37CC">
      <w:pPr>
        <w:framePr w:w="7817" w:h="1088" w:hSpace="180" w:wrap="around" w:vAnchor="text" w:hAnchor="page" w:x="1858" w:y="1"/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autoSpaceDE w:val="0"/>
        <w:autoSpaceDN w:val="0"/>
        <w:adjustRightInd w:val="0"/>
        <w:spacing w:after="240" w:line="360" w:lineRule="atLeast"/>
        <w:rPr>
          <w:rFonts w:ascii="Times" w:hAnsi="Times" w:cs="Times"/>
        </w:rPr>
      </w:pPr>
      <w:r w:rsidRPr="00CE37CC">
        <w:rPr>
          <w:rFonts w:ascii="Times" w:hAnsi="Times" w:cs="Times"/>
        </w:rPr>
        <w:t xml:space="preserve">All this information is stated in Figure legends and methods. 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Pardeliste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Pardeliste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Pardeliste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Pardeliste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7BA9ED1A" w14:textId="77777777" w:rsidR="00CE37CC" w:rsidRDefault="00CE37CC" w:rsidP="00CE37CC">
      <w:pPr>
        <w:framePr w:w="7817" w:h="1088" w:hSpace="180" w:wrap="around" w:vAnchor="text" w:hAnchor="page" w:x="1904" w:y="21"/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autoSpaceDE w:val="0"/>
        <w:autoSpaceDN w:val="0"/>
        <w:adjustRightInd w:val="0"/>
        <w:spacing w:after="240" w:line="340" w:lineRule="atLeast"/>
        <w:rPr>
          <w:rFonts w:ascii="MS Mincho" w:eastAsia="MS Mincho" w:hAnsi="MS Mincho" w:cs="MS Mincho"/>
        </w:rPr>
      </w:pPr>
      <w:r w:rsidRPr="00CE37CC">
        <w:rPr>
          <w:rFonts w:ascii="Times" w:hAnsi="Times" w:cs="Times"/>
        </w:rPr>
        <w:t>A two-tailed T-test was used for all immunostaining, retrograde labeling, FISH, and qPCR experiments following standard practice for this type of data.</w:t>
      </w:r>
      <w:r w:rsidRPr="00CE37CC">
        <w:rPr>
          <w:rFonts w:ascii="MS Mincho" w:eastAsia="MS Mincho" w:hAnsi="MS Mincho" w:cs="MS Mincho"/>
        </w:rPr>
        <w:t> </w:t>
      </w:r>
    </w:p>
    <w:p w14:paraId="07FC0428" w14:textId="77777777" w:rsidR="00CE37CC" w:rsidRDefault="00CE37CC" w:rsidP="00CE37CC">
      <w:pPr>
        <w:framePr w:w="7817" w:h="1088" w:hSpace="180" w:wrap="around" w:vAnchor="text" w:hAnchor="page" w:x="1904" w:y="21"/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autoSpaceDE w:val="0"/>
        <w:autoSpaceDN w:val="0"/>
        <w:adjustRightInd w:val="0"/>
        <w:spacing w:after="240" w:line="340" w:lineRule="atLeast"/>
        <w:rPr>
          <w:rFonts w:ascii="Times" w:hAnsi="Times" w:cs="Times"/>
        </w:rPr>
      </w:pPr>
      <w:r w:rsidRPr="00CE37CC">
        <w:rPr>
          <w:rFonts w:ascii="Times" w:hAnsi="Times" w:cs="Times"/>
        </w:rPr>
        <w:t xml:space="preserve">A one-tailed T-test was used for qPCR on </w:t>
      </w:r>
      <w:proofErr w:type="spellStart"/>
      <w:r w:rsidRPr="00CE37CC">
        <w:rPr>
          <w:rFonts w:ascii="Times" w:hAnsi="Times" w:cs="Times"/>
        </w:rPr>
        <w:t>polysome</w:t>
      </w:r>
      <w:proofErr w:type="spellEnd"/>
      <w:r w:rsidRPr="00CE37CC">
        <w:rPr>
          <w:rFonts w:ascii="Times" w:hAnsi="Times" w:cs="Times"/>
        </w:rPr>
        <w:t xml:space="preserve"> profiling experiments, as we had a prior hypothesis based on protein staining and mRNA level data</w:t>
      </w:r>
      <w:r>
        <w:rPr>
          <w:rFonts w:ascii="Times" w:hAnsi="Times" w:cs="Times"/>
        </w:rPr>
        <w:t>.</w:t>
      </w:r>
      <w:r w:rsidRPr="00CE37CC">
        <w:rPr>
          <w:rFonts w:ascii="Times" w:hAnsi="Times" w:cs="Times"/>
        </w:rPr>
        <w:t xml:space="preserve"> </w:t>
      </w:r>
    </w:p>
    <w:p w14:paraId="086FDCE2" w14:textId="77777777" w:rsidR="00CE37CC" w:rsidRDefault="00CE37CC" w:rsidP="00CE37CC">
      <w:pPr>
        <w:framePr w:w="7817" w:h="1088" w:hSpace="180" w:wrap="around" w:vAnchor="text" w:hAnchor="page" w:x="1904" w:y="21"/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autoSpaceDE w:val="0"/>
        <w:autoSpaceDN w:val="0"/>
        <w:adjustRightInd w:val="0"/>
        <w:spacing w:after="240" w:line="340" w:lineRule="atLeast"/>
        <w:rPr>
          <w:rFonts w:ascii="MS Mincho" w:eastAsia="MS Mincho" w:hAnsi="MS Mincho" w:cs="MS Mincho"/>
        </w:rPr>
      </w:pPr>
      <w:r w:rsidRPr="00CE37CC">
        <w:rPr>
          <w:rFonts w:ascii="Times" w:hAnsi="Times" w:cs="Times"/>
        </w:rPr>
        <w:t>A one-tailed T-test was used for western blot for human and mouse TDP-43 as we had a prior hypothesis on over-expression in these mouse lines.</w:t>
      </w:r>
      <w:r w:rsidRPr="00CE37CC">
        <w:rPr>
          <w:rFonts w:ascii="MS Mincho" w:eastAsia="MS Mincho" w:hAnsi="MS Mincho" w:cs="MS Mincho"/>
        </w:rPr>
        <w:t> </w:t>
      </w:r>
    </w:p>
    <w:p w14:paraId="3E6321F9" w14:textId="77777777" w:rsidR="00CE37CC" w:rsidRDefault="00CE37CC" w:rsidP="00CE37CC">
      <w:pPr>
        <w:framePr w:w="7817" w:h="1088" w:hSpace="180" w:wrap="around" w:vAnchor="text" w:hAnchor="page" w:x="1904" w:y="21"/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autoSpaceDE w:val="0"/>
        <w:autoSpaceDN w:val="0"/>
        <w:adjustRightInd w:val="0"/>
        <w:spacing w:after="240" w:line="340" w:lineRule="atLeast"/>
        <w:rPr>
          <w:rFonts w:ascii="Times" w:hAnsi="Times" w:cs="Times"/>
        </w:rPr>
      </w:pPr>
      <w:r w:rsidRPr="00CE37CC">
        <w:rPr>
          <w:rFonts w:ascii="Times" w:hAnsi="Times" w:cs="Times"/>
        </w:rPr>
        <w:t xml:space="preserve">A Mann Whitney U Test was used for CLIP experiment as we deemed it to be most appropriate for this type of data. </w:t>
      </w:r>
    </w:p>
    <w:p w14:paraId="368BF9A1" w14:textId="77777777" w:rsidR="00CE37CC" w:rsidRDefault="00CE37CC" w:rsidP="00CE37CC">
      <w:pPr>
        <w:framePr w:w="7817" w:h="1088" w:hSpace="180" w:wrap="around" w:vAnchor="text" w:hAnchor="page" w:x="1904" w:y="21"/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autoSpaceDE w:val="0"/>
        <w:autoSpaceDN w:val="0"/>
        <w:adjustRightInd w:val="0"/>
        <w:spacing w:after="240" w:line="340" w:lineRule="atLeast"/>
        <w:rPr>
          <w:rFonts w:ascii="Times" w:hAnsi="Times" w:cs="Times"/>
        </w:rPr>
      </w:pPr>
      <w:r w:rsidRPr="00CE37CC">
        <w:rPr>
          <w:rFonts w:ascii="Times" w:hAnsi="Times" w:cs="Times"/>
        </w:rPr>
        <w:t xml:space="preserve">Data are represented as means ± SEM for all experiments. P value: * p≤0.05, ** p≤0.01, ***p≤0.001 </w:t>
      </w:r>
    </w:p>
    <w:p w14:paraId="5F859FEB" w14:textId="26422F22" w:rsidR="00CE37CC" w:rsidRPr="00CE37CC" w:rsidRDefault="00CE37CC" w:rsidP="00CE37CC">
      <w:pPr>
        <w:framePr w:w="7817" w:h="1088" w:hSpace="180" w:wrap="around" w:vAnchor="text" w:hAnchor="page" w:x="1904" w:y="21"/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autoSpaceDE w:val="0"/>
        <w:autoSpaceDN w:val="0"/>
        <w:adjustRightInd w:val="0"/>
        <w:spacing w:after="240" w:line="340" w:lineRule="atLeast"/>
        <w:rPr>
          <w:rFonts w:ascii="Times" w:hAnsi="Times" w:cs="Times"/>
        </w:rPr>
      </w:pPr>
      <w:r w:rsidRPr="00CE37CC">
        <w:rPr>
          <w:rFonts w:ascii="Times" w:hAnsi="Times" w:cs="Times"/>
        </w:rPr>
        <w:t>All this information is provided in figure legends and methods.</w:t>
      </w:r>
      <w:r w:rsidRPr="00CE37CC">
        <w:rPr>
          <w:rFonts w:ascii="MS Mincho" w:eastAsia="MS Mincho" w:hAnsi="MS Mincho" w:cs="MS Mincho"/>
        </w:rPr>
        <w:t> </w:t>
      </w:r>
    </w:p>
    <w:p w14:paraId="707D4C05" w14:textId="77777777" w:rsidR="0015519A" w:rsidRPr="00BF2AF5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Pardeliste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Pardeliste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5086A43A" w:rsidR="00BC3CCE" w:rsidRPr="00505C51" w:rsidRDefault="00BF2AF5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This information </w:t>
      </w:r>
      <w:r w:rsidR="00586B3D">
        <w:rPr>
          <w:rFonts w:asciiTheme="minorHAnsi" w:hAnsiTheme="minorHAnsi"/>
          <w:sz w:val="22"/>
          <w:szCs w:val="22"/>
        </w:rPr>
        <w:t>doesn’t apply to our submission.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lastRenderedPageBreak/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Pardeliste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Pardeliste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Pardeliste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Pardeliste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Pardeliste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10BC2B29" w:rsidR="00BC3CCE" w:rsidRPr="00505C51" w:rsidRDefault="006A76EC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Source data </w:t>
      </w:r>
      <w:r w:rsidR="00CE37CC">
        <w:rPr>
          <w:rFonts w:asciiTheme="minorHAnsi" w:hAnsiTheme="minorHAnsi"/>
          <w:sz w:val="22"/>
          <w:szCs w:val="22"/>
        </w:rPr>
        <w:t>are submitted with the manuscript</w:t>
      </w:r>
      <w:r>
        <w:rPr>
          <w:rFonts w:asciiTheme="minorHAnsi" w:hAnsiTheme="minorHAnsi"/>
          <w:sz w:val="22"/>
          <w:szCs w:val="22"/>
        </w:rPr>
        <w:t>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3"/>
      <w:footerReference w:type="even" r:id="rId14"/>
      <w:footerReference w:type="default" r:id="rId15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EBBA22" w14:textId="77777777" w:rsidR="00542CE5" w:rsidRDefault="00542CE5" w:rsidP="004215FE">
      <w:r>
        <w:separator/>
      </w:r>
    </w:p>
  </w:endnote>
  <w:endnote w:type="continuationSeparator" w:id="0">
    <w:p w14:paraId="3CB34E1A" w14:textId="77777777" w:rsidR="00542CE5" w:rsidRDefault="00542CE5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Gothic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00500000000000000"/>
    <w:charset w:val="00"/>
    <w:family w:val="roman"/>
    <w:pitch w:val="variable"/>
    <w:sig w:usb0="00000003" w:usb1="00000000" w:usb2="00000000" w:usb3="00000000" w:csb0="00000001" w:csb1="00000000"/>
  </w:font>
  <w:font w:name="MS Mincho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0D9A8E" w14:textId="77777777" w:rsidR="00BC3CCE" w:rsidRDefault="00BC3CCE" w:rsidP="0009520A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44EEFD2C" w14:textId="77777777" w:rsidR="00BC3CCE" w:rsidRDefault="00BC3CCE" w:rsidP="0009520A">
    <w:pPr>
      <w:pStyle w:val="Pieddepage"/>
      <w:framePr w:wrap="around" w:vAnchor="text" w:hAnchor="margin" w:xAlign="center" w:y="1"/>
      <w:ind w:right="360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1F7354AE" w14:textId="77777777" w:rsidR="00BC3CCE" w:rsidRDefault="00BC3CCE">
    <w:pPr>
      <w:pStyle w:val="Pieddepage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53B882" w14:textId="77777777" w:rsidR="00BC3CCE" w:rsidRPr="0009520A" w:rsidRDefault="00BC3CCE" w:rsidP="0009520A">
    <w:pPr>
      <w:pStyle w:val="Pieddepage"/>
      <w:framePr w:wrap="around" w:vAnchor="text" w:hAnchor="page" w:x="9943" w:y="195"/>
      <w:rPr>
        <w:rStyle w:val="Numrodepage"/>
      </w:rPr>
    </w:pPr>
    <w:r w:rsidRPr="0009520A">
      <w:rPr>
        <w:rStyle w:val="Numrodepage"/>
        <w:rFonts w:asciiTheme="minorHAnsi" w:hAnsiTheme="minorHAnsi"/>
        <w:sz w:val="20"/>
        <w:szCs w:val="20"/>
      </w:rPr>
      <w:fldChar w:fldCharType="begin"/>
    </w:r>
    <w:r w:rsidRPr="0009520A">
      <w:rPr>
        <w:rStyle w:val="Numrodepage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Numrodepage"/>
        <w:rFonts w:asciiTheme="minorHAnsi" w:hAnsiTheme="minorHAnsi"/>
        <w:sz w:val="20"/>
        <w:szCs w:val="20"/>
      </w:rPr>
      <w:fldChar w:fldCharType="separate"/>
    </w:r>
    <w:r w:rsidR="00A44A17">
      <w:rPr>
        <w:rStyle w:val="Numrodepage"/>
        <w:rFonts w:asciiTheme="minorHAnsi" w:hAnsiTheme="minorHAnsi"/>
        <w:noProof/>
        <w:sz w:val="20"/>
        <w:szCs w:val="20"/>
      </w:rPr>
      <w:t>2</w:t>
    </w:r>
    <w:r w:rsidRPr="0009520A">
      <w:rPr>
        <w:rStyle w:val="Numrodepage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Pieddepage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65F276" w14:textId="77777777" w:rsidR="00542CE5" w:rsidRDefault="00542CE5" w:rsidP="004215FE">
      <w:r>
        <w:separator/>
      </w:r>
    </w:p>
  </w:footnote>
  <w:footnote w:type="continuationSeparator" w:id="0">
    <w:p w14:paraId="03701D21" w14:textId="77777777" w:rsidR="00542CE5" w:rsidRDefault="00542CE5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767A8" w14:textId="77777777" w:rsidR="00BC3CCE" w:rsidRDefault="00BC3CCE" w:rsidP="004215FE">
    <w:pPr>
      <w:pStyle w:val="En-tte"/>
      <w:ind w:left="-1134"/>
    </w:pPr>
    <w:r>
      <w:rPr>
        <w:noProof/>
        <w:lang w:val="fr-FR" w:eastAsia="fr-FR"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hyphenationZone w:val="425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E62F5"/>
    <w:rsid w:val="000F1482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0E16"/>
    <w:rsid w:val="00175192"/>
    <w:rsid w:val="001E1D59"/>
    <w:rsid w:val="00212F30"/>
    <w:rsid w:val="00217B9E"/>
    <w:rsid w:val="002336C6"/>
    <w:rsid w:val="0023651C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97906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42CE5"/>
    <w:rsid w:val="00550F13"/>
    <w:rsid w:val="005530AE"/>
    <w:rsid w:val="00555F44"/>
    <w:rsid w:val="00566103"/>
    <w:rsid w:val="00586B3D"/>
    <w:rsid w:val="005B0A15"/>
    <w:rsid w:val="00605A12"/>
    <w:rsid w:val="006112B0"/>
    <w:rsid w:val="00634AC7"/>
    <w:rsid w:val="00657587"/>
    <w:rsid w:val="00661DCC"/>
    <w:rsid w:val="00672545"/>
    <w:rsid w:val="00685CCF"/>
    <w:rsid w:val="006A632B"/>
    <w:rsid w:val="006A76EC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44A17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BF2AF5"/>
    <w:rsid w:val="00C1184B"/>
    <w:rsid w:val="00C21D14"/>
    <w:rsid w:val="00C24CF7"/>
    <w:rsid w:val="00C42ECB"/>
    <w:rsid w:val="00C52A77"/>
    <w:rsid w:val="00C820B0"/>
    <w:rsid w:val="00CC69F1"/>
    <w:rsid w:val="00CC6EF3"/>
    <w:rsid w:val="00CD6AEC"/>
    <w:rsid w:val="00CE37CC"/>
    <w:rsid w:val="00CE44E4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93E32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EF4E0D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En-tte">
    <w:name w:val="header"/>
    <w:basedOn w:val="Normal"/>
    <w:link w:val="En-tteC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locked/>
    <w:rsid w:val="004215FE"/>
    <w:rPr>
      <w:rFonts w:cs="Times New Roman"/>
    </w:rPr>
  </w:style>
  <w:style w:type="paragraph" w:styleId="Pieddepage">
    <w:name w:val="footer"/>
    <w:basedOn w:val="Normal"/>
    <w:link w:val="PieddepageC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4215FE"/>
    <w:rPr>
      <w:rFonts w:cs="Times New Roman"/>
    </w:rPr>
  </w:style>
  <w:style w:type="character" w:styleId="Numrodepage">
    <w:name w:val="page number"/>
    <w:basedOn w:val="Policepardfaut"/>
    <w:uiPriority w:val="99"/>
    <w:semiHidden/>
    <w:unhideWhenUsed/>
    <w:rsid w:val="0009520A"/>
  </w:style>
  <w:style w:type="character" w:styleId="Marquedecommentaire">
    <w:name w:val="annotation reference"/>
    <w:basedOn w:val="Policepardfaut"/>
    <w:uiPriority w:val="99"/>
    <w:semiHidden/>
    <w:unhideWhenUsed/>
    <w:rsid w:val="00FE362B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E362B"/>
  </w:style>
  <w:style w:type="character" w:customStyle="1" w:styleId="CommentaireCar">
    <w:name w:val="Commentaire Car"/>
    <w:basedOn w:val="Policepardfaut"/>
    <w:link w:val="Commentaire"/>
    <w:uiPriority w:val="99"/>
    <w:semiHidden/>
    <w:rsid w:val="00FE362B"/>
    <w:rPr>
      <w:sz w:val="24"/>
      <w:szCs w:val="24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E362B"/>
    <w:rPr>
      <w:b/>
      <w:bCs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7B6D8A"/>
    <w:rPr>
      <w:color w:val="0000FF" w:themeColor="hyperlink"/>
      <w:u w:val="single"/>
    </w:rPr>
  </w:style>
  <w:style w:type="character" w:styleId="Lienhypertextevisit">
    <w:name w:val="FollowedHyperlink"/>
    <w:basedOn w:val="Policepardfau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Pardeliste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editorial@elifesciences.org" TargetMode="External"/><Relationship Id="rId12" Type="http://schemas.openxmlformats.org/officeDocument/2006/relationships/image" Target="media/image1.png"/><Relationship Id="rId13" Type="http://schemas.openxmlformats.org/officeDocument/2006/relationships/header" Target="header1.xml"/><Relationship Id="rId14" Type="http://schemas.openxmlformats.org/officeDocument/2006/relationships/footer" Target="footer1.xml"/><Relationship Id="rId15" Type="http://schemas.openxmlformats.org/officeDocument/2006/relationships/footer" Target="footer2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equator-network.org/%20" TargetMode="External"/><Relationship Id="rId9" Type="http://schemas.openxmlformats.org/officeDocument/2006/relationships/hyperlink" Target="https://biosharing.org/" TargetMode="External"/><Relationship Id="rId10" Type="http://schemas.openxmlformats.org/officeDocument/2006/relationships/hyperlink" Target="http://www.plosbiology.org/article/info:doi/10.1371/journal.pbio.1000412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B9CA0DE-53E7-2548-B13C-44EA3DB5D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1014</Words>
  <Characters>5579</Characters>
  <Application>Microsoft Macintosh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6580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Utilisateur de Microsoft Office</cp:lastModifiedBy>
  <cp:revision>4</cp:revision>
  <dcterms:created xsi:type="dcterms:W3CDTF">2021-09-30T17:27:00Z</dcterms:created>
  <dcterms:modified xsi:type="dcterms:W3CDTF">2021-10-02T10:28:00Z</dcterms:modified>
</cp:coreProperties>
</file>