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675"/>
        <w:gridCol w:w="567"/>
        <w:gridCol w:w="850"/>
        <w:gridCol w:w="851"/>
        <w:gridCol w:w="661"/>
        <w:gridCol w:w="662"/>
        <w:gridCol w:w="661"/>
        <w:gridCol w:w="662"/>
        <w:gridCol w:w="661"/>
        <w:gridCol w:w="662"/>
        <w:gridCol w:w="3199"/>
      </w:tblGrid>
      <w:tr w:rsidR="00D06D3F">
        <w:trPr>
          <w:trHeight w:val="427"/>
        </w:trPr>
        <w:tc>
          <w:tcPr>
            <w:tcW w:w="675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Fig. 2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b/>
              </w:rPr>
              <w:t>IC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Max. t value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Size [mm</w:t>
            </w:r>
            <w:r>
              <w:rPr>
                <w:b/>
                <w:color w:val="000000"/>
                <w:sz w:val="18"/>
                <w:vertAlign w:val="superscript"/>
              </w:rPr>
              <w:t>3</w:t>
            </w:r>
            <w:r>
              <w:rPr>
                <w:b/>
                <w:color w:val="000000"/>
                <w:sz w:val="18"/>
              </w:rPr>
              <w:t>]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Maximum [mm]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Center of gravity [mm]</w:t>
            </w:r>
          </w:p>
        </w:tc>
        <w:tc>
          <w:tcPr>
            <w:tcW w:w="3199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Nucleus</w:t>
            </w:r>
          </w:p>
        </w:tc>
      </w:tr>
      <w:tr w:rsidR="00D06D3F">
        <w:tc>
          <w:tcPr>
            <w:tcW w:w="675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hd w:val="clear" w:color="auto" w:fill="FFFFFF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x</w:t>
            </w:r>
          </w:p>
        </w:tc>
        <w:tc>
          <w:tcPr>
            <w:tcW w:w="662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y</w:t>
            </w:r>
          </w:p>
        </w:tc>
        <w:tc>
          <w:tcPr>
            <w:tcW w:w="66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z</w:t>
            </w:r>
          </w:p>
        </w:tc>
        <w:tc>
          <w:tcPr>
            <w:tcW w:w="662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x</w:t>
            </w:r>
          </w:p>
        </w:tc>
        <w:tc>
          <w:tcPr>
            <w:tcW w:w="66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y</w:t>
            </w:r>
          </w:p>
        </w:tc>
        <w:tc>
          <w:tcPr>
            <w:tcW w:w="662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z</w:t>
            </w:r>
          </w:p>
        </w:tc>
        <w:tc>
          <w:tcPr>
            <w:tcW w:w="3199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</w:tr>
      <w:tr w:rsidR="00D06D3F">
        <w:tc>
          <w:tcPr>
            <w:tcW w:w="675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a</w:t>
            </w:r>
          </w:p>
        </w:tc>
        <w:tc>
          <w:tcPr>
            <w:tcW w:w="567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3.98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661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662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-43</w:t>
            </w:r>
          </w:p>
        </w:tc>
        <w:tc>
          <w:tcPr>
            <w:tcW w:w="661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-51</w:t>
            </w:r>
          </w:p>
        </w:tc>
        <w:tc>
          <w:tcPr>
            <w:tcW w:w="662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4.3</w:t>
            </w:r>
          </w:p>
        </w:tc>
        <w:tc>
          <w:tcPr>
            <w:tcW w:w="661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-42.5</w:t>
            </w:r>
          </w:p>
        </w:tc>
        <w:tc>
          <w:tcPr>
            <w:tcW w:w="662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3199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Ncl. tractus solitarii, dorsal motor ncl., parvicellular reticular ncl.</w:t>
            </w:r>
          </w:p>
        </w:tc>
      </w:tr>
      <w:tr w:rsidR="00D06D3F">
        <w:tc>
          <w:tcPr>
            <w:tcW w:w="675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4.52</w:t>
            </w:r>
          </w:p>
        </w:tc>
        <w:tc>
          <w:tcPr>
            <w:tcW w:w="85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13.8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-4.2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199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Lateral hyp. area, supraoptic ncl.</w:t>
            </w:r>
          </w:p>
        </w:tc>
      </w:tr>
      <w:tr w:rsidR="00D06D3F">
        <w:tc>
          <w:tcPr>
            <w:tcW w:w="67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4.04</w:t>
            </w:r>
          </w:p>
        </w:tc>
        <w:tc>
          <w:tcPr>
            <w:tcW w:w="851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661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662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661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662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-3.5</w:t>
            </w:r>
          </w:p>
        </w:tc>
        <w:tc>
          <w:tcPr>
            <w:tcW w:w="661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-4.0</w:t>
            </w:r>
          </w:p>
        </w:tc>
        <w:tc>
          <w:tcPr>
            <w:tcW w:w="662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3199" w:type="dxa"/>
            <w:tcBorders>
              <w:top w:val="none" w:sz="4" w:space="0" w:color="000000"/>
              <w:left w:val="none" w:sz="12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Fornix, Perifornical ncl.</w:t>
            </w:r>
          </w:p>
        </w:tc>
      </w:tr>
      <w:tr w:rsidR="00D06D3F">
        <w:tc>
          <w:tcPr>
            <w:tcW w:w="675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3.82</w:t>
            </w:r>
          </w:p>
        </w:tc>
        <w:tc>
          <w:tcPr>
            <w:tcW w:w="85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-13.0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-3.5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199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</w:tr>
      <w:tr w:rsidR="00D06D3F">
        <w:tc>
          <w:tcPr>
            <w:tcW w:w="67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-4.00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-20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0.4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-0.21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-20.4</w:t>
            </w:r>
          </w:p>
        </w:tc>
        <w:tc>
          <w:tcPr>
            <w:tcW w:w="31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Arcuate ncl.</w:t>
            </w:r>
          </w:p>
        </w:tc>
      </w:tr>
      <w:tr w:rsidR="00D06D3F">
        <w:tc>
          <w:tcPr>
            <w:tcW w:w="675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-5.02</w:t>
            </w:r>
          </w:p>
        </w:tc>
        <w:tc>
          <w:tcPr>
            <w:tcW w:w="85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2.02</w:t>
            </w:r>
          </w:p>
        </w:tc>
        <w:tc>
          <w:tcPr>
            <w:tcW w:w="661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-3.6</w:t>
            </w:r>
          </w:p>
        </w:tc>
        <w:tc>
          <w:tcPr>
            <w:tcW w:w="662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-6.22</w:t>
            </w:r>
          </w:p>
        </w:tc>
        <w:tc>
          <w:tcPr>
            <w:tcW w:w="3199" w:type="dxa"/>
            <w:tcBorders>
              <w:top w:val="single" w:sz="4" w:space="0" w:color="auto"/>
              <w:left w:val="none" w:sz="12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Paraventricular hyp. ncl.</w:t>
            </w:r>
          </w:p>
        </w:tc>
      </w:tr>
      <w:tr w:rsidR="00D06D3F">
        <w:tc>
          <w:tcPr>
            <w:tcW w:w="67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-4.56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-3.4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-12.8</w:t>
            </w:r>
          </w:p>
        </w:tc>
        <w:tc>
          <w:tcPr>
            <w:tcW w:w="31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</w:tr>
      <w:tr w:rsidR="00D06D3F" w:rsidRPr="00217687">
        <w:tc>
          <w:tcPr>
            <w:tcW w:w="67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4.19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54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-37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-53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6.82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-38.1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-51.8</w:t>
            </w:r>
          </w:p>
        </w:tc>
        <w:tc>
          <w:tcPr>
            <w:tcW w:w="31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rPr>
                <w:lang w:val="es-ES"/>
              </w:rPr>
            </w:pPr>
            <w:r>
              <w:rPr>
                <w:color w:val="000000"/>
                <w:sz w:val="18"/>
                <w:lang w:val="es-ES"/>
              </w:rPr>
              <w:t>Inferior olivary ncl., rostral ventrolateral medulla, intermediate reticular ncl., parvicellular reticular ncl., spinal trigeminal ncl., ncl. ambiguus</w:t>
            </w:r>
          </w:p>
        </w:tc>
      </w:tr>
      <w:tr w:rsidR="00D06D3F" w:rsidRPr="00217687">
        <w:tc>
          <w:tcPr>
            <w:tcW w:w="675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4.42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36</w:t>
            </w:r>
          </w:p>
        </w:tc>
        <w:tc>
          <w:tcPr>
            <w:tcW w:w="6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-43</w:t>
            </w:r>
          </w:p>
        </w:tc>
        <w:tc>
          <w:tcPr>
            <w:tcW w:w="6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-50</w:t>
            </w:r>
          </w:p>
        </w:tc>
        <w:tc>
          <w:tcPr>
            <w:tcW w:w="6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4.52</w:t>
            </w:r>
          </w:p>
        </w:tc>
        <w:tc>
          <w:tcPr>
            <w:tcW w:w="6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-42.4</w:t>
            </w:r>
          </w:p>
        </w:tc>
        <w:tc>
          <w:tcPr>
            <w:tcW w:w="6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-48.6</w:t>
            </w:r>
          </w:p>
        </w:tc>
        <w:tc>
          <w:tcPr>
            <w:tcW w:w="319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rPr>
                <w:lang w:val="es-ES"/>
              </w:rPr>
            </w:pPr>
            <w:r>
              <w:rPr>
                <w:color w:val="000000"/>
                <w:sz w:val="18"/>
                <w:lang w:val="es-ES"/>
              </w:rPr>
              <w:t>Intermediate reticular ncl., ncl. tractus solitarii, dorsal motor ncl., parvicellular reticular ncl., dorsal paragigantocellular ncl., ncl. hypoglossus</w:t>
            </w:r>
          </w:p>
        </w:tc>
      </w:tr>
      <w:tr w:rsidR="00D06D3F" w:rsidRPr="00217687">
        <w:tc>
          <w:tcPr>
            <w:tcW w:w="67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3.98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-45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-57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-1.48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-45.2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-56.4</w:t>
            </w:r>
          </w:p>
        </w:tc>
        <w:tc>
          <w:tcPr>
            <w:tcW w:w="31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rPr>
                <w:lang w:val="es-ES"/>
              </w:rPr>
            </w:pPr>
            <w:r>
              <w:rPr>
                <w:color w:val="000000"/>
                <w:sz w:val="18"/>
                <w:lang w:val="es-ES"/>
              </w:rPr>
              <w:t>Dorsal motor ncl., ncl. tractus solitarii</w:t>
            </w:r>
          </w:p>
        </w:tc>
      </w:tr>
      <w:tr w:rsidR="00D06D3F">
        <w:tc>
          <w:tcPr>
            <w:tcW w:w="675" w:type="dxa"/>
            <w:vMerge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3.63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36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-42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-58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3.19</w:t>
            </w:r>
          </w:p>
        </w:tc>
        <w:tc>
          <w:tcPr>
            <w:tcW w:w="661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-41.7</w:t>
            </w: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-57.2</w:t>
            </w:r>
          </w:p>
        </w:tc>
        <w:tc>
          <w:tcPr>
            <w:tcW w:w="319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</w:pPr>
            <w:r>
              <w:rPr>
                <w:color w:val="000000"/>
                <w:sz w:val="18"/>
              </w:rPr>
              <w:t>Medullary reticular ncl., ncl. raphe obscurus, intermediate reticular ncl.</w:t>
            </w:r>
          </w:p>
        </w:tc>
      </w:tr>
    </w:tbl>
    <w:p w:rsidR="00D06D3F" w:rsidRDefault="00D06D3F" w:rsidP="00217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240" w:lineRule="auto"/>
        <w:rPr>
          <w:sz w:val="18"/>
        </w:rPr>
      </w:pPr>
    </w:p>
    <w:sectPr w:rsidR="00D06D3F" w:rsidSect="00D06D3F">
      <w:footerReference w:type="default" r:id="rId7"/>
      <w:type w:val="continuous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EB6" w:rsidRDefault="006F6EB6" w:rsidP="00D06D3F">
      <w:pPr>
        <w:spacing w:after="0" w:line="240" w:lineRule="auto"/>
      </w:pPr>
      <w:r>
        <w:separator/>
      </w:r>
    </w:p>
  </w:endnote>
  <w:endnote w:type="continuationSeparator" w:id="0">
    <w:p w:rsidR="006F6EB6" w:rsidRDefault="006F6EB6" w:rsidP="00D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3F" w:rsidRDefault="0086263B">
    <w:pPr>
      <w:pStyle w:val="Footer"/>
      <w:tabs>
        <w:tab w:val="clear" w:pos="7143"/>
        <w:tab w:val="clear" w:pos="14287"/>
      </w:tabs>
      <w:jc w:val="center"/>
    </w:pPr>
    <w:fldSimple w:instr="PAGE \* MERGEFORMAT">
      <w:r w:rsidR="00217687">
        <w:rPr>
          <w:noProof/>
        </w:rPr>
        <w:t>1</w:t>
      </w:r>
    </w:fldSimple>
  </w:p>
  <w:p w:rsidR="00D06D3F" w:rsidRDefault="00D06D3F">
    <w:pPr>
      <w:pStyle w:val="Footer"/>
      <w:tabs>
        <w:tab w:val="clear" w:pos="7143"/>
        <w:tab w:val="clear" w:pos="1428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EB6" w:rsidRDefault="006F6EB6">
      <w:pPr>
        <w:spacing w:after="0" w:line="240" w:lineRule="auto"/>
      </w:pPr>
      <w:r>
        <w:separator/>
      </w:r>
    </w:p>
  </w:footnote>
  <w:footnote w:type="continuationSeparator" w:id="0">
    <w:p w:rsidR="006F6EB6" w:rsidRDefault="006F6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2F95"/>
    <w:multiLevelType w:val="hybridMultilevel"/>
    <w:tmpl w:val="6312400E"/>
    <w:lvl w:ilvl="0" w:tplc="E1DC4A86">
      <w:start w:val="1"/>
      <w:numFmt w:val="decimal"/>
      <w:lvlText w:val="%1."/>
      <w:lvlJc w:val="left"/>
      <w:pPr>
        <w:ind w:left="720" w:hanging="360"/>
      </w:pPr>
    </w:lvl>
    <w:lvl w:ilvl="1" w:tplc="5B5AFB3A">
      <w:start w:val="1"/>
      <w:numFmt w:val="lowerLetter"/>
      <w:lvlText w:val="%2."/>
      <w:lvlJc w:val="left"/>
      <w:pPr>
        <w:ind w:left="1440" w:hanging="360"/>
      </w:pPr>
    </w:lvl>
    <w:lvl w:ilvl="2" w:tplc="A8E86D6E">
      <w:start w:val="1"/>
      <w:numFmt w:val="lowerRoman"/>
      <w:lvlText w:val="%3."/>
      <w:lvlJc w:val="right"/>
      <w:pPr>
        <w:ind w:left="2160" w:hanging="180"/>
      </w:pPr>
    </w:lvl>
    <w:lvl w:ilvl="3" w:tplc="761A2444">
      <w:start w:val="1"/>
      <w:numFmt w:val="decimal"/>
      <w:lvlText w:val="%4."/>
      <w:lvlJc w:val="left"/>
      <w:pPr>
        <w:ind w:left="2880" w:hanging="360"/>
      </w:pPr>
    </w:lvl>
    <w:lvl w:ilvl="4" w:tplc="8F6A3DFE">
      <w:start w:val="1"/>
      <w:numFmt w:val="lowerLetter"/>
      <w:lvlText w:val="%5."/>
      <w:lvlJc w:val="left"/>
      <w:pPr>
        <w:ind w:left="3600" w:hanging="360"/>
      </w:pPr>
    </w:lvl>
    <w:lvl w:ilvl="5" w:tplc="C9CC4AA2">
      <w:start w:val="1"/>
      <w:numFmt w:val="lowerRoman"/>
      <w:lvlText w:val="%6."/>
      <w:lvlJc w:val="right"/>
      <w:pPr>
        <w:ind w:left="4320" w:hanging="180"/>
      </w:pPr>
    </w:lvl>
    <w:lvl w:ilvl="6" w:tplc="983A67B6">
      <w:start w:val="1"/>
      <w:numFmt w:val="decimal"/>
      <w:lvlText w:val="%7."/>
      <w:lvlJc w:val="left"/>
      <w:pPr>
        <w:ind w:left="5040" w:hanging="360"/>
      </w:pPr>
    </w:lvl>
    <w:lvl w:ilvl="7" w:tplc="3A68FAA4">
      <w:start w:val="1"/>
      <w:numFmt w:val="lowerLetter"/>
      <w:lvlText w:val="%8."/>
      <w:lvlJc w:val="left"/>
      <w:pPr>
        <w:ind w:left="5760" w:hanging="360"/>
      </w:pPr>
    </w:lvl>
    <w:lvl w:ilvl="8" w:tplc="1D8A97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56731"/>
    <w:multiLevelType w:val="hybridMultilevel"/>
    <w:tmpl w:val="4072EA0E"/>
    <w:lvl w:ilvl="0" w:tplc="A58C741A">
      <w:start w:val="1"/>
      <w:numFmt w:val="decimal"/>
      <w:lvlText w:val="%1."/>
      <w:lvlJc w:val="left"/>
      <w:pPr>
        <w:ind w:left="720" w:hanging="360"/>
      </w:pPr>
    </w:lvl>
    <w:lvl w:ilvl="1" w:tplc="9CFA8A80">
      <w:start w:val="1"/>
      <w:numFmt w:val="lowerLetter"/>
      <w:lvlText w:val="%2."/>
      <w:lvlJc w:val="left"/>
      <w:pPr>
        <w:ind w:left="1440" w:hanging="360"/>
      </w:pPr>
    </w:lvl>
    <w:lvl w:ilvl="2" w:tplc="E23CB828">
      <w:start w:val="1"/>
      <w:numFmt w:val="lowerRoman"/>
      <w:lvlText w:val="%3."/>
      <w:lvlJc w:val="right"/>
      <w:pPr>
        <w:ind w:left="2160" w:hanging="180"/>
      </w:pPr>
    </w:lvl>
    <w:lvl w:ilvl="3" w:tplc="8B166176">
      <w:start w:val="1"/>
      <w:numFmt w:val="decimal"/>
      <w:lvlText w:val="%4."/>
      <w:lvlJc w:val="left"/>
      <w:pPr>
        <w:ind w:left="2880" w:hanging="360"/>
      </w:pPr>
    </w:lvl>
    <w:lvl w:ilvl="4" w:tplc="5A561D3E">
      <w:start w:val="1"/>
      <w:numFmt w:val="lowerLetter"/>
      <w:lvlText w:val="%5."/>
      <w:lvlJc w:val="left"/>
      <w:pPr>
        <w:ind w:left="3600" w:hanging="360"/>
      </w:pPr>
    </w:lvl>
    <w:lvl w:ilvl="5" w:tplc="406CC3BA">
      <w:start w:val="1"/>
      <w:numFmt w:val="lowerRoman"/>
      <w:lvlText w:val="%6."/>
      <w:lvlJc w:val="right"/>
      <w:pPr>
        <w:ind w:left="4320" w:hanging="180"/>
      </w:pPr>
    </w:lvl>
    <w:lvl w:ilvl="6" w:tplc="636CB7FC">
      <w:start w:val="1"/>
      <w:numFmt w:val="decimal"/>
      <w:lvlText w:val="%7."/>
      <w:lvlJc w:val="left"/>
      <w:pPr>
        <w:ind w:left="5040" w:hanging="360"/>
      </w:pPr>
    </w:lvl>
    <w:lvl w:ilvl="7" w:tplc="BB66E0DA">
      <w:start w:val="1"/>
      <w:numFmt w:val="lowerLetter"/>
      <w:lvlText w:val="%8."/>
      <w:lvlJc w:val="left"/>
      <w:pPr>
        <w:ind w:left="5760" w:hanging="360"/>
      </w:pPr>
    </w:lvl>
    <w:lvl w:ilvl="8" w:tplc="C15697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87C33"/>
    <w:multiLevelType w:val="hybridMultilevel"/>
    <w:tmpl w:val="13E202EE"/>
    <w:lvl w:ilvl="0" w:tplc="A7EA42E6">
      <w:start w:val="1"/>
      <w:numFmt w:val="decimal"/>
      <w:lvlText w:val="%1."/>
      <w:lvlJc w:val="left"/>
      <w:pPr>
        <w:ind w:left="1069" w:hanging="360"/>
      </w:pPr>
    </w:lvl>
    <w:lvl w:ilvl="1" w:tplc="C9C043D4">
      <w:start w:val="1"/>
      <w:numFmt w:val="lowerLetter"/>
      <w:lvlText w:val="%2."/>
      <w:lvlJc w:val="left"/>
      <w:pPr>
        <w:ind w:left="1789" w:hanging="360"/>
      </w:pPr>
    </w:lvl>
    <w:lvl w:ilvl="2" w:tplc="944A4DB2">
      <w:start w:val="1"/>
      <w:numFmt w:val="lowerRoman"/>
      <w:lvlText w:val="%3."/>
      <w:lvlJc w:val="right"/>
      <w:pPr>
        <w:ind w:left="2509" w:hanging="180"/>
      </w:pPr>
    </w:lvl>
    <w:lvl w:ilvl="3" w:tplc="1A6C19FC">
      <w:start w:val="1"/>
      <w:numFmt w:val="decimal"/>
      <w:lvlText w:val="%4."/>
      <w:lvlJc w:val="left"/>
      <w:pPr>
        <w:ind w:left="3229" w:hanging="360"/>
      </w:pPr>
    </w:lvl>
    <w:lvl w:ilvl="4" w:tplc="18B437B4">
      <w:start w:val="1"/>
      <w:numFmt w:val="lowerLetter"/>
      <w:lvlText w:val="%5."/>
      <w:lvlJc w:val="left"/>
      <w:pPr>
        <w:ind w:left="3949" w:hanging="360"/>
      </w:pPr>
    </w:lvl>
    <w:lvl w:ilvl="5" w:tplc="6062EAA4">
      <w:start w:val="1"/>
      <w:numFmt w:val="lowerRoman"/>
      <w:lvlText w:val="%6."/>
      <w:lvlJc w:val="right"/>
      <w:pPr>
        <w:ind w:left="4669" w:hanging="180"/>
      </w:pPr>
    </w:lvl>
    <w:lvl w:ilvl="6" w:tplc="5AD86DCE">
      <w:start w:val="1"/>
      <w:numFmt w:val="decimal"/>
      <w:lvlText w:val="%7."/>
      <w:lvlJc w:val="left"/>
      <w:pPr>
        <w:ind w:left="5389" w:hanging="360"/>
      </w:pPr>
    </w:lvl>
    <w:lvl w:ilvl="7" w:tplc="DD3624B6">
      <w:start w:val="1"/>
      <w:numFmt w:val="lowerLetter"/>
      <w:lvlText w:val="%8."/>
      <w:lvlJc w:val="left"/>
      <w:pPr>
        <w:ind w:left="6109" w:hanging="360"/>
      </w:pPr>
    </w:lvl>
    <w:lvl w:ilvl="8" w:tplc="A6EC39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D3F"/>
    <w:rsid w:val="000F07D1"/>
    <w:rsid w:val="00120348"/>
    <w:rsid w:val="00150453"/>
    <w:rsid w:val="00217687"/>
    <w:rsid w:val="0031483A"/>
    <w:rsid w:val="004023F0"/>
    <w:rsid w:val="0044077E"/>
    <w:rsid w:val="005622DF"/>
    <w:rsid w:val="005D331F"/>
    <w:rsid w:val="006F6EB6"/>
    <w:rsid w:val="00785547"/>
    <w:rsid w:val="0086263B"/>
    <w:rsid w:val="0089585B"/>
    <w:rsid w:val="009114BB"/>
    <w:rsid w:val="00C8464B"/>
    <w:rsid w:val="00C95527"/>
    <w:rsid w:val="00D06D3F"/>
    <w:rsid w:val="00D8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s-ES" w:eastAsia="es-E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3F"/>
    <w:pPr>
      <w:spacing w:after="200" w:line="276" w:lineRule="auto"/>
    </w:pPr>
    <w:rPr>
      <w:color w:val="00000A"/>
      <w:sz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anormal"/>
    <w:uiPriority w:val="59"/>
    <w:rsid w:val="00D06D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">
    <w:name w:val="Bordered &amp; 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character" w:styleId="Hipervnculo">
    <w:name w:val="Hyperlink"/>
    <w:uiPriority w:val="99"/>
    <w:unhideWhenUsed/>
    <w:rsid w:val="00D06D3F"/>
    <w:rPr>
      <w:color w:val="0563C1"/>
      <w:u w:val="single"/>
    </w:rPr>
  </w:style>
  <w:style w:type="paragraph" w:customStyle="1" w:styleId="Heading1">
    <w:name w:val="Heading 1"/>
    <w:basedOn w:val="Normal"/>
    <w:uiPriority w:val="9"/>
    <w:qFormat/>
    <w:rsid w:val="00D06D3F"/>
    <w:pPr>
      <w:keepNext/>
      <w:keepLines/>
      <w:shd w:val="clear" w:color="auto" w:fill="FFFFFF"/>
      <w:spacing w:before="48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uiPriority w:val="9"/>
    <w:unhideWhenUsed/>
    <w:qFormat/>
    <w:rsid w:val="00D06D3F"/>
    <w:pPr>
      <w:keepNext/>
      <w:keepLines/>
      <w:shd w:val="clear" w:color="auto" w:fill="FFFFFF"/>
      <w:spacing w:before="360"/>
      <w:outlineLvl w:val="1"/>
    </w:pPr>
    <w:rPr>
      <w:sz w:val="34"/>
    </w:rPr>
  </w:style>
  <w:style w:type="paragraph" w:customStyle="1" w:styleId="Heading3">
    <w:name w:val="Heading 3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2"/>
    </w:pPr>
    <w:rPr>
      <w:sz w:val="30"/>
      <w:szCs w:val="30"/>
    </w:rPr>
  </w:style>
  <w:style w:type="paragraph" w:customStyle="1" w:styleId="Heading4">
    <w:name w:val="Heading 4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5"/>
    </w:pPr>
    <w:rPr>
      <w:b/>
      <w:bCs/>
    </w:rPr>
  </w:style>
  <w:style w:type="paragraph" w:customStyle="1" w:styleId="Heading7">
    <w:name w:val="Heading 7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6"/>
    </w:pPr>
    <w:rPr>
      <w:b/>
      <w:bCs/>
      <w:i/>
      <w:iCs/>
    </w:rPr>
  </w:style>
  <w:style w:type="paragraph" w:customStyle="1" w:styleId="Heading8">
    <w:name w:val="Heading 8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7"/>
    </w:pPr>
    <w:rPr>
      <w:i/>
      <w:iCs/>
    </w:rPr>
  </w:style>
  <w:style w:type="paragraph" w:customStyle="1" w:styleId="Heading9">
    <w:name w:val="Heading 9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8"/>
    </w:pPr>
    <w:rPr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D06D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D06D3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D06D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D06D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D06D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D06D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D06D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D06D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D06D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D06D3F"/>
    <w:rPr>
      <w:sz w:val="48"/>
      <w:szCs w:val="48"/>
    </w:rPr>
  </w:style>
  <w:style w:type="character" w:customStyle="1" w:styleId="SubtitleChar">
    <w:name w:val="Subtitle Char"/>
    <w:uiPriority w:val="11"/>
    <w:qFormat/>
    <w:rsid w:val="00D06D3F"/>
    <w:rPr>
      <w:sz w:val="24"/>
      <w:szCs w:val="24"/>
    </w:rPr>
  </w:style>
  <w:style w:type="character" w:customStyle="1" w:styleId="QuoteChar">
    <w:name w:val="Quote Char"/>
    <w:uiPriority w:val="29"/>
    <w:qFormat/>
    <w:rsid w:val="00D06D3F"/>
    <w:rPr>
      <w:i/>
    </w:rPr>
  </w:style>
  <w:style w:type="character" w:customStyle="1" w:styleId="IntenseQuoteChar">
    <w:name w:val="Intense Quote Char"/>
    <w:uiPriority w:val="30"/>
    <w:qFormat/>
    <w:rsid w:val="00D06D3F"/>
    <w:rPr>
      <w:i/>
    </w:rPr>
  </w:style>
  <w:style w:type="character" w:customStyle="1" w:styleId="HeaderChar">
    <w:name w:val="Header Char"/>
    <w:uiPriority w:val="99"/>
    <w:qFormat/>
    <w:rsid w:val="00D06D3F"/>
  </w:style>
  <w:style w:type="character" w:customStyle="1" w:styleId="FooterChar">
    <w:name w:val="Footer Char"/>
    <w:uiPriority w:val="99"/>
    <w:qFormat/>
    <w:rsid w:val="00D06D3F"/>
  </w:style>
  <w:style w:type="character" w:customStyle="1" w:styleId="InternetLink">
    <w:name w:val="Internet Link"/>
    <w:uiPriority w:val="99"/>
    <w:unhideWhenUsed/>
    <w:rsid w:val="00D06D3F"/>
    <w:rPr>
      <w:color w:val="0563C1"/>
      <w:u w:val="single"/>
    </w:rPr>
  </w:style>
  <w:style w:type="character" w:customStyle="1" w:styleId="FootnoteTextChar">
    <w:name w:val="Footnote Text Char"/>
    <w:uiPriority w:val="99"/>
    <w:qFormat/>
    <w:rsid w:val="00D06D3F"/>
    <w:rPr>
      <w:sz w:val="18"/>
    </w:rPr>
  </w:style>
  <w:style w:type="character" w:styleId="Refdenotaalpie">
    <w:name w:val="footnote reference"/>
    <w:uiPriority w:val="99"/>
    <w:unhideWhenUsed/>
    <w:qFormat/>
    <w:rsid w:val="00D06D3F"/>
    <w:rPr>
      <w:vertAlign w:val="superscript"/>
    </w:rPr>
  </w:style>
  <w:style w:type="paragraph" w:customStyle="1" w:styleId="Heading">
    <w:name w:val="Heading"/>
    <w:basedOn w:val="Normal"/>
    <w:next w:val="Textoindependiente"/>
    <w:qFormat/>
    <w:rsid w:val="00D06D3F"/>
    <w:pPr>
      <w:keepNext/>
      <w:shd w:val="clear" w:color="auto" w:fill="FFFFFF"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D06D3F"/>
    <w:pPr>
      <w:shd w:val="clear" w:color="auto" w:fill="FFFFFF"/>
      <w:spacing w:after="140" w:line="288" w:lineRule="auto"/>
    </w:pPr>
  </w:style>
  <w:style w:type="paragraph" w:styleId="Lista">
    <w:name w:val="List"/>
    <w:basedOn w:val="Textoindependiente"/>
    <w:rsid w:val="00D06D3F"/>
    <w:rPr>
      <w:rFonts w:cs="Lohit Devanagari"/>
    </w:rPr>
  </w:style>
  <w:style w:type="paragraph" w:customStyle="1" w:styleId="Caption">
    <w:name w:val="Caption"/>
    <w:basedOn w:val="Normal"/>
    <w:qFormat/>
    <w:rsid w:val="00D06D3F"/>
    <w:pPr>
      <w:shd w:val="clear" w:color="auto" w:fill="FFFFFF"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06D3F"/>
    <w:pPr>
      <w:shd w:val="clear" w:color="auto" w:fill="FFFFFF"/>
    </w:pPr>
    <w:rPr>
      <w:rFonts w:cs="Lohit Devanagari"/>
    </w:rPr>
  </w:style>
  <w:style w:type="paragraph" w:styleId="Ttulo">
    <w:name w:val="Title"/>
    <w:basedOn w:val="Normal"/>
    <w:uiPriority w:val="10"/>
    <w:qFormat/>
    <w:rsid w:val="00D06D3F"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rsid w:val="00D06D3F"/>
    <w:pPr>
      <w:shd w:val="clear" w:color="auto" w:fill="FFFFFF"/>
      <w:spacing w:before="200"/>
    </w:pPr>
    <w:rPr>
      <w:sz w:val="24"/>
      <w:szCs w:val="24"/>
    </w:rPr>
  </w:style>
  <w:style w:type="paragraph" w:styleId="Cita">
    <w:name w:val="Quote"/>
    <w:basedOn w:val="Normal"/>
    <w:uiPriority w:val="29"/>
    <w:qFormat/>
    <w:rsid w:val="00D06D3F"/>
    <w:pPr>
      <w:shd w:val="clear" w:color="auto" w:fill="FFFFFF"/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rsid w:val="00D06D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">
    <w:name w:val="Head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qFormat/>
    <w:rsid w:val="00D06D3F"/>
    <w:pPr>
      <w:shd w:val="clear" w:color="auto" w:fill="FFFFFF"/>
      <w:spacing w:after="40" w:line="240" w:lineRule="auto"/>
    </w:pPr>
    <w:rPr>
      <w:sz w:val="18"/>
    </w:rPr>
  </w:style>
  <w:style w:type="paragraph" w:styleId="TDC1">
    <w:name w:val="toc 1"/>
    <w:basedOn w:val="Normal"/>
    <w:uiPriority w:val="39"/>
    <w:unhideWhenUsed/>
    <w:rsid w:val="00D06D3F"/>
    <w:pPr>
      <w:shd w:val="clear" w:color="auto" w:fill="FFFFFF"/>
      <w:spacing w:after="57"/>
    </w:pPr>
  </w:style>
  <w:style w:type="paragraph" w:styleId="TDC2">
    <w:name w:val="toc 2"/>
    <w:basedOn w:val="Normal"/>
    <w:uiPriority w:val="39"/>
    <w:unhideWhenUsed/>
    <w:rsid w:val="00D06D3F"/>
    <w:pPr>
      <w:shd w:val="clear" w:color="auto" w:fill="FFFFFF"/>
      <w:spacing w:after="57"/>
      <w:ind w:left="283"/>
    </w:pPr>
  </w:style>
  <w:style w:type="paragraph" w:styleId="TDC3">
    <w:name w:val="toc 3"/>
    <w:basedOn w:val="Normal"/>
    <w:uiPriority w:val="39"/>
    <w:unhideWhenUsed/>
    <w:rsid w:val="00D06D3F"/>
    <w:pPr>
      <w:shd w:val="clear" w:color="auto" w:fill="FFFFFF"/>
      <w:spacing w:after="57"/>
      <w:ind w:left="567"/>
    </w:pPr>
  </w:style>
  <w:style w:type="paragraph" w:styleId="TDC4">
    <w:name w:val="toc 4"/>
    <w:basedOn w:val="Normal"/>
    <w:uiPriority w:val="39"/>
    <w:unhideWhenUsed/>
    <w:rsid w:val="00D06D3F"/>
    <w:pPr>
      <w:shd w:val="clear" w:color="auto" w:fill="FFFFFF"/>
      <w:spacing w:after="57"/>
      <w:ind w:left="850"/>
    </w:pPr>
  </w:style>
  <w:style w:type="paragraph" w:styleId="TDC5">
    <w:name w:val="toc 5"/>
    <w:basedOn w:val="Normal"/>
    <w:uiPriority w:val="39"/>
    <w:unhideWhenUsed/>
    <w:rsid w:val="00D06D3F"/>
    <w:pPr>
      <w:shd w:val="clear" w:color="auto" w:fill="FFFFFF"/>
      <w:spacing w:after="57"/>
      <w:ind w:left="1134"/>
    </w:pPr>
  </w:style>
  <w:style w:type="paragraph" w:styleId="TDC6">
    <w:name w:val="toc 6"/>
    <w:basedOn w:val="Normal"/>
    <w:uiPriority w:val="39"/>
    <w:unhideWhenUsed/>
    <w:rsid w:val="00D06D3F"/>
    <w:pPr>
      <w:shd w:val="clear" w:color="auto" w:fill="FFFFFF"/>
      <w:spacing w:after="57"/>
      <w:ind w:left="1417"/>
    </w:pPr>
  </w:style>
  <w:style w:type="paragraph" w:styleId="TDC7">
    <w:name w:val="toc 7"/>
    <w:basedOn w:val="Normal"/>
    <w:uiPriority w:val="39"/>
    <w:unhideWhenUsed/>
    <w:rsid w:val="00D06D3F"/>
    <w:pPr>
      <w:shd w:val="clear" w:color="auto" w:fill="FFFFFF"/>
      <w:spacing w:after="57"/>
      <w:ind w:left="1701"/>
    </w:pPr>
  </w:style>
  <w:style w:type="paragraph" w:styleId="TDC8">
    <w:name w:val="toc 8"/>
    <w:basedOn w:val="Normal"/>
    <w:uiPriority w:val="39"/>
    <w:unhideWhenUsed/>
    <w:rsid w:val="00D06D3F"/>
    <w:pPr>
      <w:shd w:val="clear" w:color="auto" w:fill="FFFFFF"/>
      <w:spacing w:after="57"/>
      <w:ind w:left="1984"/>
    </w:pPr>
  </w:style>
  <w:style w:type="paragraph" w:styleId="TDC9">
    <w:name w:val="toc 9"/>
    <w:basedOn w:val="Normal"/>
    <w:uiPriority w:val="39"/>
    <w:unhideWhenUsed/>
    <w:rsid w:val="00D06D3F"/>
    <w:pPr>
      <w:shd w:val="clear" w:color="auto" w:fill="FFFFFF"/>
      <w:spacing w:after="57"/>
      <w:ind w:left="2268"/>
    </w:pPr>
  </w:style>
  <w:style w:type="paragraph" w:styleId="TtulodeTDC">
    <w:name w:val="TOC Heading"/>
    <w:uiPriority w:val="39"/>
    <w:unhideWhenUsed/>
    <w:qFormat/>
    <w:rsid w:val="00D06D3F"/>
    <w:rPr>
      <w:color w:val="00000A"/>
      <w:sz w:val="22"/>
      <w:lang w:val="en-US" w:eastAsia="en-US"/>
    </w:rPr>
  </w:style>
  <w:style w:type="paragraph" w:styleId="Sinespaciado">
    <w:name w:val="No Spacing"/>
    <w:basedOn w:val="Normal"/>
    <w:uiPriority w:val="1"/>
    <w:qFormat/>
    <w:rsid w:val="00D06D3F"/>
    <w:pPr>
      <w:shd w:val="clear" w:color="auto" w:fill="FFFFFF"/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06D3F"/>
    <w:pPr>
      <w:shd w:val="clear" w:color="auto" w:fill="FFFFFF"/>
      <w:ind w:left="720"/>
      <w:contextualSpacing/>
    </w:pPr>
  </w:style>
  <w:style w:type="paragraph" w:customStyle="1" w:styleId="160">
    <w:name w:val="160"/>
    <w:qFormat/>
    <w:rsid w:val="00D06D3F"/>
    <w:pPr>
      <w:keepNext/>
      <w:shd w:val="clear" w:color="auto" w:fill="FFFFFF"/>
    </w:pPr>
    <w:rPr>
      <w:rFonts w:ascii="Liberation Serif" w:hAnsi="Liberation Serif" w:cs="Liberation Serif"/>
      <w:color w:val="000000"/>
      <w:sz w:val="24"/>
      <w:lang w:val="en-US" w:eastAsia="en-US" w:bidi="en-US"/>
    </w:rPr>
  </w:style>
  <w:style w:type="paragraph" w:customStyle="1" w:styleId="TableContents">
    <w:name w:val="Table Contents"/>
    <w:basedOn w:val="Normal"/>
    <w:qFormat/>
    <w:rsid w:val="00D06D3F"/>
  </w:style>
  <w:style w:type="paragraph" w:customStyle="1" w:styleId="TableHeading">
    <w:name w:val="Table Heading"/>
    <w:basedOn w:val="TableContents"/>
    <w:qFormat/>
    <w:rsid w:val="00D06D3F"/>
  </w:style>
  <w:style w:type="table" w:styleId="Tablaconcuadrcula">
    <w:name w:val="Table Grid"/>
    <w:basedOn w:val="Tablanormal"/>
    <w:uiPriority w:val="59"/>
    <w:rsid w:val="00D06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0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D3F"/>
    <w:rPr>
      <w:rFonts w:ascii="Tahoma" w:hAnsi="Tahoma" w:cs="Tahoma"/>
      <w:color w:val="00000A"/>
      <w:sz w:val="16"/>
      <w:szCs w:val="16"/>
      <w:shd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963</Characters>
  <Application>Microsoft Office Word</Application>
  <DocSecurity>0</DocSecurity>
  <Lines>8</Lines>
  <Paragraphs>2</Paragraphs>
  <ScaleCrop>false</ScaleCrop>
  <Company>http://www.centor.mx.gd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30</cp:revision>
  <dcterms:created xsi:type="dcterms:W3CDTF">2019-10-25T14:43:00Z</dcterms:created>
  <dcterms:modified xsi:type="dcterms:W3CDTF">2020-06-04T08:51:00Z</dcterms:modified>
</cp:coreProperties>
</file>