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5CBAD399" w14:textId="6EB7FE46" w:rsidR="00F62196" w:rsidRPr="001C45AD" w:rsidRDefault="00F62196" w:rsidP="00F62196">
      <w:pPr>
        <w:framePr w:w="7817" w:h="1088" w:hSpace="180" w:wrap="around" w:vAnchor="text" w:hAnchor="page" w:x="1858" w:y="663"/>
        <w:pBdr>
          <w:top w:val="single" w:sz="6" w:space="1" w:color="auto"/>
          <w:left w:val="single" w:sz="6" w:space="1" w:color="auto"/>
          <w:bottom w:val="single" w:sz="6" w:space="1" w:color="auto"/>
          <w:right w:val="single" w:sz="6" w:space="1" w:color="auto"/>
        </w:pBdr>
        <w:rPr>
          <w:rFonts w:asciiTheme="minorHAnsi" w:hAnsiTheme="minorHAnsi"/>
          <w:sz w:val="22"/>
          <w:lang w:bidi="en-US"/>
        </w:rPr>
      </w:pPr>
      <w:r w:rsidRPr="001C45AD">
        <w:rPr>
          <w:rFonts w:asciiTheme="minorHAnsi" w:hAnsiTheme="minorHAnsi"/>
          <w:sz w:val="22"/>
          <w:lang w:bidi="en-US"/>
        </w:rPr>
        <w:t xml:space="preserve">Please refer to article </w:t>
      </w:r>
      <w:r w:rsidRPr="001C45AD">
        <w:rPr>
          <w:rFonts w:asciiTheme="minorHAnsi" w:hAnsiTheme="minorHAnsi"/>
          <w:b/>
          <w:sz w:val="22"/>
          <w:lang w:bidi="en-US"/>
        </w:rPr>
        <w:t xml:space="preserve">lines </w:t>
      </w:r>
      <w:r w:rsidR="00416BA1">
        <w:rPr>
          <w:rFonts w:asciiTheme="minorHAnsi" w:hAnsiTheme="minorHAnsi"/>
          <w:b/>
          <w:sz w:val="22"/>
          <w:lang w:bidi="en-US"/>
        </w:rPr>
        <w:t>748-750</w:t>
      </w:r>
      <w:r w:rsidRPr="001C45AD">
        <w:rPr>
          <w:rFonts w:asciiTheme="minorHAnsi" w:hAnsiTheme="minorHAnsi"/>
          <w:sz w:val="22"/>
          <w:lang w:bidi="en-US"/>
        </w:rPr>
        <w:t>.</w:t>
      </w:r>
    </w:p>
    <w:p w14:paraId="065479F7" w14:textId="77777777" w:rsidR="00F62196" w:rsidRPr="001C45AD" w:rsidRDefault="00F62196" w:rsidP="00F62196">
      <w:pPr>
        <w:framePr w:w="7817" w:h="1088" w:hSpace="180" w:wrap="around" w:vAnchor="text" w:hAnchor="page" w:x="1858" w:y="663"/>
        <w:pBdr>
          <w:top w:val="single" w:sz="6" w:space="1" w:color="auto"/>
          <w:left w:val="single" w:sz="6" w:space="1" w:color="auto"/>
          <w:bottom w:val="single" w:sz="6" w:space="1" w:color="auto"/>
          <w:right w:val="single" w:sz="6" w:space="1" w:color="auto"/>
        </w:pBdr>
        <w:rPr>
          <w:rFonts w:asciiTheme="minorHAnsi" w:hAnsiTheme="minorHAnsi"/>
          <w:color w:val="0000FF"/>
          <w:sz w:val="22"/>
          <w:lang w:val="de-DE"/>
        </w:rPr>
      </w:pPr>
      <w:r w:rsidRPr="001C45AD">
        <w:rPr>
          <w:rFonts w:asciiTheme="minorHAnsi" w:hAnsiTheme="minorHAnsi"/>
          <w:sz w:val="22"/>
          <w:lang w:bidi="en-US"/>
        </w:rPr>
        <w:t>‘No statistical methods were used to predetermine sample size, but it is comparable to published work</w:t>
      </w:r>
      <w:r w:rsidRPr="001C45AD">
        <w:rPr>
          <w:rFonts w:asciiTheme="minorHAnsi" w:hAnsiTheme="minorHAnsi"/>
          <w:color w:val="0070C0"/>
          <w:sz w:val="22"/>
          <w:lang w:bidi="en-US"/>
        </w:rPr>
        <w:t xml:space="preserve"> </w:t>
      </w:r>
      <w:r w:rsidRPr="001C45AD">
        <w:rPr>
          <w:rFonts w:asciiTheme="minorHAnsi" w:hAnsiTheme="minorHAnsi"/>
          <w:color w:val="0000FF"/>
          <w:sz w:val="22"/>
          <w:lang w:val="de-DE" w:bidi="en-US"/>
        </w:rPr>
        <w:fldChar w:fldCharType="begin" w:fldLock="1"/>
      </w:r>
      <w:r w:rsidRPr="001C45AD">
        <w:rPr>
          <w:rFonts w:asciiTheme="minorHAnsi" w:hAnsiTheme="minorHAnsi"/>
          <w:color w:val="0000FF"/>
          <w:sz w:val="22"/>
          <w:lang w:bidi="en-US"/>
        </w:rPr>
        <w:instrText>ADDIN CSL_CITATION {"citationItems":[{"id":"ITEM-1","itemData":{"DOI":"10.1038/s41593-019-0354-y","ISSN":"15461726","abstract":"The local and long-range connectivity of cortical neurons are considered instrumental to the functional repertoire of the cortical region in which they reside. In cortical networks, distinct cell types build local circuit structures enabling computational operations. Computations in the medial prefrontal cortex (mPFC) are thought to be central to cognitive operation, including decision-making and memory. We used a retrograde trans-synaptic rabies virus system to generate brain-wide maps of the input to excitatory neurons as well as three inhibitory interneuron subtypes in the mPFC. On the global scale the input patterns were found to be mainly cell type independent, with quantitative differences in key brain regions, including the basal forebrain. Mapping of the local mPFC network revealed high connectivity between the different subtypes of interneurons. The connectivity mapping gives insight into the information that the mPFC processes and the structural architecture underlying the mPFC’s unique functions.","author":[{"dropping-particle":"","family":"Ährlund-Richter","given":"Sofie","non-dropping-particle":"","parse-names":false,"suffix":""},{"dropping-particle":"","family":"Xuan","given":"Yang","non-dropping-particle":"","parse-names":false,"suffix":""},{"dropping-particle":"","family":"Lunteren","given":"Josina Anna","non-dropping-particle":"van","parse-names":false,"suffix":""},{"dropping-particle":"","family":"Kim","given":"Hoseok","non-dropping-particle":"","parse-names":false,"suffix":""},{"dropping-particle":"","family":"Ortiz","given":"Cantin","non-dropping-particle":"","parse-names":false,"suffix":""},{"dropping-particle":"","family":"Pollak Dorocic","given":"Iskra","non-dropping-particle":"","parse-names":false,"suffix":""},{"dropping-particle":"","family":"Meletis","given":"Konstantinos","non-dropping-particle":"","parse-names":false,"suffix":""},{"dropping-particle":"","family":"Carlén","given":"Marie","non-dropping-particle":"","parse-names":false,"suffix":""}],"container-title":"Nature Neuroscience","id":"ITEM-1","issue":"4","issued":{"date-parts":[["2019"]]},"page":"657-668","title":"A whole-brain atlas of monosynaptic input targeting four different cell types in the medial prefrontal cortex of the mouse","type":"article-journal","volume":"22"},"uris":["http://www.mendeley.com/documents/?uuid=4033ae45-f879-4fa7-bbaf-ef4fd1ebf7d1","http://www.mendeley.com/documents/?uuid=33acb24e-9bd7-4d15-ae0c-e5c77b08f8d7"]},{"id":"ITEM-2","itemData":{"DOI":"10.3389/fnana.2019.00044","ISSN":"1662-5129","abstract":"Long-range neuronal circuits play an important role in motor and sensory information processing. Determining direct synaptic inputs of excited and inhibited neurons is important for understanding circuit mechan</w:instrText>
      </w:r>
      <w:r w:rsidRPr="001C45AD">
        <w:rPr>
          <w:rFonts w:asciiTheme="minorHAnsi" w:hAnsiTheme="minorHAnsi"/>
          <w:color w:val="0000FF"/>
          <w:sz w:val="22"/>
          <w:lang w:val="de-DE" w:bidi="en-US"/>
        </w:rPr>
        <w:instrText>isms involved in regulating movement. Here, we used monosynaptic rabies tracing technique combined with fluorescent micro-optical sectional tomography to characterize the brain-wide input to motor cortex. The whole brain dataset showed that main excited and inhibited neurons in the motor cortex receive inputs from similar brain regions with quantitative difference. With 3D reconstruction, we found that the distribution of input neurons that target the primary and secondary motor cortex had different patterns. In cortex, the neurons projecting to primary motor cortex mainly distributed in the lateral and anterior portion, while those to secondary motor cortex distributed in the medial and posterior portion. The input neurons in subcortical areas also showed the topographic shift model, as in thalamus the neurons distributed as outer and inner shells and the neurons in claustrum and amygdala were in ventral and dorsal part respectively. These results lay the anatomical foundation for understanding the organized pattern of motor circuits and the functional differences between primary and secondary motor cortex.","author":[{"dropping-particle":"","family":"Luo","given":"Pan","non-dropping-particle":"","parse-names":false,"suffix":""},{"dropping-particle":"","family":"Li","given":"Anan","non-dropping-particle":"","parse-names":false,"suffix":""},{"dropping-particle":"","family":"Zheng","given":"Yanxiao","non-dropping-particle":"","parse-names":false,"suffix":""},{"dropping-particle":"","family":"Han","given":"Yutong","non-dropping-particle":"","parse-names":false,"suffix":""},{"dropping-particle":"","family":"Tian","given":"Jiaojiao","non-dropping-particle":"","parse-names":false,"suffix":""},{"dropping-particle":"","family":"Xu","given":"Zhengchao","non-dropping-particle":"","parse-names":false,"suffix":""},{"dropping-particle":"","family":"Gong","given":"Hui","non-dropping-particle":"","parse-names":false,"suffix":""},{"dropping-particle":"","family":"Li","given":"Xiangning","non-dropping-particle":"","parse-names":false,"suffix":""}],"container-title":"Frontiers in Neuroanatomy","id":"ITEM-2","issued":{"date-parts":[["2019","4"]]},"page":"44","publisher":"Frontiers","title":"Whole Brain Mapping of Long-Range Direct Input to Glutamatergic and GABAergic Neurons in Motor Cortex","type":"article-journal","volume":"13"},"uris":["http://www.mendeley.com/documents/?uuid=3e6a4f09-341c-45dc-8dc4-8c87423eb8a4","http://www.mendeley.com/documents/?uuid=2fff7d49-af8f-493b-be84-1f75ce9c6acf"]},{"id":"ITEM-3","itemData":{"DOI":"10.7554/eLife.13214","ISSN":"2050-084X","abstract":"&lt;p&gt;The basal forebrain (BF) plays key roles in multiple brain functions, including sleep-wake regulation, attention, and learning/memory, but the long-range connections mediating these functions remain poorly characterized. Here we performed whole-brain mapping of both inputs and outputs of four BF cell types – cholinergic, glutamatergic, and parvalbumin-positive (PV+) and somatostatin-positive (SOM+) GABAergic neurons – in the mouse brain. Using rabies virus -mediated monosynaptic retrograde tracing to label the inputs and adeno-associated virus to trace axonal projections, we identified numerous brain areas connected to the BF. The inputs to different cell types were qualitatively similar, but the output projections showed marked differences. The connections to glutamatergic and SOM+ neurons were strongly reciprocal, while those to cholinergic and PV+ neurons were more unidirectional. These results reveal the long-range wiring diagram of the BF circuit with highly convergent inputs and divergent outputs and point to both functional commonality and specialization of different BF cell types.&lt;/p&gt;","author":[{"dropping-particle":"","family":"Do","given":"Johnny Phong","non-dropping-particle":"","parse-names":false,"suffix":""},{"dropping-particle":"","family":"Xu","given":"Min","non-dropping-particle":"","parse-names":false,"suffix":""},{"dropping-particle":"","family":"Lee","given":"Seung-Hee","non-dropping-particle":"","parse-names":false,"suffix":""},{"dropping-particle":"","family":"Chang","given":"Wei-Cheng","non-dropping-particle":"","parse-names":false,"suffix":""},{"dropping-particle":"","family":"Zhang","given":"Siyu","non-dropping-particle":"","parse-names":false,"suffix":""},{"dropping-particle":"","family":"Chung","given":"Shinjae","non-droppin</w:instrText>
      </w:r>
      <w:r w:rsidRPr="001C45AD">
        <w:rPr>
          <w:rFonts w:asciiTheme="minorHAnsi" w:hAnsiTheme="minorHAnsi"/>
          <w:color w:val="0000FF"/>
          <w:sz w:val="22"/>
          <w:lang w:val="de-DE"/>
        </w:rPr>
        <w:instrText>g-particle":"","parse-names":false,"suffix":""},{"dropping-particle":"","family":"Yung","given":"Tyler J","non-dropping-particle":"","parse-names":false,"suffix":""},{"dropping-particle":"","family":"Fan","given":"Jiang Lan","non-dropping-particle":"","parse-names":false,"suffix":""},{"dropping-particle":"","family":"Miyamichi","given":"Kazunari","non-dropping-particle":"","parse-names":false,"suffix":""},{"dropping-particle":"","family":"Luo","given":"Liqun","non-dropping-particle":"","parse-names":false,"suffix":""},{"dropping-particle":"","family":"Dan","given":"Yang","non-dropping-particle":"","parse-names":false,"suffix":""}],"container-title":"eLife","id":"ITEM-3","issued":{"date-parts":[["2016","9"]]},"title":"Cell type-specific long-range connections of basal forebrain circuit","type":"article-journal","volume":"5"},"uris":["http://www.mendeley.com/documents/?uuid=60dadfd9-d91c-4d05-a1aa-a1860a50d9a9","http://www.mendeley.com/documents/?uuid=3345d44b-8c28-3c5c-8a9c-df2be8544749","http://www.mendeley.com/documents/?uuid=a1150160-f231-4e8c-93c0-ce1b4c28b227"]}],"mendeley":{"formattedCitation":"(Ährlund-Richter et al., 2019; Do et al., 2016; Luo et al., 2019)","plainTextFormattedCitation":"(Ährlund-Richter et al., 2019; Do et al., 2016; Luo et al., 2019)","previouslyFormattedCitation":"(Ährlund-Richter et al., 2019; Do et al., 2016; Luo et al., 2019)"},"properties":{"noteIndex":0},"schema":"https://github.com/citation-style-language/schema/raw/master/csl-citation.json"}</w:instrText>
      </w:r>
      <w:r w:rsidRPr="001C45AD">
        <w:rPr>
          <w:rFonts w:asciiTheme="minorHAnsi" w:hAnsiTheme="minorHAnsi"/>
          <w:color w:val="0000FF"/>
          <w:sz w:val="22"/>
          <w:lang w:val="de-DE" w:bidi="en-US"/>
        </w:rPr>
        <w:fldChar w:fldCharType="separate"/>
      </w:r>
      <w:r w:rsidRPr="001C45AD">
        <w:rPr>
          <w:rFonts w:asciiTheme="minorHAnsi" w:hAnsiTheme="minorHAnsi"/>
          <w:color w:val="0000FF"/>
          <w:sz w:val="22"/>
          <w:lang w:val="de-DE"/>
        </w:rPr>
        <w:t>(Ährlund-Richter et al., 2019; Do et al., 2016; Luo et al., 2019)</w:t>
      </w:r>
      <w:r w:rsidRPr="001C45AD">
        <w:rPr>
          <w:rFonts w:asciiTheme="minorHAnsi" w:hAnsiTheme="minorHAnsi"/>
          <w:color w:val="0000FF"/>
          <w:sz w:val="22"/>
          <w:lang w:val="de-DE"/>
        </w:rPr>
        <w:fldChar w:fldCharType="end"/>
      </w:r>
      <w:r w:rsidRPr="001C45AD">
        <w:rPr>
          <w:rFonts w:asciiTheme="minorHAnsi" w:hAnsiTheme="minorHAnsi"/>
          <w:color w:val="0000FF"/>
          <w:sz w:val="22"/>
          <w:lang w:val="de-DE"/>
        </w:rPr>
        <w:t>.‘</w:t>
      </w:r>
    </w:p>
    <w:p w14:paraId="71D7A2FD" w14:textId="77777777" w:rsidR="00F62196" w:rsidRPr="00F62196" w:rsidRDefault="00F62196" w:rsidP="00F62196">
      <w:pPr>
        <w:framePr w:w="7817" w:h="1088" w:hSpace="180" w:wrap="around" w:vAnchor="text" w:hAnchor="page" w:x="1858" w:y="663"/>
        <w:pBdr>
          <w:top w:val="single" w:sz="6" w:space="1" w:color="auto"/>
          <w:left w:val="single" w:sz="6" w:space="1" w:color="auto"/>
          <w:bottom w:val="single" w:sz="6" w:space="1" w:color="auto"/>
          <w:right w:val="single" w:sz="6" w:space="1" w:color="auto"/>
        </w:pBdr>
        <w:rPr>
          <w:rFonts w:asciiTheme="minorHAnsi" w:hAnsiTheme="minorHAnsi"/>
          <w:lang w:val="de-DE"/>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F62196"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1B6617EF" w14:textId="5C2C1DCF" w:rsidR="006D5085" w:rsidRPr="004F271C" w:rsidRDefault="00D26A27" w:rsidP="009E57B8">
      <w:pPr>
        <w:framePr w:w="7817" w:h="1088" w:hSpace="180" w:wrap="around" w:vAnchor="text" w:hAnchor="page" w:x="1831" w:y="729"/>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All data reported were replicated in 3 biological replicates (n=3). </w:t>
      </w:r>
    </w:p>
    <w:p w14:paraId="5710589B" w14:textId="3B35E711" w:rsidR="009E57B8" w:rsidRPr="00125190" w:rsidRDefault="00FF54C5" w:rsidP="009E57B8">
      <w:pPr>
        <w:framePr w:w="7817" w:h="1088" w:hSpace="180" w:wrap="around" w:vAnchor="text" w:hAnchor="page" w:x="1831" w:y="729"/>
        <w:pBdr>
          <w:top w:val="single" w:sz="6" w:space="1" w:color="auto"/>
          <w:left w:val="single" w:sz="6" w:space="1" w:color="auto"/>
          <w:bottom w:val="single" w:sz="6" w:space="1" w:color="auto"/>
          <w:right w:val="single" w:sz="6" w:space="1" w:color="auto"/>
        </w:pBdr>
        <w:rPr>
          <w:rFonts w:asciiTheme="minorHAnsi" w:hAnsiTheme="minorHAnsi"/>
        </w:rPr>
      </w:pPr>
      <w:r w:rsidRPr="004F271C">
        <w:rPr>
          <w:rFonts w:asciiTheme="minorHAnsi" w:hAnsiTheme="minorHAnsi"/>
          <w:sz w:val="22"/>
        </w:rPr>
        <w:t xml:space="preserve">Please refer </w:t>
      </w:r>
      <w:r w:rsidRPr="004F271C">
        <w:rPr>
          <w:rFonts w:asciiTheme="minorHAnsi" w:hAnsiTheme="minorHAnsi"/>
          <w:b/>
          <w:sz w:val="22"/>
        </w:rPr>
        <w:t xml:space="preserve">lines </w:t>
      </w:r>
      <w:r w:rsidR="00416BA1">
        <w:rPr>
          <w:rFonts w:asciiTheme="minorHAnsi" w:hAnsiTheme="minorHAnsi"/>
          <w:b/>
          <w:sz w:val="22"/>
        </w:rPr>
        <w:t>652-660</w:t>
      </w:r>
      <w:r w:rsidRPr="004F271C">
        <w:rPr>
          <w:rFonts w:asciiTheme="minorHAnsi" w:hAnsiTheme="minorHAnsi"/>
          <w:b/>
          <w:sz w:val="22"/>
        </w:rPr>
        <w:t xml:space="preserve"> </w:t>
      </w:r>
      <w:r w:rsidRPr="004F271C">
        <w:rPr>
          <w:rFonts w:asciiTheme="minorHAnsi" w:hAnsiTheme="minorHAnsi"/>
          <w:sz w:val="22"/>
        </w:rPr>
        <w:t>for details about</w:t>
      </w:r>
      <w:r w:rsidR="009E57B8" w:rsidRPr="004F271C">
        <w:rPr>
          <w:rFonts w:asciiTheme="minorHAnsi" w:hAnsiTheme="minorHAnsi"/>
          <w:sz w:val="22"/>
        </w:rPr>
        <w:t xml:space="preserve"> exclusion criteria. </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393D71EE" w14:textId="6E0B7E72" w:rsidR="00DA3EC7" w:rsidRPr="00DA3EC7" w:rsidRDefault="00A026E6" w:rsidP="0081416E">
      <w:pPr>
        <w:framePr w:w="7817" w:h="1088" w:hSpace="180" w:wrap="around" w:vAnchor="text" w:hAnchor="page" w:x="1904" w:y="66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026E6">
        <w:rPr>
          <w:rFonts w:asciiTheme="minorHAnsi" w:hAnsiTheme="minorHAnsi"/>
          <w:sz w:val="22"/>
          <w:szCs w:val="22"/>
        </w:rPr>
        <w:t xml:space="preserve">Group comparison of connectivity patterns were made using ordinary one-way ANOVAs per </w:t>
      </w:r>
      <w:proofErr w:type="spellStart"/>
      <w:r w:rsidRPr="00A026E6">
        <w:rPr>
          <w:rFonts w:asciiTheme="minorHAnsi" w:hAnsiTheme="minorHAnsi"/>
          <w:sz w:val="22"/>
          <w:szCs w:val="22"/>
        </w:rPr>
        <w:t>subregion</w:t>
      </w:r>
      <w:proofErr w:type="spellEnd"/>
      <w:r w:rsidRPr="00A026E6">
        <w:rPr>
          <w:rFonts w:asciiTheme="minorHAnsi" w:hAnsiTheme="minorHAnsi"/>
          <w:sz w:val="22"/>
          <w:szCs w:val="22"/>
        </w:rPr>
        <w:t xml:space="preserve">, followed by </w:t>
      </w:r>
      <w:proofErr w:type="gramStart"/>
      <w:r w:rsidRPr="00A026E6">
        <w:rPr>
          <w:rFonts w:asciiTheme="minorHAnsi" w:hAnsiTheme="minorHAnsi"/>
          <w:sz w:val="22"/>
          <w:szCs w:val="22"/>
        </w:rPr>
        <w:t>Tuckey’s</w:t>
      </w:r>
      <w:proofErr w:type="gramEnd"/>
      <w:r w:rsidRPr="00A026E6">
        <w:rPr>
          <w:rFonts w:asciiTheme="minorHAnsi" w:hAnsiTheme="minorHAnsi"/>
          <w:sz w:val="22"/>
          <w:szCs w:val="22"/>
        </w:rPr>
        <w:t xml:space="preserve"> multiple comparisons test. </w:t>
      </w:r>
      <w:r w:rsidR="0081416E">
        <w:rPr>
          <w:rFonts w:asciiTheme="minorHAnsi" w:hAnsiTheme="minorHAnsi"/>
          <w:sz w:val="22"/>
          <w:szCs w:val="22"/>
        </w:rPr>
        <w:t xml:space="preserve">Please refer to the </w:t>
      </w:r>
      <w:r w:rsidR="0081416E">
        <w:rPr>
          <w:rFonts w:asciiTheme="minorHAnsi" w:hAnsiTheme="minorHAnsi"/>
          <w:b/>
          <w:sz w:val="22"/>
          <w:szCs w:val="22"/>
        </w:rPr>
        <w:t xml:space="preserve">Methods </w:t>
      </w:r>
      <w:r w:rsidR="0081416E">
        <w:rPr>
          <w:rFonts w:asciiTheme="minorHAnsi" w:hAnsiTheme="minorHAnsi"/>
          <w:sz w:val="22"/>
          <w:szCs w:val="22"/>
        </w:rPr>
        <w:t xml:space="preserve">section for more details. </w:t>
      </w:r>
      <w:r w:rsidR="003466A6">
        <w:rPr>
          <w:rFonts w:asciiTheme="minorHAnsi" w:hAnsiTheme="minorHAnsi"/>
          <w:sz w:val="22"/>
          <w:szCs w:val="22"/>
        </w:rPr>
        <w:t>Where applicable indi</w:t>
      </w:r>
      <w:r>
        <w:rPr>
          <w:rFonts w:asciiTheme="minorHAnsi" w:hAnsiTheme="minorHAnsi"/>
          <w:sz w:val="22"/>
          <w:szCs w:val="22"/>
        </w:rPr>
        <w:t xml:space="preserve">vidual data points are </w:t>
      </w:r>
      <w:proofErr w:type="spellStart"/>
      <w:proofErr w:type="gramStart"/>
      <w:r>
        <w:rPr>
          <w:rFonts w:asciiTheme="minorHAnsi" w:hAnsiTheme="minorHAnsi"/>
          <w:sz w:val="22"/>
          <w:szCs w:val="22"/>
        </w:rPr>
        <w:t>included.</w:t>
      </w:r>
      <w:r w:rsidR="00DA3EC7">
        <w:rPr>
          <w:rFonts w:asciiTheme="minorHAnsi" w:hAnsiTheme="minorHAnsi"/>
          <w:sz w:val="22"/>
          <w:szCs w:val="22"/>
        </w:rPr>
        <w:t>Detailed</w:t>
      </w:r>
      <w:proofErr w:type="spellEnd"/>
      <w:proofErr w:type="gramEnd"/>
      <w:r w:rsidR="00DA3EC7">
        <w:rPr>
          <w:rFonts w:asciiTheme="minorHAnsi" w:hAnsiTheme="minorHAnsi"/>
          <w:sz w:val="22"/>
          <w:szCs w:val="22"/>
        </w:rPr>
        <w:t xml:space="preserve"> statistics are provided in </w:t>
      </w:r>
      <w:r w:rsidR="00DA3EC7">
        <w:rPr>
          <w:rFonts w:asciiTheme="minorHAnsi" w:hAnsiTheme="minorHAnsi"/>
          <w:b/>
          <w:sz w:val="22"/>
          <w:szCs w:val="22"/>
        </w:rPr>
        <w:t>Supplementary File 3</w:t>
      </w:r>
      <w:r w:rsidR="00DA3EC7">
        <w:rPr>
          <w:rFonts w:asciiTheme="minorHAnsi" w:hAnsiTheme="minorHAnsi"/>
          <w:sz w:val="22"/>
          <w:szCs w:val="22"/>
        </w:rPr>
        <w:t xml:space="preserve">. </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7243F89E" w14:textId="11B9601B" w:rsidR="00575069" w:rsidRDefault="00575069" w:rsidP="00575069">
      <w:pPr>
        <w:framePr w:w="7817" w:h="1088" w:hSpace="180" w:wrap="around" w:vAnchor="text" w:hAnchor="page" w:x="1921" w:y="83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Experimental groups were defined by genotype and viral construct. </w:t>
      </w:r>
    </w:p>
    <w:p w14:paraId="0FA8B684" w14:textId="5108CA1A" w:rsidR="00994A8C" w:rsidRPr="00994A8C" w:rsidRDefault="00994A8C" w:rsidP="00575069">
      <w:pPr>
        <w:framePr w:w="7817" w:h="1088" w:hSpace="180" w:wrap="around" w:vAnchor="text" w:hAnchor="page" w:x="1921" w:y="83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Masking was used for tracing quantifications. This statement </w:t>
      </w:r>
      <w:proofErr w:type="gramStart"/>
      <w:r>
        <w:rPr>
          <w:rFonts w:asciiTheme="minorHAnsi" w:hAnsiTheme="minorHAnsi"/>
          <w:sz w:val="22"/>
          <w:szCs w:val="22"/>
        </w:rPr>
        <w:t>can be found</w:t>
      </w:r>
      <w:proofErr w:type="gramEnd"/>
      <w:r>
        <w:rPr>
          <w:rFonts w:asciiTheme="minorHAnsi" w:hAnsiTheme="minorHAnsi"/>
          <w:sz w:val="22"/>
          <w:szCs w:val="22"/>
        </w:rPr>
        <w:t xml:space="preserve"> in the article </w:t>
      </w:r>
      <w:r>
        <w:rPr>
          <w:rFonts w:asciiTheme="minorHAnsi" w:hAnsiTheme="minorHAnsi"/>
          <w:b/>
          <w:sz w:val="22"/>
          <w:szCs w:val="22"/>
        </w:rPr>
        <w:t xml:space="preserve">line </w:t>
      </w:r>
      <w:r w:rsidR="00416BA1">
        <w:rPr>
          <w:rFonts w:asciiTheme="minorHAnsi" w:hAnsiTheme="minorHAnsi"/>
          <w:b/>
          <w:sz w:val="22"/>
          <w:szCs w:val="22"/>
        </w:rPr>
        <w:t>744</w:t>
      </w:r>
      <w:r w:rsidR="00A026E6">
        <w:rPr>
          <w:rFonts w:asciiTheme="minorHAnsi" w:hAnsiTheme="minorHAnsi"/>
          <w:b/>
          <w:sz w:val="22"/>
          <w:szCs w:val="22"/>
        </w:rPr>
        <w:t>-</w:t>
      </w:r>
      <w:r w:rsidR="00416BA1">
        <w:rPr>
          <w:rFonts w:asciiTheme="minorHAnsi" w:hAnsiTheme="minorHAnsi"/>
          <w:b/>
          <w:sz w:val="22"/>
          <w:szCs w:val="22"/>
        </w:rPr>
        <w:t>745</w:t>
      </w:r>
      <w:r>
        <w:rPr>
          <w:rFonts w:asciiTheme="minorHAnsi" w:hAnsiTheme="minorHAnsi"/>
          <w:sz w:val="22"/>
          <w:szCs w:val="22"/>
        </w:rPr>
        <w:t>.</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0168B274" w:rsidR="00BB55EC" w:rsidRDefault="00BB55EC" w:rsidP="00FF5ED7">
      <w:pPr>
        <w:rPr>
          <w:rFonts w:asciiTheme="minorHAnsi" w:hAnsiTheme="minorHAnsi"/>
          <w:b/>
        </w:rPr>
      </w:pPr>
    </w:p>
    <w:p w14:paraId="2892D054" w14:textId="77777777" w:rsidR="00575069" w:rsidRPr="00FF5ED7" w:rsidRDefault="00575069"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w:t>
      </w:r>
      <w:bookmarkStart w:id="0" w:name="_GoBack"/>
      <w:bookmarkEnd w:id="0"/>
      <w:r w:rsidR="00F3344F" w:rsidRPr="00505C51">
        <w:rPr>
          <w:rFonts w:asciiTheme="minorHAnsi" w:hAnsiTheme="minorHAnsi"/>
          <w:sz w:val="22"/>
          <w:szCs w:val="22"/>
        </w:rPr>
        <w:t>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6E65D990" w:rsidR="00A62B52" w:rsidRDefault="00A62B52" w:rsidP="00A62B52">
      <w:pPr>
        <w:rPr>
          <w:rFonts w:asciiTheme="minorHAnsi" w:hAnsiTheme="minorHAnsi"/>
          <w:sz w:val="16"/>
          <w:szCs w:val="16"/>
        </w:rPr>
      </w:pPr>
    </w:p>
    <w:p w14:paraId="54585535" w14:textId="77777777" w:rsidR="00575069" w:rsidRPr="00A62B52" w:rsidRDefault="00575069" w:rsidP="00A62B52">
      <w:pPr>
        <w:rPr>
          <w:rFonts w:asciiTheme="minorHAnsi" w:hAnsiTheme="minorHAnsi"/>
          <w:sz w:val="16"/>
          <w:szCs w:val="16"/>
        </w:rPr>
      </w:pPr>
    </w:p>
    <w:p w14:paraId="728C3956" w14:textId="719EA4AF" w:rsidR="007E5973" w:rsidRDefault="007E5973" w:rsidP="00994A8C">
      <w:pPr>
        <w:framePr w:w="7817" w:h="1088" w:hSpace="180" w:wrap="around" w:vAnchor="text" w:hAnchor="page" w:x="1904" w:y="43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source data used for plotting graphs and for statistical analyses are available in the p</w:t>
      </w:r>
      <w:r w:rsidR="00A026E6">
        <w:rPr>
          <w:rFonts w:asciiTheme="minorHAnsi" w:hAnsiTheme="minorHAnsi"/>
          <w:sz w:val="22"/>
          <w:szCs w:val="22"/>
        </w:rPr>
        <w:t>ivot table (</w:t>
      </w:r>
      <w:r w:rsidR="00A026E6" w:rsidRPr="00A026E6">
        <w:rPr>
          <w:rFonts w:asciiTheme="minorHAnsi" w:hAnsiTheme="minorHAnsi"/>
          <w:b/>
          <w:sz w:val="22"/>
          <w:szCs w:val="22"/>
        </w:rPr>
        <w:t>Supplementary File 2</w:t>
      </w:r>
      <w:r>
        <w:rPr>
          <w:rFonts w:asciiTheme="minorHAnsi" w:hAnsiTheme="minorHAnsi"/>
          <w:sz w:val="22"/>
          <w:szCs w:val="22"/>
        </w:rPr>
        <w:t xml:space="preserve">). </w:t>
      </w:r>
    </w:p>
    <w:p w14:paraId="3692CDB8" w14:textId="13B1DB8A" w:rsidR="007E5973" w:rsidRPr="00505C51" w:rsidRDefault="007E5973" w:rsidP="00994A8C">
      <w:pPr>
        <w:framePr w:w="7817" w:h="1088" w:hSpace="180" w:wrap="around" w:vAnchor="text" w:hAnchor="page" w:x="1904" w:y="43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code used for quantification and analysis is available on GitHub (</w:t>
      </w:r>
      <w:hyperlink r:id="rId12" w:history="1">
        <w:r w:rsidRPr="0004458E">
          <w:rPr>
            <w:rStyle w:val="Hyperlink"/>
            <w:rFonts w:asciiTheme="minorHAnsi" w:hAnsiTheme="minorHAnsi"/>
            <w:sz w:val="22"/>
            <w:szCs w:val="22"/>
          </w:rPr>
          <w:t>https://github.com/GogollaLab/tracing_quantification_and_analysis</w:t>
        </w:r>
      </w:hyperlink>
      <w:r>
        <w:rPr>
          <w:rFonts w:asciiTheme="minorHAnsi" w:hAnsiTheme="minorHAnsi"/>
          <w:sz w:val="22"/>
          <w:szCs w:val="22"/>
        </w:rPr>
        <w:t xml:space="preserve">).  </w:t>
      </w:r>
    </w:p>
    <w:p w14:paraId="105DBE65" w14:textId="67C64B4E"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D43E726" w14:textId="77777777" w:rsidR="00994A8C" w:rsidRDefault="00994A8C" w:rsidP="00A62B52">
      <w:pP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741C73C"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16BA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75077"/>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45AD"/>
    <w:rsid w:val="001E1D59"/>
    <w:rsid w:val="00212F30"/>
    <w:rsid w:val="00217B9E"/>
    <w:rsid w:val="002336C6"/>
    <w:rsid w:val="00241081"/>
    <w:rsid w:val="00255C0B"/>
    <w:rsid w:val="00266462"/>
    <w:rsid w:val="002A068D"/>
    <w:rsid w:val="002A0ED1"/>
    <w:rsid w:val="002A46DF"/>
    <w:rsid w:val="002A7487"/>
    <w:rsid w:val="00307F5D"/>
    <w:rsid w:val="003248ED"/>
    <w:rsid w:val="003466A6"/>
    <w:rsid w:val="00370080"/>
    <w:rsid w:val="003E388E"/>
    <w:rsid w:val="003F19A6"/>
    <w:rsid w:val="00402ADD"/>
    <w:rsid w:val="00406FF4"/>
    <w:rsid w:val="0041682E"/>
    <w:rsid w:val="00416BA1"/>
    <w:rsid w:val="00420E07"/>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271C"/>
    <w:rsid w:val="004F451D"/>
    <w:rsid w:val="00505C51"/>
    <w:rsid w:val="00516A01"/>
    <w:rsid w:val="0053000A"/>
    <w:rsid w:val="00550F13"/>
    <w:rsid w:val="005530AE"/>
    <w:rsid w:val="00555F44"/>
    <w:rsid w:val="00566103"/>
    <w:rsid w:val="00575069"/>
    <w:rsid w:val="005B0A15"/>
    <w:rsid w:val="00605A12"/>
    <w:rsid w:val="00634AC7"/>
    <w:rsid w:val="00657587"/>
    <w:rsid w:val="00661DCC"/>
    <w:rsid w:val="00672545"/>
    <w:rsid w:val="00685CCF"/>
    <w:rsid w:val="006A632B"/>
    <w:rsid w:val="006C06F5"/>
    <w:rsid w:val="006C7BC3"/>
    <w:rsid w:val="006D5085"/>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E5973"/>
    <w:rsid w:val="00800860"/>
    <w:rsid w:val="008071DA"/>
    <w:rsid w:val="0081416E"/>
    <w:rsid w:val="0082410E"/>
    <w:rsid w:val="008531D3"/>
    <w:rsid w:val="00860995"/>
    <w:rsid w:val="00865914"/>
    <w:rsid w:val="008669DA"/>
    <w:rsid w:val="0087056D"/>
    <w:rsid w:val="00876F8F"/>
    <w:rsid w:val="00877644"/>
    <w:rsid w:val="00877729"/>
    <w:rsid w:val="008A22A7"/>
    <w:rsid w:val="008C73C0"/>
    <w:rsid w:val="008D252E"/>
    <w:rsid w:val="008D7885"/>
    <w:rsid w:val="008F0EE2"/>
    <w:rsid w:val="00912B0B"/>
    <w:rsid w:val="009205E9"/>
    <w:rsid w:val="0092438C"/>
    <w:rsid w:val="00941D04"/>
    <w:rsid w:val="00963CEF"/>
    <w:rsid w:val="00993065"/>
    <w:rsid w:val="00994A8C"/>
    <w:rsid w:val="009A0661"/>
    <w:rsid w:val="009D0D28"/>
    <w:rsid w:val="009D5D7F"/>
    <w:rsid w:val="009E57B8"/>
    <w:rsid w:val="009E6ACE"/>
    <w:rsid w:val="009E7B13"/>
    <w:rsid w:val="00A026E6"/>
    <w:rsid w:val="00A11EC6"/>
    <w:rsid w:val="00A131BD"/>
    <w:rsid w:val="00A32E20"/>
    <w:rsid w:val="00A5368C"/>
    <w:rsid w:val="00A62B52"/>
    <w:rsid w:val="00A84B3E"/>
    <w:rsid w:val="00AB5612"/>
    <w:rsid w:val="00AC49AA"/>
    <w:rsid w:val="00AD7A8F"/>
    <w:rsid w:val="00AE7C75"/>
    <w:rsid w:val="00AF5736"/>
    <w:rsid w:val="00AF7797"/>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26A27"/>
    <w:rsid w:val="00D44612"/>
    <w:rsid w:val="00D50299"/>
    <w:rsid w:val="00D74320"/>
    <w:rsid w:val="00D779BF"/>
    <w:rsid w:val="00D83D45"/>
    <w:rsid w:val="00D93937"/>
    <w:rsid w:val="00DA3EC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62196"/>
    <w:rsid w:val="00FC1F40"/>
    <w:rsid w:val="00FD0F2C"/>
    <w:rsid w:val="00FE362B"/>
    <w:rsid w:val="00FE48C0"/>
    <w:rsid w:val="00FE4F10"/>
    <w:rsid w:val="00FF54C5"/>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GogollaLab/tracing_quantification_and_analys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2C15-6F14-461F-A757-A6439362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14402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Nadine Gogolla</cp:lastModifiedBy>
  <cp:revision>3</cp:revision>
  <dcterms:created xsi:type="dcterms:W3CDTF">2020-09-15T08:01:00Z</dcterms:created>
  <dcterms:modified xsi:type="dcterms:W3CDTF">2020-09-15T08:04:00Z</dcterms:modified>
</cp:coreProperties>
</file>