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66C6A63" w:rsidR="00877644" w:rsidRPr="00125190" w:rsidRDefault="00AB6C7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sample-size estimation was computed. The goal was to perform a large-scale analysis, </w:t>
      </w:r>
      <w:r w:rsidR="00AC454B">
        <w:rPr>
          <w:rFonts w:asciiTheme="minorHAnsi" w:hAnsiTheme="minorHAnsi"/>
        </w:rPr>
        <w:t xml:space="preserve">with as many patients as possible. We acquired data from over 100 patients from 7 epilepsy centers, including the only center (Melbourne) with months-long EEG recordings. This dataset included all data available to us worldwide at the time the research was done.  This allowed a rigorous evaluation.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752235E" w:rsidR="00B330BD" w:rsidRPr="00125190" w:rsidRDefault="00AC454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Data were seizures recorded in humans undergoing epilepsy monitoring. </w:t>
      </w:r>
      <w:r w:rsidR="00A4617A">
        <w:rPr>
          <w:rFonts w:asciiTheme="minorHAnsi" w:hAnsiTheme="minorHAnsi"/>
        </w:rPr>
        <w:t>Outliers</w:t>
      </w:r>
      <w:r>
        <w:rPr>
          <w:rFonts w:asciiTheme="minorHAnsi" w:hAnsiTheme="minorHAnsi"/>
        </w:rPr>
        <w:t xml:space="preserve"> are</w:t>
      </w:r>
      <w:r w:rsidR="00A4617A">
        <w:rPr>
          <w:rFonts w:asciiTheme="minorHAnsi" w:hAnsiTheme="minorHAnsi"/>
        </w:rPr>
        <w:t xml:space="preserve"> referenced under “Accurate identification of bifurcations”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76F1E6B" w14:textId="35439051" w:rsidR="00A4617A" w:rsidRPr="00505C51" w:rsidRDefault="00A4617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Appendix I.5</w:t>
      </w:r>
      <w:r w:rsidR="00D118B9">
        <w:rPr>
          <w:rFonts w:asciiTheme="minorHAnsi" w:hAnsiTheme="minorHAnsi"/>
          <w:sz w:val="22"/>
          <w:szCs w:val="22"/>
        </w:rPr>
        <w:t xml:space="preserve"> &amp; </w:t>
      </w:r>
      <w:r>
        <w:rPr>
          <w:rFonts w:asciiTheme="minorHAnsi" w:hAnsiTheme="minorHAnsi"/>
          <w:sz w:val="22"/>
          <w:szCs w:val="22"/>
        </w:rPr>
        <w:t>Appendix I.9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6D376A" w14:textId="47A66ADE" w:rsidR="00DB7CB4" w:rsidRDefault="00DB7CB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Appendix I.5</w:t>
      </w:r>
      <w:r w:rsidR="00D118B9">
        <w:rPr>
          <w:rFonts w:asciiTheme="minorHAnsi" w:hAnsiTheme="minorHAnsi"/>
          <w:sz w:val="22"/>
          <w:szCs w:val="22"/>
        </w:rPr>
        <w:t xml:space="preserve"> &amp; </w:t>
      </w:r>
      <w:r>
        <w:rPr>
          <w:rFonts w:asciiTheme="minorHAnsi" w:hAnsiTheme="minorHAnsi"/>
          <w:sz w:val="22"/>
          <w:szCs w:val="22"/>
        </w:rPr>
        <w:t>Appendix I.9</w:t>
      </w:r>
    </w:p>
    <w:p w14:paraId="7F9D9135" w14:textId="77777777" w:rsidR="00DB7CB4" w:rsidRPr="00505C51" w:rsidRDefault="00DB7CB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7ED8CEF" w:rsidR="00BC3CCE" w:rsidRDefault="00D118B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Figure 2E</w:t>
      </w:r>
    </w:p>
    <w:p w14:paraId="0F446DA4" w14:textId="35C31BFD" w:rsidR="00D118B9" w:rsidRDefault="00D118B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Appendix – Table 2</w:t>
      </w:r>
    </w:p>
    <w:p w14:paraId="19158C28" w14:textId="676F7DFB" w:rsidR="00D118B9" w:rsidRDefault="00D118B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Appendix – Table 3</w:t>
      </w:r>
    </w:p>
    <w:p w14:paraId="3B40F753" w14:textId="320F11F9" w:rsidR="00D118B9" w:rsidRDefault="00D118B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Appendix – Table 4</w:t>
      </w:r>
    </w:p>
    <w:p w14:paraId="073142D8" w14:textId="5F18DE6E" w:rsidR="00D118B9" w:rsidRDefault="00D118B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Appendix – Table 5</w:t>
      </w:r>
    </w:p>
    <w:p w14:paraId="581A162C" w14:textId="7BD18B9E" w:rsidR="00D118B9" w:rsidRDefault="00D118B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0E63358" w14:textId="6333B591" w:rsidR="00D118B9" w:rsidRDefault="00D118B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Everything for Appendix I.5 is included.</w:t>
      </w:r>
    </w:p>
    <w:p w14:paraId="51C96673" w14:textId="551562FC" w:rsidR="00AC454B" w:rsidRDefault="00AC454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B870D33" w14:textId="77777777" w:rsidR="00AC454B" w:rsidRPr="0003695A" w:rsidRDefault="00AC454B" w:rsidP="00AC454B">
      <w:pPr>
        <w:pStyle w:val="EndNoteBibliography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</w:pPr>
      <w:r>
        <w:rPr>
          <w:rFonts w:asciiTheme="minorHAnsi" w:hAnsiTheme="minorHAnsi"/>
          <w:sz w:val="22"/>
          <w:szCs w:val="22"/>
        </w:rPr>
        <w:t xml:space="preserve">Primary data and algorithms for the validation experiment are uploaded into an online repository: </w:t>
      </w:r>
      <w:r w:rsidRPr="0003695A">
        <w:rPr>
          <w:noProof/>
        </w:rPr>
        <w:t>Crisp DN, Saggio ML, Scott J, Stacey WC, Nakatani M, Gliske S</w:t>
      </w:r>
      <w:r w:rsidRPr="0003695A">
        <w:rPr>
          <w:i/>
          <w:noProof/>
        </w:rPr>
        <w:t>, et al.</w:t>
      </w:r>
      <w:r w:rsidRPr="0003695A">
        <w:rPr>
          <w:noProof/>
        </w:rPr>
        <w:t xml:space="preserve"> Epidynamics: Navigating the map of seizure dynamics - Code and Data. </w:t>
      </w:r>
      <w:hyperlink r:id="rId12" w:history="1">
        <w:r w:rsidRPr="0003695A">
          <w:rPr>
            <w:rStyle w:val="Hyperlink"/>
            <w:noProof/>
          </w:rPr>
          <w:t>https://doiorg/107302/ejhy-5h41</w:t>
        </w:r>
      </w:hyperlink>
      <w:r w:rsidRPr="0003695A">
        <w:rPr>
          <w:noProof/>
        </w:rPr>
        <w:t xml:space="preserve">  2019  [cited; Available from: </w:t>
      </w:r>
      <w:hyperlink r:id="rId13" w:history="1">
        <w:r w:rsidRPr="0003695A">
          <w:rPr>
            <w:rStyle w:val="Hyperlink"/>
            <w:noProof/>
          </w:rPr>
          <w:t>https://doi.org/10.7302/ejhy-5h41</w:t>
        </w:r>
      </w:hyperlink>
    </w:p>
    <w:p w14:paraId="30834DDE" w14:textId="4E88094A" w:rsidR="00AC454B" w:rsidRDefault="00AC454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45E25BEE" w14:textId="77777777" w:rsidR="00D118B9" w:rsidRPr="00505C51" w:rsidRDefault="00D118B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4"/>
      <w:footerReference w:type="even" r:id="rId15"/>
      <w:footerReference w:type="default" r:id="rId16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43FD9" w14:textId="77777777" w:rsidR="00180E8B" w:rsidRDefault="00180E8B" w:rsidP="004215FE">
      <w:r>
        <w:separator/>
      </w:r>
    </w:p>
  </w:endnote>
  <w:endnote w:type="continuationSeparator" w:id="0">
    <w:p w14:paraId="55939379" w14:textId="77777777" w:rsidR="00180E8B" w:rsidRDefault="00180E8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Courier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616CD12E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AC454B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076AC" w14:textId="77777777" w:rsidR="00180E8B" w:rsidRDefault="00180E8B" w:rsidP="004215FE">
      <w:r>
        <w:separator/>
      </w:r>
    </w:p>
  </w:footnote>
  <w:footnote w:type="continuationSeparator" w:id="0">
    <w:p w14:paraId="1F27F949" w14:textId="77777777" w:rsidR="00180E8B" w:rsidRDefault="00180E8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0E8B"/>
    <w:rsid w:val="0019734A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A7FDE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46655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4617A"/>
    <w:rsid w:val="00A5368C"/>
    <w:rsid w:val="00A62B52"/>
    <w:rsid w:val="00A84B3E"/>
    <w:rsid w:val="00AB5612"/>
    <w:rsid w:val="00AB6C7F"/>
    <w:rsid w:val="00AC454B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118B9"/>
    <w:rsid w:val="00D44612"/>
    <w:rsid w:val="00D50299"/>
    <w:rsid w:val="00D74320"/>
    <w:rsid w:val="00D779BF"/>
    <w:rsid w:val="00D83D45"/>
    <w:rsid w:val="00D93937"/>
    <w:rsid w:val="00DB7CB4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71C6C7E-8CF1-4499-A88E-E98313D4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AC454B"/>
    <w:rPr>
      <w:rFonts w:ascii="Calibri" w:eastAsia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AC454B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yperlink" Target="https://doi.org/10.7302/ejhy-5h4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org/107302/ejhy-5h4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7B13C0-9DA0-4FD6-B72F-BE7E1DB5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Stacey, William</cp:lastModifiedBy>
  <cp:revision>30</cp:revision>
  <dcterms:created xsi:type="dcterms:W3CDTF">2017-06-13T14:43:00Z</dcterms:created>
  <dcterms:modified xsi:type="dcterms:W3CDTF">2020-02-06T21:35:00Z</dcterms:modified>
</cp:coreProperties>
</file>