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CDD3C58" w:rsidR="00B330BD" w:rsidRPr="00125190" w:rsidRDefault="00E638E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 xml:space="preserve">All confocal images and treatments replicates </w:t>
      </w:r>
      <w:r w:rsidR="00A67B1C">
        <w:rPr>
          <w:rFonts w:asciiTheme="minorHAnsi" w:hAnsiTheme="minorHAnsi"/>
          <w:sz w:val="22"/>
          <w:szCs w:val="22"/>
        </w:rPr>
        <w:t>were generated</w:t>
      </w:r>
      <w:r>
        <w:rPr>
          <w:rFonts w:asciiTheme="minorHAnsi" w:hAnsiTheme="minorHAnsi"/>
          <w:sz w:val="22"/>
          <w:szCs w:val="22"/>
        </w:rPr>
        <w:t xml:space="preserve"> from at least 3 independent experiments. This is described at the i</w:t>
      </w:r>
      <w:r w:rsidR="00A67B1C">
        <w:rPr>
          <w:rFonts w:asciiTheme="minorHAnsi" w:hAnsiTheme="minorHAnsi"/>
          <w:sz w:val="22"/>
          <w:szCs w:val="22"/>
        </w:rPr>
        <w:t>n the supplementary materia</w:t>
      </w:r>
      <w:r>
        <w:rPr>
          <w:rFonts w:asciiTheme="minorHAnsi" w:hAnsiTheme="minorHAnsi"/>
          <w:sz w:val="22"/>
          <w:szCs w:val="22"/>
        </w:rPr>
        <w:t>l</w:t>
      </w:r>
      <w:r w:rsidR="00A67B1C">
        <w:rPr>
          <w:rFonts w:asciiTheme="minorHAnsi" w:hAnsiTheme="minorHAnsi"/>
          <w:sz w:val="22"/>
          <w:szCs w:val="22"/>
        </w:rPr>
        <w:t>s file,</w:t>
      </w:r>
      <w:r>
        <w:rPr>
          <w:rFonts w:asciiTheme="minorHAnsi" w:hAnsiTheme="minorHAnsi"/>
          <w:sz w:val="22"/>
          <w:szCs w:val="22"/>
        </w:rPr>
        <w:t xml:space="preserve"> section: </w:t>
      </w:r>
      <w:r w:rsidRPr="00E638EA">
        <w:rPr>
          <w:rFonts w:asciiTheme="minorHAnsi" w:hAnsiTheme="minorHAnsi"/>
          <w:sz w:val="22"/>
          <w:szCs w:val="22"/>
        </w:rPr>
        <w:t>Quantification and statistical analysis</w:t>
      </w:r>
      <w:r>
        <w:rPr>
          <w:rFonts w:asciiTheme="minorHAnsi" w:hAnsiTheme="minorHAnsi"/>
          <w:sz w:val="22"/>
          <w:szCs w:val="22"/>
        </w:rPr>
        <w:t>. Figure legend</w:t>
      </w:r>
      <w:r w:rsidR="00A67B1C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also describes </w:t>
      </w:r>
      <w:r w:rsidR="00A67B1C">
        <w:rPr>
          <w:rFonts w:asciiTheme="minorHAnsi" w:hAnsiTheme="minorHAnsi"/>
          <w:sz w:val="22"/>
          <w:szCs w:val="22"/>
        </w:rPr>
        <w:t>number of individuals analyzed, and or p values accordingly.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  <w:bookmarkStart w:id="0" w:name="_GoBack"/>
      <w:bookmarkEnd w:id="0"/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98FF8C4" w:rsidR="0015519A" w:rsidRPr="00505C51" w:rsidRDefault="00E638E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analysis and quantifications methods are described in the supplementary materiel section: </w:t>
      </w:r>
      <w:r w:rsidRPr="00E638EA">
        <w:rPr>
          <w:rFonts w:asciiTheme="minorHAnsi" w:hAnsiTheme="minorHAnsi"/>
          <w:sz w:val="22"/>
          <w:szCs w:val="22"/>
        </w:rPr>
        <w:t>Quantification and statistical analysis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F91F02" w14:textId="77777777" w:rsidR="000F6633" w:rsidRDefault="000F6633" w:rsidP="004215FE">
      <w:r>
        <w:separator/>
      </w:r>
    </w:p>
  </w:endnote>
  <w:endnote w:type="continuationSeparator" w:id="0">
    <w:p w14:paraId="49E42785" w14:textId="77777777" w:rsidR="000F6633" w:rsidRDefault="000F663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A67B1C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660F03" w14:textId="77777777" w:rsidR="000F6633" w:rsidRDefault="000F6633" w:rsidP="004215FE">
      <w:r>
        <w:separator/>
      </w:r>
    </w:p>
  </w:footnote>
  <w:footnote w:type="continuationSeparator" w:id="0">
    <w:p w14:paraId="18490FC3" w14:textId="77777777" w:rsidR="000F6633" w:rsidRDefault="000F663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fr-FR" w:eastAsia="fr-FR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0F6633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67B1C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0C0C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638EA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66180712-5652-4842-97C8-B7C0F3177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89B91F-DD37-49EB-9033-E8C460C55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755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4899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Galvan-ampudia Carlos</cp:lastModifiedBy>
  <cp:revision>3</cp:revision>
  <dcterms:created xsi:type="dcterms:W3CDTF">2020-02-14T15:46:00Z</dcterms:created>
  <dcterms:modified xsi:type="dcterms:W3CDTF">2020-02-14T15:47:00Z</dcterms:modified>
</cp:coreProperties>
</file>