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A211662" w14:textId="26231DDE" w:rsidR="002F680E" w:rsidRDefault="002F680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statistical tests were used to determine sample size. The sample number was based on the robustness of the observed effects.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5767EFF" w:rsidR="00B330BD" w:rsidRPr="00125190" w:rsidRDefault="002F680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We</w:t>
      </w:r>
      <w:r w:rsidR="00C8405A">
        <w:rPr>
          <w:rFonts w:asciiTheme="minorHAnsi" w:hAnsiTheme="minorHAnsi"/>
        </w:rPr>
        <w:t xml:space="preserve"> performed measurements on 7 different </w:t>
      </w:r>
      <w:r>
        <w:rPr>
          <w:rFonts w:asciiTheme="minorHAnsi" w:hAnsiTheme="minorHAnsi"/>
        </w:rPr>
        <w:t>human atrial myocytes coming from the same cell line (Results, self-restoration of excitation rhythm in human atrial myocytes; Legend of Figure 5)</w:t>
      </w:r>
      <w:r w:rsidR="00C8405A">
        <w:rPr>
          <w:rFonts w:asciiTheme="minorHAnsi" w:hAnsiTheme="minorHAnsi"/>
        </w:rPr>
        <w:t>, running a fixed pr</w:t>
      </w:r>
      <w:r>
        <w:rPr>
          <w:rFonts w:asciiTheme="minorHAnsi" w:hAnsiTheme="minorHAnsi"/>
        </w:rPr>
        <w:t>otocol (Methods and Materials, dynamic clamp protocol) at various cycle lengths.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F5CE159" w:rsidR="0015519A" w:rsidRPr="00505C51" w:rsidRDefault="002F680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did not calculate p-values and did not perform statistical tests. The sample size is available in the Results section and in figure legend 5.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864FE23" w:rsidR="00BC3CCE" w:rsidRPr="00505C51" w:rsidRDefault="00123306" w:rsidP="0012330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36E010E" w:rsidR="00BC3CCE" w:rsidRPr="00505C51" w:rsidRDefault="00C840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5C (and hence also 5F), 5D and 5G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3306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680E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405A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F4E0D4"/>
  <w15:docId w15:val="{D60ACB1C-003E-4050-B1C4-09A59D4F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B418D0-FE56-4328-83BD-0F035DB0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28482DA2</Template>
  <TotalTime>0</TotalTime>
  <Pages>2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De Coster, T.J.C. (HARTZ)</cp:lastModifiedBy>
  <cp:revision>2</cp:revision>
  <dcterms:created xsi:type="dcterms:W3CDTF">2020-02-28T13:21:00Z</dcterms:created>
  <dcterms:modified xsi:type="dcterms:W3CDTF">2020-02-28T13:21:00Z</dcterms:modified>
</cp:coreProperties>
</file>