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464FCA">
        <w:fldChar w:fldCharType="begin"/>
      </w:r>
      <w:r w:rsidR="00464FCA">
        <w:instrText xml:space="preserve"> HYPERLINK "https://biosharing.org/" \t "_blank" </w:instrText>
      </w:r>
      <w:r w:rsidR="00464FCA">
        <w:fldChar w:fldCharType="separate"/>
      </w:r>
      <w:r w:rsidR="007B7AF0" w:rsidRPr="00505C51">
        <w:rPr>
          <w:rStyle w:val="af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af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464FCA">
        <w:rPr>
          <w:rStyle w:val="af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af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567E37B3" w:rsidR="00877644" w:rsidRPr="00CA2705" w:rsidRDefault="00497340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eastAsia="ja-JP"/>
        </w:rPr>
      </w:pPr>
      <w:r>
        <w:rPr>
          <w:rFonts w:asciiTheme="minorHAnsi" w:hAnsiTheme="minorHAnsi" w:hint="eastAsia"/>
          <w:sz w:val="22"/>
          <w:szCs w:val="22"/>
          <w:lang w:eastAsia="ja-JP"/>
        </w:rPr>
        <w:t>T</w:t>
      </w:r>
      <w:r>
        <w:rPr>
          <w:rFonts w:asciiTheme="minorHAnsi" w:hAnsiTheme="minorHAnsi"/>
          <w:sz w:val="22"/>
          <w:szCs w:val="22"/>
          <w:lang w:eastAsia="ja-JP"/>
        </w:rPr>
        <w:t xml:space="preserve">he number of reads used in sequencing for Fig.2B-E are described in Supplementary Fig.3. For each sequenced round, </w:t>
      </w:r>
      <w:r w:rsidR="00642510">
        <w:rPr>
          <w:rFonts w:asciiTheme="minorHAnsi" w:hAnsiTheme="minorHAnsi"/>
          <w:sz w:val="22"/>
          <w:szCs w:val="22"/>
          <w:lang w:eastAsia="ja-JP"/>
        </w:rPr>
        <w:t>we</w:t>
      </w:r>
      <w:r>
        <w:rPr>
          <w:rFonts w:asciiTheme="minorHAnsi" w:hAnsiTheme="minorHAnsi"/>
          <w:sz w:val="22"/>
          <w:szCs w:val="22"/>
          <w:lang w:eastAsia="ja-JP"/>
        </w:rPr>
        <w:t xml:space="preserve"> used </w:t>
      </w:r>
      <w:r w:rsidR="00642510">
        <w:rPr>
          <w:rFonts w:asciiTheme="minorHAnsi" w:hAnsiTheme="minorHAnsi"/>
          <w:sz w:val="22"/>
          <w:szCs w:val="22"/>
          <w:lang w:eastAsia="ja-JP"/>
        </w:rPr>
        <w:t xml:space="preserve">randomly chosen </w:t>
      </w:r>
      <w:r>
        <w:rPr>
          <w:rFonts w:asciiTheme="minorHAnsi" w:hAnsiTheme="minorHAnsi"/>
          <w:sz w:val="22"/>
          <w:szCs w:val="22"/>
          <w:lang w:eastAsia="ja-JP"/>
        </w:rPr>
        <w:t>5000 reads</w:t>
      </w:r>
      <w:r w:rsidR="00642510">
        <w:rPr>
          <w:rFonts w:asciiTheme="minorHAnsi" w:hAnsiTheme="minorHAnsi"/>
          <w:sz w:val="22"/>
          <w:szCs w:val="22"/>
          <w:lang w:eastAsia="ja-JP"/>
        </w:rPr>
        <w:t xml:space="preserve"> if the available reads are more than 5000 reads, otherwise we used all the available reads.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263F5909" w:rsidR="00B330BD" w:rsidRPr="00CA2705" w:rsidRDefault="00ED4FF7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eastAsia="ja-JP"/>
        </w:rPr>
      </w:pPr>
      <w:r w:rsidRPr="00CA2705">
        <w:rPr>
          <w:rFonts w:asciiTheme="minorHAnsi" w:hAnsiTheme="minorHAnsi"/>
          <w:sz w:val="22"/>
          <w:szCs w:val="22"/>
          <w:lang w:eastAsia="ja-JP"/>
        </w:rPr>
        <w:t xml:space="preserve">In Fig.2A, </w:t>
      </w:r>
      <w:r w:rsidRPr="00CA2705">
        <w:rPr>
          <w:rFonts w:asciiTheme="minorHAnsi" w:hAnsiTheme="minorHAnsi" w:hint="eastAsia"/>
          <w:sz w:val="22"/>
          <w:szCs w:val="22"/>
          <w:lang w:eastAsia="ja-JP"/>
        </w:rPr>
        <w:t>R</w:t>
      </w:r>
      <w:r w:rsidRPr="00CA2705">
        <w:rPr>
          <w:rFonts w:asciiTheme="minorHAnsi" w:hAnsiTheme="minorHAnsi"/>
          <w:sz w:val="22"/>
          <w:szCs w:val="22"/>
          <w:lang w:eastAsia="ja-JP"/>
        </w:rPr>
        <w:t xml:space="preserve">T-qPCR and gel </w:t>
      </w:r>
      <w:r w:rsidR="007915F0" w:rsidRPr="00CA2705">
        <w:rPr>
          <w:rFonts w:asciiTheme="minorHAnsi" w:hAnsiTheme="minorHAnsi"/>
          <w:sz w:val="22"/>
          <w:szCs w:val="22"/>
          <w:lang w:eastAsia="ja-JP"/>
        </w:rPr>
        <w:t>electrophoresis</w:t>
      </w:r>
      <w:r w:rsidRPr="00CA2705">
        <w:rPr>
          <w:rFonts w:asciiTheme="minorHAnsi" w:hAnsiTheme="minorHAnsi"/>
          <w:sz w:val="22"/>
          <w:szCs w:val="22"/>
          <w:lang w:eastAsia="ja-JP"/>
        </w:rPr>
        <w:t xml:space="preserve"> for the estimation</w:t>
      </w:r>
      <w:r w:rsidR="007915F0" w:rsidRPr="00CA2705">
        <w:rPr>
          <w:rFonts w:asciiTheme="minorHAnsi" w:hAnsiTheme="minorHAnsi"/>
          <w:sz w:val="22"/>
          <w:szCs w:val="22"/>
          <w:lang w:eastAsia="ja-JP"/>
        </w:rPr>
        <w:t xml:space="preserve"> of the concentrations of the host RNA and the parasitic RNA were performed once for each point. In Fig.3A, competitive replication assays were performed three times (described in the legend).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3323F0EE" w:rsidR="0015519A" w:rsidRPr="00505C51" w:rsidRDefault="008A46B5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eastAsia="ja-JP"/>
        </w:rPr>
      </w:pPr>
      <w:r>
        <w:rPr>
          <w:rFonts w:asciiTheme="minorHAnsi" w:hAnsiTheme="minorHAnsi" w:hint="eastAsia"/>
          <w:sz w:val="22"/>
          <w:szCs w:val="22"/>
          <w:lang w:eastAsia="ja-JP"/>
        </w:rPr>
        <w:t>S</w:t>
      </w:r>
      <w:r>
        <w:rPr>
          <w:rFonts w:asciiTheme="minorHAnsi" w:hAnsiTheme="minorHAnsi"/>
          <w:sz w:val="22"/>
          <w:szCs w:val="22"/>
          <w:lang w:eastAsia="ja-JP"/>
        </w:rPr>
        <w:t xml:space="preserve">tatistical analysis used to generate Fig2.C-E was described in </w:t>
      </w:r>
      <w:r w:rsidRPr="008A46B5">
        <w:rPr>
          <w:rFonts w:asciiTheme="minorHAnsi" w:hAnsiTheme="minorHAnsi"/>
          <w:sz w:val="22"/>
          <w:szCs w:val="22"/>
          <w:lang w:eastAsia="ja-JP"/>
        </w:rPr>
        <w:t>Materials and Methods</w:t>
      </w:r>
      <w:r>
        <w:rPr>
          <w:rFonts w:asciiTheme="minorHAnsi" w:hAnsiTheme="minorHAnsi"/>
          <w:sz w:val="22"/>
          <w:szCs w:val="22"/>
          <w:lang w:eastAsia="ja-JP"/>
        </w:rPr>
        <w:t xml:space="preserve"> section (</w:t>
      </w:r>
      <w:r w:rsidRPr="008A46B5">
        <w:rPr>
          <w:rFonts w:asciiTheme="minorHAnsi" w:hAnsiTheme="minorHAnsi"/>
          <w:sz w:val="22"/>
          <w:szCs w:val="22"/>
          <w:lang w:eastAsia="ja-JP"/>
        </w:rPr>
        <w:t>Mapping dominant genotypes on a two-dimensional space</w:t>
      </w:r>
      <w:r>
        <w:rPr>
          <w:rFonts w:asciiTheme="minorHAnsi" w:hAnsiTheme="minorHAnsi"/>
          <w:sz w:val="22"/>
          <w:szCs w:val="22"/>
          <w:lang w:eastAsia="ja-JP"/>
        </w:rPr>
        <w:t>)</w:t>
      </w:r>
      <w:r w:rsidRPr="008A46B5">
        <w:rPr>
          <w:rFonts w:asciiTheme="minorHAnsi" w:hAnsiTheme="minorHAnsi"/>
          <w:sz w:val="22"/>
          <w:szCs w:val="22"/>
          <w:lang w:eastAsia="ja-JP"/>
        </w:rPr>
        <w:t>.</w:t>
      </w:r>
      <w:r>
        <w:rPr>
          <w:rFonts w:asciiTheme="minorHAnsi" w:hAnsiTheme="minorHAnsi"/>
          <w:sz w:val="22"/>
          <w:szCs w:val="22"/>
          <w:lang w:eastAsia="ja-JP"/>
        </w:rPr>
        <w:t xml:space="preserve"> The number of independent </w:t>
      </w:r>
      <w:r w:rsidR="00ED4FF7">
        <w:rPr>
          <w:rFonts w:asciiTheme="minorHAnsi" w:hAnsiTheme="minorHAnsi"/>
          <w:sz w:val="22"/>
          <w:szCs w:val="22"/>
          <w:lang w:eastAsia="ja-JP"/>
        </w:rPr>
        <w:t>experiment</w:t>
      </w:r>
      <w:r>
        <w:rPr>
          <w:rFonts w:asciiTheme="minorHAnsi" w:hAnsiTheme="minorHAnsi"/>
          <w:sz w:val="22"/>
          <w:szCs w:val="22"/>
          <w:lang w:eastAsia="ja-JP"/>
        </w:rPr>
        <w:t>s and error bar representation in Fig.3A are described in the legend of Fig.3A.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af1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013FA845" w:rsidR="00BC3CCE" w:rsidRPr="00505C51" w:rsidRDefault="00A9084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A90847">
        <w:rPr>
          <w:rFonts w:asciiTheme="minorHAnsi" w:hAnsiTheme="minorHAnsi"/>
          <w:sz w:val="22"/>
          <w:szCs w:val="22"/>
        </w:rPr>
        <w:t xml:space="preserve">There </w:t>
      </w:r>
      <w:r>
        <w:rPr>
          <w:rFonts w:asciiTheme="minorHAnsi" w:hAnsiTheme="minorHAnsi" w:hint="eastAsia"/>
          <w:sz w:val="22"/>
          <w:szCs w:val="22"/>
          <w:lang w:eastAsia="ja-JP"/>
        </w:rPr>
        <w:t>i</w:t>
      </w:r>
      <w:r w:rsidRPr="00A90847">
        <w:rPr>
          <w:rFonts w:asciiTheme="minorHAnsi" w:hAnsiTheme="minorHAnsi"/>
          <w:sz w:val="22"/>
          <w:szCs w:val="22"/>
        </w:rPr>
        <w:t>s no allocation of groups in this study.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af1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94119CB" w:rsidR="00BC3CCE" w:rsidRPr="00505C51" w:rsidRDefault="00E65C3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eastAsia="ja-JP"/>
        </w:rPr>
      </w:pPr>
      <w:r>
        <w:rPr>
          <w:rFonts w:asciiTheme="minorHAnsi" w:hAnsiTheme="minorHAnsi"/>
          <w:sz w:val="22"/>
          <w:szCs w:val="22"/>
          <w:lang w:eastAsia="ja-JP"/>
        </w:rPr>
        <w:t xml:space="preserve">The genotype data for Fig.2C-E and the sequences of clones in Fig.3 are provided in </w:t>
      </w:r>
      <w:r w:rsidRPr="00E65C3D">
        <w:rPr>
          <w:rFonts w:asciiTheme="minorHAnsi" w:hAnsiTheme="minorHAnsi"/>
          <w:sz w:val="22"/>
          <w:szCs w:val="22"/>
          <w:lang w:eastAsia="ja-JP"/>
        </w:rPr>
        <w:t>Supplementary Data.xlsx</w:t>
      </w:r>
      <w:r>
        <w:rPr>
          <w:rFonts w:asciiTheme="minorHAnsi" w:hAnsiTheme="minorHAnsi"/>
          <w:sz w:val="22"/>
          <w:szCs w:val="22"/>
          <w:lang w:eastAsia="ja-JP"/>
        </w:rPr>
        <w:t>.</w:t>
      </w:r>
      <w:r w:rsidR="004D7B57">
        <w:rPr>
          <w:rFonts w:asciiTheme="minorHAnsi" w:hAnsiTheme="minorHAnsi"/>
          <w:sz w:val="22"/>
          <w:szCs w:val="22"/>
          <w:lang w:eastAsia="ja-JP"/>
        </w:rPr>
        <w:t xml:space="preserve"> We also uploaded the raw sequence data used to generate the genotypes in Fig.2C-E with </w:t>
      </w:r>
      <w:r w:rsidR="002E17E0">
        <w:rPr>
          <w:rFonts w:asciiTheme="minorHAnsi" w:hAnsiTheme="minorHAnsi"/>
          <w:sz w:val="22"/>
          <w:szCs w:val="22"/>
          <w:lang w:eastAsia="ja-JP"/>
        </w:rPr>
        <w:t>as a supplemental data</w:t>
      </w:r>
      <w:r w:rsidR="004D7B57">
        <w:rPr>
          <w:rFonts w:asciiTheme="minorHAnsi" w:hAnsiTheme="minorHAnsi"/>
          <w:sz w:val="22"/>
          <w:szCs w:val="22"/>
          <w:lang w:eastAsia="ja-JP"/>
        </w:rPr>
        <w:t>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931566" w14:textId="77777777" w:rsidR="00464FCA" w:rsidRDefault="00464FCA" w:rsidP="004215FE">
      <w:r>
        <w:separator/>
      </w:r>
    </w:p>
  </w:endnote>
  <w:endnote w:type="continuationSeparator" w:id="0">
    <w:p w14:paraId="1A3F9E98" w14:textId="77777777" w:rsidR="00464FCA" w:rsidRDefault="00464FCA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4EEFD2C" w14:textId="77777777" w:rsidR="00BC3CCE" w:rsidRDefault="00BC3CCE" w:rsidP="0009520A">
    <w:pPr>
      <w:pStyle w:val="a7"/>
      <w:framePr w:wrap="around" w:vAnchor="text" w:hAnchor="margin" w:xAlign="center" w:y="1"/>
      <w:ind w:right="360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F7354AE" w14:textId="77777777" w:rsidR="00BC3CCE" w:rsidRDefault="00BC3CC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a7"/>
      <w:framePr w:wrap="around" w:vAnchor="text" w:hAnchor="page" w:x="9943" w:y="195"/>
      <w:rPr>
        <w:rStyle w:val="a9"/>
      </w:rPr>
    </w:pPr>
    <w:r w:rsidRPr="0009520A">
      <w:rPr>
        <w:rStyle w:val="a9"/>
        <w:rFonts w:asciiTheme="minorHAnsi" w:hAnsiTheme="minorHAnsi"/>
        <w:sz w:val="20"/>
        <w:szCs w:val="20"/>
      </w:rPr>
      <w:fldChar w:fldCharType="begin"/>
    </w:r>
    <w:r w:rsidRPr="0009520A">
      <w:rPr>
        <w:rStyle w:val="a9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a9"/>
        <w:rFonts w:asciiTheme="minorHAnsi" w:hAnsiTheme="minorHAnsi"/>
        <w:sz w:val="20"/>
        <w:szCs w:val="20"/>
      </w:rPr>
      <w:fldChar w:fldCharType="separate"/>
    </w:r>
    <w:r w:rsidR="00634AC7">
      <w:rPr>
        <w:rStyle w:val="a9"/>
        <w:rFonts w:asciiTheme="minorHAnsi" w:hAnsiTheme="minorHAnsi"/>
        <w:noProof/>
        <w:sz w:val="20"/>
        <w:szCs w:val="20"/>
      </w:rPr>
      <w:t>2</w:t>
    </w:r>
    <w:r w:rsidRPr="0009520A">
      <w:rPr>
        <w:rStyle w:val="a9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a7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DAE485" w14:textId="77777777" w:rsidR="00464FCA" w:rsidRDefault="00464FCA" w:rsidP="004215FE">
      <w:r>
        <w:separator/>
      </w:r>
    </w:p>
  </w:footnote>
  <w:footnote w:type="continuationSeparator" w:id="0">
    <w:p w14:paraId="72CE485B" w14:textId="77777777" w:rsidR="00464FCA" w:rsidRDefault="00464FCA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a5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730A9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9414B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2E17E0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64FCA"/>
    <w:rsid w:val="00471732"/>
    <w:rsid w:val="00497340"/>
    <w:rsid w:val="004A5C32"/>
    <w:rsid w:val="004B41D4"/>
    <w:rsid w:val="004D5E59"/>
    <w:rsid w:val="004D602A"/>
    <w:rsid w:val="004D73CF"/>
    <w:rsid w:val="004D7B57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42510"/>
    <w:rsid w:val="0065164B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15F0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A46B5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90847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A2705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65C3D"/>
    <w:rsid w:val="00E70517"/>
    <w:rsid w:val="00E870D1"/>
    <w:rsid w:val="00ED346E"/>
    <w:rsid w:val="00ED4FF7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F4E0D4"/>
  <w15:docId w15:val="{1D39E334-0C65-4D74-B341-662276BE1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5">
    <w:name w:val="header"/>
    <w:basedOn w:val="a"/>
    <w:link w:val="a6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6">
    <w:name w:val="ヘッダー (文字)"/>
    <w:basedOn w:val="a0"/>
    <w:link w:val="a5"/>
    <w:uiPriority w:val="99"/>
    <w:locked/>
    <w:rsid w:val="004215FE"/>
    <w:rPr>
      <w:rFonts w:cs="Times New Roman"/>
    </w:rPr>
  </w:style>
  <w:style w:type="paragraph" w:styleId="a7">
    <w:name w:val="footer"/>
    <w:basedOn w:val="a"/>
    <w:link w:val="a8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8">
    <w:name w:val="フッター (文字)"/>
    <w:basedOn w:val="a0"/>
    <w:link w:val="a7"/>
    <w:uiPriority w:val="99"/>
    <w:locked/>
    <w:rsid w:val="004215FE"/>
    <w:rPr>
      <w:rFonts w:cs="Times New Roman"/>
    </w:rPr>
  </w:style>
  <w:style w:type="character" w:styleId="a9">
    <w:name w:val="page number"/>
    <w:basedOn w:val="a0"/>
    <w:uiPriority w:val="99"/>
    <w:semiHidden/>
    <w:unhideWhenUsed/>
    <w:rsid w:val="0009520A"/>
  </w:style>
  <w:style w:type="character" w:styleId="aa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E362B"/>
  </w:style>
  <w:style w:type="character" w:customStyle="1" w:styleId="ac">
    <w:name w:val="コメント文字列 (文字)"/>
    <w:basedOn w:val="a0"/>
    <w:link w:val="ab"/>
    <w:uiPriority w:val="99"/>
    <w:semiHidden/>
    <w:rsid w:val="00FE362B"/>
    <w:rPr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ae">
    <w:name w:val="コメント内容 (文字)"/>
    <w:basedOn w:val="ac"/>
    <w:link w:val="ad"/>
    <w:uiPriority w:val="99"/>
    <w:semiHidden/>
    <w:rsid w:val="00FE362B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f1">
    <w:name w:val="List Paragraph"/>
    <w:basedOn w:val="a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7E56927-9133-47F1-95C3-933080542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819</Words>
  <Characters>4671</Characters>
  <Application>Microsoft Office Word</Application>
  <DocSecurity>0</DocSecurity>
  <Lines>38</Lines>
  <Paragraphs>10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5480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市橋 伯一</cp:lastModifiedBy>
  <cp:revision>37</cp:revision>
  <dcterms:created xsi:type="dcterms:W3CDTF">2017-06-13T14:43:00Z</dcterms:created>
  <dcterms:modified xsi:type="dcterms:W3CDTF">2020-02-25T06:49:00Z</dcterms:modified>
</cp:coreProperties>
</file>