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81C25">
        <w:fldChar w:fldCharType="begin"/>
      </w:r>
      <w:r w:rsidR="00B81C25">
        <w:instrText xml:space="preserve"> HYPERLINK "https://biosharing.org/" \t "_blank" </w:instrText>
      </w:r>
      <w:r w:rsidR="00B81C2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81C2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16E87C" w:rsidR="00877644" w:rsidRPr="00125190" w:rsidRDefault="0028344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Based on our </w:t>
      </w:r>
      <w:r w:rsidR="008342B6">
        <w:rPr>
          <w:rFonts w:asciiTheme="minorHAnsi" w:hAnsiTheme="minorHAnsi"/>
        </w:rPr>
        <w:t xml:space="preserve">electrophysiology </w:t>
      </w:r>
      <w:r>
        <w:rPr>
          <w:rFonts w:asciiTheme="minorHAnsi" w:hAnsiTheme="minorHAnsi"/>
        </w:rPr>
        <w:t xml:space="preserve">experience, a minimum of 5 cells is </w:t>
      </w:r>
      <w:r w:rsidR="008342B6">
        <w:rPr>
          <w:rFonts w:asciiTheme="minorHAnsi" w:hAnsiTheme="minorHAnsi"/>
        </w:rPr>
        <w:t xml:space="preserve">required to detect significant differences. For behavioral assays, we used a similar number of mice as was used in Yadav et al., 2012 </w:t>
      </w:r>
      <w:proofErr w:type="spellStart"/>
      <w:r w:rsidR="008342B6">
        <w:rPr>
          <w:rFonts w:asciiTheme="minorHAnsi" w:hAnsiTheme="minorHAnsi"/>
        </w:rPr>
        <w:t>Plos</w:t>
      </w:r>
      <w:proofErr w:type="spellEnd"/>
      <w:r w:rsidR="008342B6">
        <w:rPr>
          <w:rFonts w:asciiTheme="minorHAnsi" w:hAnsiTheme="minorHAnsi"/>
        </w:rPr>
        <w:t xml:space="preserve"> One, to detect behavioral changes in global GluD1 KO mice.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39C93C" w:rsidR="00B330BD" w:rsidRPr="00125190" w:rsidRDefault="0028344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found in the figure legends and materials and methods section. There is no high-throughput sequence data in this manuscript.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B63CD6B" w:rsidR="0015519A" w:rsidRPr="00505C51" w:rsidRDefault="00E2039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found in the figure legends and section on data analysis in Materials and Methods.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293362F" w:rsidR="00BC3CCE" w:rsidRPr="00505C51" w:rsidRDefault="00E203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Recordings in each experiment were from age- and sex-matched mice. Mice receiving viral injections were age- and sex-matched and then randomly assigned as control or GRID1.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C126EB" w:rsidR="00BC3CCE" w:rsidRPr="00505C51" w:rsidRDefault="00791B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have been provided for all graphs in each figure.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0631C" w14:textId="77777777" w:rsidR="00B81C25" w:rsidRDefault="00B81C25" w:rsidP="004215FE">
      <w:r>
        <w:separator/>
      </w:r>
    </w:p>
  </w:endnote>
  <w:endnote w:type="continuationSeparator" w:id="0">
    <w:p w14:paraId="224D21C5" w14:textId="77777777" w:rsidR="00B81C25" w:rsidRDefault="00B81C2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FBF70" w14:textId="77777777" w:rsidR="00B81C25" w:rsidRDefault="00B81C25" w:rsidP="004215FE">
      <w:r>
        <w:separator/>
      </w:r>
    </w:p>
  </w:footnote>
  <w:footnote w:type="continuationSeparator" w:id="0">
    <w:p w14:paraId="18604AC9" w14:textId="77777777" w:rsidR="00B81C25" w:rsidRDefault="00B81C2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74FC"/>
    <w:rsid w:val="001E1D59"/>
    <w:rsid w:val="00212F30"/>
    <w:rsid w:val="00217B9E"/>
    <w:rsid w:val="002336C6"/>
    <w:rsid w:val="00241081"/>
    <w:rsid w:val="00266462"/>
    <w:rsid w:val="0028344E"/>
    <w:rsid w:val="002A068D"/>
    <w:rsid w:val="002A0ED1"/>
    <w:rsid w:val="002A7487"/>
    <w:rsid w:val="00300E5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1B80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42B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1C2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398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A5554B0-E11C-8D41-BA09-FD99E299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8F53F0-623D-5148-AD59-5F145325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stephanie gantz</cp:lastModifiedBy>
  <cp:revision>2</cp:revision>
  <dcterms:created xsi:type="dcterms:W3CDTF">2020-03-30T18:28:00Z</dcterms:created>
  <dcterms:modified xsi:type="dcterms:W3CDTF">2020-03-30T18:28:00Z</dcterms:modified>
</cp:coreProperties>
</file>