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90349" w14:textId="77777777" w:rsidR="000B27ED" w:rsidRPr="00365F3B" w:rsidRDefault="000B27ED" w:rsidP="000B27ED">
      <w:pPr>
        <w:pStyle w:val="SMcaption"/>
        <w:rPr>
          <w:rFonts w:asciiTheme="minorHAnsi" w:hAnsiTheme="minorHAnsi" w:cstheme="minorHAnsi"/>
          <w:szCs w:val="24"/>
        </w:rPr>
      </w:pPr>
    </w:p>
    <w:p w14:paraId="5DD002A0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8EA00" wp14:editId="0D15BBB3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991149" cy="441960"/>
                <wp:effectExtent l="0" t="0" r="0" b="0"/>
                <wp:wrapNone/>
                <wp:docPr id="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49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3A99F5" w14:textId="77777777" w:rsidR="000B27ED" w:rsidRPr="00FF5874" w:rsidRDefault="000B27ED" w:rsidP="000B27E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Figure 4–Source Data 1</w:t>
                            </w:r>
                            <w:r w:rsidRPr="00FF587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 Absolute volume of brain structures in TcMAC21 and Eu were analyzed by MRI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8EA00" id="Rectangle 4" o:spid="_x0000_s1026" style="position:absolute;margin-left:420.55pt;margin-top:6.35pt;width:471.75pt;height:34.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" filled="f" stroked="f">
                <v:textbox style="mso-fit-shape-to-text:t">
                  <w:txbxContent>
                    <w:p w14:paraId="373A99F5" w14:textId="77777777" w:rsidR="000B27ED" w:rsidRPr="00FF5874" w:rsidRDefault="000B27ED" w:rsidP="000B27ED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Figure 4–Source Data 1</w:t>
                      </w:r>
                      <w:r w:rsidRPr="00FF587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. Absolute volume of brain structures in TcMAC21 and Eu were analyzed by MRI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019EC0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2933F16F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48C20651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15CE7043" wp14:editId="2BB57097">
            <wp:extent cx="5562215" cy="193226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28" cy="1976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7926D8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D17CF" wp14:editId="0D7760EE">
                <wp:simplePos x="0" y="0"/>
                <wp:positionH relativeFrom="margin">
                  <wp:posOffset>-81951</wp:posOffset>
                </wp:positionH>
                <wp:positionV relativeFrom="paragraph">
                  <wp:posOffset>80837</wp:posOffset>
                </wp:positionV>
                <wp:extent cx="5648229" cy="441960"/>
                <wp:effectExtent l="0" t="0" r="0" b="0"/>
                <wp:wrapNone/>
                <wp:docPr id="1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229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EC349" w14:textId="77777777" w:rsidR="000B27ED" w:rsidRPr="009C300E" w:rsidRDefault="000B27ED" w:rsidP="000B27ED">
                            <w:p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9C30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* Segmentation of brain, hippocampus, cerebellum and lateral ventricle were manually verified, and data were analyzed by two-way ANOVA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. Except the lateral ventricle using </w:t>
                            </w:r>
                            <w:r w:rsidRPr="009C300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  <w:t>in vivo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MRI data only, data of all other brain structures came from both </w:t>
                            </w:r>
                            <w:r w:rsidRPr="009C300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  <w:t>in vivo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and </w:t>
                            </w:r>
                            <w:r w:rsidRPr="009C300E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  <w:t>ex vivo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MRI. Therefore, even though we found that the genetic effect was only minimally affected by MRI methods, it was still more appropriate to use two-way ANOVA than one-way ANOVO or t-tests as we needed to consider both genetic factor </w:t>
                            </w:r>
                            <w:r w:rsidRPr="009C30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(Eu and TcMAC21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) and method f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actor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(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  <w:t>in vivo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and 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  <w:t>ex vivo</w:t>
                            </w:r>
                            <w:r w:rsidRPr="009B6AA5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MRI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>)</w:t>
                            </w:r>
                            <w:r w:rsidRPr="009C300E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AD17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margin-left:-6.45pt;margin-top:6.35pt;width:444.75pt;height:34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" filled="f" stroked="f">
                <v:textbox style="mso-fit-shape-to-text:t">
                  <w:txbxContent>
                    <w:p w14:paraId="1B8EC349" w14:textId="77777777" w:rsidR="000B27ED" w:rsidRPr="009C300E" w:rsidRDefault="000B27ED" w:rsidP="000B27ED">
                      <w:p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9C30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* Segmentation of brain, hippocampus, cerebellum and lateral ventricle were manually verified, and data were analyzed by two-way ANOVA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. Except the lateral ventricle using </w:t>
                      </w:r>
                      <w:r w:rsidRPr="009C300E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  <w:t>in vivo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MRI data only, data of all other brain structures came from both </w:t>
                      </w:r>
                      <w:r w:rsidRPr="009C300E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  <w:t>in vivo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and </w:t>
                      </w:r>
                      <w:r w:rsidRPr="009C300E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  <w:t>ex vivo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MRI. Therefore, even though we found that the genetic effect was only minimally affected by MRI methods, it was still more appropriate to use two-way ANOVA than one-way ANOVO or t-tests as we needed to consider both genetic factor </w:t>
                      </w:r>
                      <w:r w:rsidRPr="009C30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(Eu and TcMAC21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) and method f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actor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(</w:t>
                      </w:r>
                      <w:r w:rsidRPr="009B6AA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  <w:t>in vivo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and </w:t>
                      </w:r>
                      <w:r w:rsidRPr="009B6AA5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  <w:t>ex vivo</w:t>
                      </w:r>
                      <w:r w:rsidRPr="009B6AA5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 MRI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>)</w:t>
                      </w:r>
                      <w:r w:rsidRPr="009C300E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40902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616A51B7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46CDB7F7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5D1765E8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65AD53B0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4570820B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0839CA8C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2C1C1B93" w14:textId="77777777" w:rsidR="000B27ED" w:rsidRPr="00365F3B" w:rsidRDefault="000B27ED" w:rsidP="000B27ED">
      <w:pPr>
        <w:rPr>
          <w:rFonts w:asciiTheme="minorHAnsi" w:hAnsiTheme="minorHAnsi" w:cstheme="minorHAnsi"/>
          <w:szCs w:val="24"/>
        </w:rPr>
      </w:pPr>
    </w:p>
    <w:p w14:paraId="66A87750" w14:textId="3CCDC708" w:rsidR="00BA1668" w:rsidRPr="000B27ED" w:rsidRDefault="000B27ED" w:rsidP="000B27ED">
      <w:pPr>
        <w:spacing w:after="160" w:line="259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BA1668" w:rsidRPr="000B2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ED"/>
    <w:rsid w:val="000B27ED"/>
    <w:rsid w:val="0028337B"/>
    <w:rsid w:val="00557ADF"/>
    <w:rsid w:val="0067165D"/>
    <w:rsid w:val="00865222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469A"/>
  <w15:chartTrackingRefBased/>
  <w15:docId w15:val="{985E5D55-E68D-4BA6-AD61-9DE01704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0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Gao</dc:creator>
  <cp:keywords/>
  <dc:description/>
  <cp:lastModifiedBy>Feng Gao</cp:lastModifiedBy>
  <cp:revision>1</cp:revision>
  <dcterms:created xsi:type="dcterms:W3CDTF">2020-03-13T17:41:00Z</dcterms:created>
  <dcterms:modified xsi:type="dcterms:W3CDTF">2020-03-13T17:42:00Z</dcterms:modified>
</cp:coreProperties>
</file>