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r w:rsidR="003100AA">
        <w:fldChar w:fldCharType="begin"/>
      </w:r>
      <w:r w:rsidR="003100AA">
        <w:instrText xml:space="preserve"> HYPERLINK "http://www.equator-network.org/%20" \t "_blank" </w:instrText>
      </w:r>
      <w:r w:rsidR="003100AA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EQUATOR Network</w:t>
      </w:r>
      <w:r w:rsidR="003100AA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r w:rsidR="003100AA">
        <w:fldChar w:fldCharType="begin"/>
      </w:r>
      <w:r w:rsidR="003100AA">
        <w:instrText xml:space="preserve"> HYPERLINK "https://biosharing.org/" \t "_blank" </w:instrText>
      </w:r>
      <w:r w:rsidR="003100AA">
        <w:fldChar w:fldCharType="separate"/>
      </w:r>
      <w:proofErr w:type="spellStart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3100AA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r w:rsidR="003100AA">
        <w:fldChar w:fldCharType="begin"/>
      </w:r>
      <w:r w:rsidR="003100AA">
        <w:instrText xml:space="preserve"> HYPERLINK "http://www.plosbiology.org/article/info:doi/10.1371/journal.pbio.1000412" \t "_blank" </w:instrText>
      </w:r>
      <w:r w:rsidR="003100AA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ARRIVE guidelines</w:t>
      </w:r>
      <w:r w:rsidR="003100AA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9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2AB4B15" w:rsidR="00877644" w:rsidRPr="00125190" w:rsidRDefault="00227D4D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Sample sizes are not relevant for this study.  Power analysis was not performed. 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23ED5D6C" w:rsidR="00B330BD" w:rsidRPr="00125190" w:rsidRDefault="0048301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Experiments were carried out in duplicate or more as stated in the figure legends.  </w:t>
      </w:r>
      <w:r w:rsidR="003C25C0">
        <w:rPr>
          <w:rFonts w:asciiTheme="minorHAnsi" w:hAnsiTheme="minorHAnsi"/>
        </w:rPr>
        <w:t xml:space="preserve">Experiments were performed using protein samples obtained from multiple independent purifications.  Kinetic assays were carried out in the presence of different substrate concentrations, thereby providing statistical reliability.  </w:t>
      </w:r>
      <w:r>
        <w:rPr>
          <w:rFonts w:asciiTheme="minorHAnsi" w:hAnsiTheme="minorHAnsi"/>
        </w:rPr>
        <w:t>No data for any substrate or denaturant concentration were excluded.   All the enzyme progress curves decrease in a monotonic fashion so a small number of raw data points that deviated from that trend were excluded.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306C4955" w:rsidR="0015519A" w:rsidRPr="00505C51" w:rsidRDefault="00227D4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statistical criteria used to assess the fits are stated in the Figures or Figure legends.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398B37E9" w:rsidR="00BC3CCE" w:rsidRPr="00505C51" w:rsidRDefault="00C4172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does not apply to this paper as samples were not randomized or blinded.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C291D81" w:rsidR="00BC3CCE" w:rsidRPr="00505C51" w:rsidRDefault="00907B09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Source data are provided for Figures </w:t>
      </w:r>
      <w:r w:rsidR="00575C7B">
        <w:rPr>
          <w:rFonts w:asciiTheme="minorHAnsi" w:hAnsiTheme="minorHAnsi"/>
          <w:sz w:val="22"/>
          <w:szCs w:val="22"/>
        </w:rPr>
        <w:t xml:space="preserve">2, </w:t>
      </w:r>
      <w:r>
        <w:rPr>
          <w:rFonts w:asciiTheme="minorHAnsi" w:hAnsiTheme="minorHAnsi"/>
          <w:sz w:val="22"/>
          <w:szCs w:val="22"/>
        </w:rPr>
        <w:t>3, 4</w:t>
      </w:r>
      <w:r w:rsidR="00575C7B">
        <w:rPr>
          <w:rFonts w:asciiTheme="minorHAnsi" w:hAnsiTheme="minorHAnsi"/>
          <w:sz w:val="22"/>
          <w:szCs w:val="22"/>
        </w:rPr>
        <w:t xml:space="preserve">, 5, </w:t>
      </w:r>
      <w:r>
        <w:rPr>
          <w:rFonts w:asciiTheme="minorHAnsi" w:hAnsiTheme="minorHAnsi"/>
          <w:sz w:val="22"/>
          <w:szCs w:val="22"/>
        </w:rPr>
        <w:t xml:space="preserve">Figure 4 – Supplementary </w:t>
      </w:r>
      <w:r w:rsidR="000A05B3">
        <w:rPr>
          <w:rFonts w:asciiTheme="minorHAnsi" w:hAnsiTheme="minorHAnsi"/>
          <w:sz w:val="22"/>
          <w:szCs w:val="22"/>
        </w:rPr>
        <w:t xml:space="preserve">Figure </w:t>
      </w:r>
      <w:r w:rsidR="00575C7B">
        <w:rPr>
          <w:rFonts w:asciiTheme="minorHAnsi" w:hAnsiTheme="minorHAnsi"/>
          <w:sz w:val="22"/>
          <w:szCs w:val="22"/>
        </w:rPr>
        <w:t xml:space="preserve">1, Figure 4 – Supplementary Figure 2 </w:t>
      </w:r>
      <w:bookmarkStart w:id="0" w:name="_GoBack"/>
      <w:bookmarkEnd w:id="0"/>
      <w:r w:rsidR="00746427">
        <w:rPr>
          <w:rFonts w:asciiTheme="minorHAnsi" w:hAnsiTheme="minorHAnsi"/>
          <w:sz w:val="22"/>
          <w:szCs w:val="22"/>
        </w:rPr>
        <w:t>and Figure 5 – Supplementary Figure 1</w:t>
      </w:r>
      <w:r>
        <w:rPr>
          <w:rFonts w:asciiTheme="minorHAnsi" w:hAnsiTheme="minorHAnsi"/>
          <w:sz w:val="22"/>
          <w:szCs w:val="22"/>
        </w:rPr>
        <w:t>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0"/>
      <w:footerReference w:type="even" r:id="rId11"/>
      <w:footerReference w:type="default" r:id="rId12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91234" w14:textId="77777777" w:rsidR="00575C7B" w:rsidRDefault="00575C7B" w:rsidP="004215FE">
      <w:r>
        <w:separator/>
      </w:r>
    </w:p>
  </w:endnote>
  <w:endnote w:type="continuationSeparator" w:id="0">
    <w:p w14:paraId="2A7A09FC" w14:textId="77777777" w:rsidR="00575C7B" w:rsidRDefault="00575C7B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9A8E" w14:textId="77777777" w:rsidR="00575C7B" w:rsidRDefault="00575C7B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575C7B" w:rsidRDefault="00575C7B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575C7B" w:rsidRDefault="00575C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B882" w14:textId="77777777" w:rsidR="00575C7B" w:rsidRPr="0009520A" w:rsidRDefault="00575C7B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A11B9F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575C7B" w:rsidRPr="009D5D7F" w:rsidRDefault="00575C7B" w:rsidP="009D5D7F">
    <w:pPr>
      <w:rPr>
        <w:rFonts w:ascii="Times New Roman" w:eastAsia="Times New Roman" w:hAnsi="Times New Roman"/>
        <w:sz w:val="16"/>
        <w:szCs w:val="16"/>
        <w:lang w:val="en-GB"/>
      </w:rPr>
    </w:pPr>
    <w:proofErr w:type="spellStart"/>
    <w:r w:rsidRPr="009D5D7F">
      <w:rPr>
        <w:rFonts w:ascii="Arial" w:hAnsi="Arial"/>
        <w:sz w:val="16"/>
        <w:szCs w:val="16"/>
      </w:rPr>
      <w:t>eLife</w:t>
    </w:r>
    <w:proofErr w:type="spellEnd"/>
    <w:r w:rsidRPr="009D5D7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09082" w14:textId="77777777" w:rsidR="00575C7B" w:rsidRDefault="00575C7B" w:rsidP="004215FE">
      <w:r>
        <w:separator/>
      </w:r>
    </w:p>
  </w:footnote>
  <w:footnote w:type="continuationSeparator" w:id="0">
    <w:p w14:paraId="082E943A" w14:textId="77777777" w:rsidR="00575C7B" w:rsidRDefault="00575C7B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67A8" w14:textId="77777777" w:rsidR="00575C7B" w:rsidRDefault="00575C7B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05B3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27D4D"/>
    <w:rsid w:val="002336C6"/>
    <w:rsid w:val="00241081"/>
    <w:rsid w:val="00266462"/>
    <w:rsid w:val="002A068D"/>
    <w:rsid w:val="002A0ED1"/>
    <w:rsid w:val="002A7487"/>
    <w:rsid w:val="00307F5D"/>
    <w:rsid w:val="003100AA"/>
    <w:rsid w:val="003248ED"/>
    <w:rsid w:val="00370080"/>
    <w:rsid w:val="003C25C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82249"/>
    <w:rsid w:val="0048301D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75C7B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46427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252E"/>
    <w:rsid w:val="008D7885"/>
    <w:rsid w:val="00907B09"/>
    <w:rsid w:val="00912B0B"/>
    <w:rsid w:val="009205E9"/>
    <w:rsid w:val="0092438C"/>
    <w:rsid w:val="00941D04"/>
    <w:rsid w:val="00963CEF"/>
    <w:rsid w:val="00993065"/>
    <w:rsid w:val="009A0661"/>
    <w:rsid w:val="009D0D28"/>
    <w:rsid w:val="009D5D7F"/>
    <w:rsid w:val="009E6ACE"/>
    <w:rsid w:val="009E7B13"/>
    <w:rsid w:val="00A11B9F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1184B"/>
    <w:rsid w:val="00C21D14"/>
    <w:rsid w:val="00C24CF7"/>
    <w:rsid w:val="00C4172F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F4E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ditorial@elifesciences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D94C94-8FC7-4D4B-8173-FCFA4C08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805</Words>
  <Characters>4595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5390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WIS</cp:lastModifiedBy>
  <cp:revision>11</cp:revision>
  <dcterms:created xsi:type="dcterms:W3CDTF">2020-07-02T05:52:00Z</dcterms:created>
  <dcterms:modified xsi:type="dcterms:W3CDTF">2020-07-05T11:01:00Z</dcterms:modified>
</cp:coreProperties>
</file>