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1734"/>
        <w:gridCol w:w="1259"/>
        <w:gridCol w:w="1315"/>
        <w:gridCol w:w="1253"/>
        <w:gridCol w:w="138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06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0070C0"/>
                <w:sz w:val="28"/>
                <w:szCs w:val="28"/>
                <w:bdr w:val="none" w:color="auto" w:sz="0" w:space="0"/>
              </w:rPr>
              <w:t>Drug</w:t>
            </w:r>
          </w:p>
        </w:tc>
        <w:tc>
          <w:tcPr>
            <w:tcW w:w="10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06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bdr w:val="none" w:color="auto" w:sz="0" w:space="0"/>
              </w:rPr>
              <w:t>Target</w:t>
            </w:r>
          </w:p>
        </w:tc>
        <w:tc>
          <w:tcPr>
            <w:tcW w:w="14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06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  <w:bdr w:val="none" w:color="auto" w:sz="0" w:space="0"/>
              </w:rPr>
              <w:t>SNU398</w:t>
            </w:r>
          </w:p>
        </w:tc>
        <w:tc>
          <w:tcPr>
            <w:tcW w:w="15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06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  <w:bdr w:val="none" w:color="auto" w:sz="0" w:space="0"/>
              </w:rPr>
              <w:t>HepG2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tblCellSpacing w:w="0" w:type="dxa"/>
          <w:jc w:val="center"/>
        </w:trPr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06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0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06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06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  <w:bdr w:val="none" w:color="auto" w:sz="0" w:space="0"/>
              </w:rPr>
              <w:t>IC50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  <w:bdr w:val="none" w:color="auto" w:sz="0" w:space="0"/>
              </w:rPr>
              <w:t>(</w:t>
            </w:r>
            <w:r>
              <w:rPr>
                <w:rFonts w:hint="default" w:ascii="Arial" w:hAnsi="Arial" w:cs="Arial"/>
                <w:color w:val="FFC000"/>
                <w:sz w:val="28"/>
                <w:szCs w:val="28"/>
                <w:bdr w:val="none" w:color="auto" w:sz="0" w:space="0"/>
              </w:rPr>
              <w:t>μ</w:t>
            </w:r>
            <w:r>
              <w:rPr>
                <w:color w:val="FFC000"/>
                <w:sz w:val="28"/>
                <w:szCs w:val="28"/>
                <w:bdr w:val="none" w:color="auto" w:sz="0" w:space="0"/>
              </w:rPr>
              <w:t>M)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06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color w:val="FFC000"/>
                <w:sz w:val="28"/>
                <w:szCs w:val="28"/>
                <w:bdr w:val="none" w:color="auto" w:sz="0" w:space="0"/>
              </w:rPr>
            </w:pPr>
            <w:r>
              <w:rPr>
                <w:color w:val="FFC000"/>
                <w:sz w:val="28"/>
                <w:szCs w:val="28"/>
                <w:bdr w:val="none" w:color="auto" w:sz="0" w:space="0"/>
              </w:rPr>
              <w:t>Enhance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  <w:bdr w:val="none" w:color="auto" w:sz="0" w:space="0"/>
              </w:rPr>
              <w:t>（%）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06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  <w:bdr w:val="none" w:color="auto" w:sz="0" w:space="0"/>
              </w:rPr>
              <w:t>IC50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  <w:bdr w:val="none" w:color="auto" w:sz="0" w:space="0"/>
              </w:rPr>
              <w:t>(</w:t>
            </w:r>
            <w:r>
              <w:rPr>
                <w:rFonts w:hint="default" w:ascii="Arial" w:hAnsi="Arial" w:cs="Arial"/>
                <w:color w:val="FFC000"/>
                <w:sz w:val="28"/>
                <w:szCs w:val="28"/>
              </w:rPr>
              <w:t>μ</w:t>
            </w:r>
            <w:r>
              <w:rPr>
                <w:color w:val="FFC000"/>
                <w:sz w:val="28"/>
                <w:szCs w:val="28"/>
                <w:bdr w:val="none" w:color="auto" w:sz="0" w:space="0"/>
              </w:rPr>
              <w:t>M)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06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color w:val="FFC000"/>
                <w:sz w:val="28"/>
                <w:szCs w:val="28"/>
                <w:bdr w:val="none" w:color="auto" w:sz="0" w:space="0"/>
              </w:rPr>
            </w:pPr>
            <w:r>
              <w:rPr>
                <w:color w:val="FFC000"/>
                <w:sz w:val="28"/>
                <w:szCs w:val="28"/>
                <w:bdr w:val="none" w:color="auto" w:sz="0" w:space="0"/>
              </w:rPr>
              <w:t>Enhance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  <w:bdr w:val="none" w:color="auto" w:sz="0" w:space="0"/>
              </w:rPr>
              <w:t>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bdr w:val="none" w:color="auto" w:sz="0" w:space="0"/>
              </w:rPr>
              <w:t>BAY-876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bdr w:val="none" w:color="auto" w:sz="0" w:space="0"/>
              </w:rPr>
              <w:t>GLUT1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bdr w:val="none" w:color="auto" w:sz="0" w:space="0"/>
              </w:rPr>
              <w:t>4.085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1.5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&gt;100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bdr w:val="none" w:color="auto" w:sz="0" w:space="0"/>
              </w:rPr>
              <w:t>AZD3965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bdr w:val="none" w:color="auto" w:sz="0" w:space="0"/>
              </w:rPr>
              <w:t>MCT1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0.788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0.1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&gt;100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-0.1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bdr w:val="none" w:color="auto" w:sz="0" w:space="0"/>
              </w:rPr>
              <w:t>CPI613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bdr w:val="none" w:color="auto" w:sz="0" w:space="0"/>
              </w:rPr>
              <w:t>PDH/</w:t>
            </w:r>
            <w:r>
              <w:rPr>
                <w:rFonts w:hint="default" w:ascii="Arial" w:hAnsi="Arial" w:cs="Arial"/>
                <w:color w:val="FF0000"/>
                <w:sz w:val="24"/>
                <w:szCs w:val="24"/>
                <w:bdr w:val="none" w:color="auto" w:sz="0" w:space="0"/>
              </w:rPr>
              <w:t>α-KGDH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&gt;100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7.3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&gt;100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3.3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bdr w:val="none" w:color="auto" w:sz="0" w:space="0"/>
              </w:rPr>
              <w:t>Compound 3k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bdr w:val="none" w:color="auto" w:sz="0" w:space="0"/>
              </w:rPr>
              <w:t>PKM2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0.237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-4.7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15.82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-6.7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bdr w:val="none" w:color="auto" w:sz="0" w:space="0"/>
              </w:rPr>
              <w:t>NCT503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bdr w:val="none" w:color="auto" w:sz="0" w:space="0"/>
              </w:rPr>
              <w:t>PHGDH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28.35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7.1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37.09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bdr w:val="none" w:color="auto" w:sz="0" w:space="0"/>
              </w:rPr>
              <w:t>ND-646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bdr w:val="none" w:color="auto" w:sz="0" w:space="0"/>
              </w:rPr>
              <w:t>ACC1/ACC2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11.59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0.9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50.85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0.7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bdr w:val="none" w:color="auto" w:sz="0" w:space="0"/>
              </w:rPr>
              <w:t>AG221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bdr w:val="none" w:color="auto" w:sz="0" w:space="0"/>
              </w:rPr>
              <w:t>IDH2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13.64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13.7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36.39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16.3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bdr w:val="none" w:color="auto" w:sz="0" w:space="0"/>
              </w:rPr>
              <w:t>NLG-8189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bdr w:val="none" w:color="auto" w:sz="0" w:space="0"/>
              </w:rPr>
              <w:t>IDO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&gt;100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1.4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&gt;100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bdr w:val="none" w:color="auto" w:sz="0" w:space="0"/>
              </w:rPr>
              <w:t>IACS-10759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bdr w:val="none" w:color="auto" w:sz="0" w:space="0"/>
              </w:rPr>
              <w:t>OXPHOS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10.83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7.7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15.75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12.8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bdr w:val="none" w:color="auto" w:sz="0" w:space="0"/>
              </w:rPr>
              <w:t>Dapagliflozin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bdr w:val="none" w:color="auto" w:sz="0" w:space="0"/>
              </w:rPr>
              <w:t>SGLT2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65.33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-3.8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87.88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bdr w:val="none" w:color="auto" w:sz="0" w:space="0"/>
              </w:rPr>
              <w:t>2-DG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bdr w:val="none" w:color="auto" w:sz="0" w:space="0"/>
              </w:rPr>
              <w:t>HK2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548.8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3.7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14.04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(mM)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bdr w:val="none" w:color="auto" w:sz="0" w:space="0"/>
              </w:rPr>
              <w:t>V-9302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bdr w:val="none" w:color="auto" w:sz="0" w:space="0"/>
              </w:rPr>
              <w:t>ASCT2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8.402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20.3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19.25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31.6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bdr w:val="none" w:color="auto" w:sz="0" w:space="0"/>
              </w:rPr>
              <w:t>DHEA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bdr w:val="none" w:color="auto" w:sz="0" w:space="0"/>
              </w:rPr>
              <w:t>PPP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97.01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11.7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&gt;100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11.2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eastAsia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95571"/>
    <w:rsid w:val="605E76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hjjin</dc:creator>
  <cp:lastModifiedBy>倒退的小闹钟</cp:lastModifiedBy>
  <dcterms:modified xsi:type="dcterms:W3CDTF">2020-08-28T20:21:22Z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