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734"/>
        <w:gridCol w:w="1259"/>
        <w:gridCol w:w="1315"/>
        <w:gridCol w:w="1253"/>
        <w:gridCol w:w="138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olor w:val="0070C0"/>
                <w:sz w:val="28"/>
                <w:szCs w:val="28"/>
                <w:bdr w:val="none" w:color="auto" w:sz="0" w:space="0"/>
              </w:rPr>
              <w:t>Drug</w:t>
            </w:r>
          </w:p>
        </w:tc>
        <w:tc>
          <w:tcPr>
            <w:tcW w:w="10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bdr w:val="none" w:color="auto" w:sz="0" w:space="0"/>
              </w:rPr>
              <w:t>Target</w:t>
            </w:r>
          </w:p>
        </w:tc>
        <w:tc>
          <w:tcPr>
            <w:tcW w:w="1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  <w:bdr w:val="none" w:color="auto" w:sz="0" w:space="0"/>
              </w:rPr>
              <w:t>SNU398</w:t>
            </w: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  <w:bdr w:val="none" w:color="auto" w:sz="0" w:space="0"/>
              </w:rPr>
              <w:t>HepG2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tblCellSpacing w:w="0" w:type="dxa"/>
          <w:jc w:val="center"/>
        </w:trPr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0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  <w:bdr w:val="none" w:color="auto" w:sz="0" w:space="0"/>
              </w:rPr>
              <w:t>IC50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Arial" w:hAnsi="Arial" w:cs="Arial"/>
                <w:color w:val="FFC000"/>
                <w:sz w:val="28"/>
                <w:szCs w:val="28"/>
                <w:bdr w:val="none" w:color="auto" w:sz="0" w:space="0"/>
              </w:rPr>
              <w:t>μ</w:t>
            </w:r>
            <w:r>
              <w:rPr>
                <w:color w:val="FFC000"/>
                <w:sz w:val="28"/>
                <w:szCs w:val="28"/>
                <w:bdr w:val="none" w:color="auto" w:sz="0" w:space="0"/>
              </w:rPr>
              <w:t>M)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color w:val="FFC000"/>
                <w:sz w:val="28"/>
                <w:szCs w:val="28"/>
                <w:bdr w:val="none" w:color="auto" w:sz="0" w:space="0"/>
              </w:rPr>
            </w:pPr>
            <w:r>
              <w:rPr>
                <w:color w:val="FFC000"/>
                <w:sz w:val="28"/>
                <w:szCs w:val="28"/>
                <w:bdr w:val="none" w:color="auto" w:sz="0" w:space="0"/>
              </w:rPr>
              <w:t>Enhance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  <w:bdr w:val="none" w:color="auto" w:sz="0" w:space="0"/>
              </w:rPr>
              <w:t>（%）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  <w:bdr w:val="none" w:color="auto" w:sz="0" w:space="0"/>
              </w:rPr>
              <w:t>IC50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Arial" w:hAnsi="Arial" w:cs="Arial"/>
                <w:color w:val="FFC000"/>
                <w:sz w:val="28"/>
                <w:szCs w:val="28"/>
              </w:rPr>
              <w:t>μ</w:t>
            </w:r>
            <w:r>
              <w:rPr>
                <w:color w:val="FFC000"/>
                <w:sz w:val="28"/>
                <w:szCs w:val="28"/>
                <w:bdr w:val="none" w:color="auto" w:sz="0" w:space="0"/>
              </w:rPr>
              <w:t>M)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6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color w:val="FFC000"/>
                <w:sz w:val="28"/>
                <w:szCs w:val="28"/>
                <w:bdr w:val="none" w:color="auto" w:sz="0" w:space="0"/>
              </w:rPr>
            </w:pPr>
            <w:r>
              <w:rPr>
                <w:color w:val="FFC000"/>
                <w:sz w:val="28"/>
                <w:szCs w:val="28"/>
                <w:bdr w:val="none" w:color="auto" w:sz="0" w:space="0"/>
              </w:rPr>
              <w:t>Enhance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  <w:bdr w:val="none" w:color="auto" w:sz="0" w:space="0"/>
              </w:rPr>
              <w:t>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BAY-876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GLUT1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color="auto" w:sz="0" w:space="0"/>
              </w:rPr>
              <w:t>4.085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1.5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&gt;100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AZD3965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MCT1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0.788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0.1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&gt;100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-0.1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CPI613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PDH/</w:t>
            </w:r>
            <w:r>
              <w:rPr>
                <w:rFonts w:hint="default" w:ascii="Arial" w:hAnsi="Arial" w:cs="Arial"/>
                <w:color w:val="FF0000"/>
                <w:sz w:val="24"/>
                <w:szCs w:val="24"/>
                <w:bdr w:val="none" w:color="auto" w:sz="0" w:space="0"/>
              </w:rPr>
              <w:t>α-KGDH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&gt;100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7.3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&gt;100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3.3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Compound 3k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PKM2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0.237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-4.7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15.82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-6.7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NCT503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PHGDH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28.35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7.1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37.09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ND-646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ACC1/ACC2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11.59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0.9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50.85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0.7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AG221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IDH2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13.64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13.7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36.39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16.3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NLG-8189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IDO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&gt;100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1.4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&gt;100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IACS-10759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OXPHOS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10.83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7.7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15.75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Dapagliflozin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SGLT2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65.33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-3.8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87.88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2-DG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HK2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548.8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3.7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14.04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(mM)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V-9302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ASCT2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8.402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20.3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19.25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31.6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bdr w:val="none" w:color="auto" w:sz="0" w:space="0"/>
              </w:rPr>
              <w:t>DHEA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bdr w:val="none" w:color="auto" w:sz="0" w:space="0"/>
              </w:rPr>
              <w:t>PPP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97.01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11.7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&gt;100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</w:rPr>
              <w:t>11.2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95571"/>
    <w:rsid w:val="605E7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hjjin</dc:creator>
  <cp:lastModifiedBy>倒退的小闹钟</cp:lastModifiedBy>
  <dcterms:modified xsi:type="dcterms:W3CDTF">2020-08-28T20:21:22Z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