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EB93" w14:textId="1F499ECC" w:rsidR="00C20A16" w:rsidRPr="00C20A16" w:rsidRDefault="00C84D86" w:rsidP="00C20A16">
      <w:pPr>
        <w:pStyle w:val="SMHeading"/>
      </w:pPr>
      <w:r>
        <w:t xml:space="preserve">Supplementary </w:t>
      </w:r>
      <w:r w:rsidR="00015F74">
        <w:t>Table 1.</w:t>
      </w:r>
      <w:r w:rsidR="00C20A16">
        <w:t xml:space="preserve"> </w:t>
      </w:r>
      <w:r w:rsidR="00C20A16" w:rsidRPr="00AF3A19">
        <w:rPr>
          <w:rFonts w:eastAsia="Times New Roman"/>
          <w:lang w:eastAsia="sv-SE"/>
        </w:rPr>
        <w:t>International Classification of Diseases (ICD)</w:t>
      </w:r>
      <w:r w:rsidR="00C20A16">
        <w:rPr>
          <w:rFonts w:eastAsia="Times New Roman"/>
          <w:lang w:eastAsia="sv-SE"/>
        </w:rPr>
        <w:t xml:space="preserve"> codes</w:t>
      </w:r>
      <w:r w:rsidR="00C20A16" w:rsidRPr="00AF3A19">
        <w:rPr>
          <w:rFonts w:eastAsia="Times New Roman"/>
          <w:lang w:eastAsia="sv-SE"/>
        </w:rPr>
        <w:t>, eighth (ICD-8; 1969–1986), ninth (ICD-9; 1987–1996), and tenth (ICD-10; 1997–2013)</w:t>
      </w:r>
      <w:r w:rsidR="00C20A16">
        <w:rPr>
          <w:rFonts w:eastAsia="Times New Roman"/>
          <w:lang w:eastAsia="sv-SE"/>
        </w:rPr>
        <w:t xml:space="preserve"> Swedish</w:t>
      </w:r>
      <w:r w:rsidR="00C20A16" w:rsidRPr="00AF3A19">
        <w:rPr>
          <w:rFonts w:eastAsia="Times New Roman"/>
          <w:lang w:eastAsia="sv-SE"/>
        </w:rPr>
        <w:t xml:space="preserve"> revisions for diagnoses used in this study</w:t>
      </w:r>
    </w:p>
    <w:p w14:paraId="256C2A4A" w14:textId="77777777" w:rsidR="00C20A16" w:rsidRPr="00AF3A19" w:rsidRDefault="00C20A16" w:rsidP="00C20A16">
      <w:pPr>
        <w:suppressAutoHyphens/>
        <w:autoSpaceDE w:val="0"/>
        <w:autoSpaceDN w:val="0"/>
        <w:textAlignment w:val="baseline"/>
        <w:rPr>
          <w:rFonts w:eastAsia="Times New Roman"/>
          <w:lang w:eastAsia="sv-SE"/>
        </w:rPr>
      </w:pPr>
    </w:p>
    <w:tbl>
      <w:tblPr>
        <w:tblStyle w:val="affff8"/>
        <w:tblW w:w="128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3093"/>
        <w:gridCol w:w="2608"/>
        <w:gridCol w:w="2663"/>
        <w:gridCol w:w="2368"/>
      </w:tblGrid>
      <w:tr w:rsidR="00C20A16" w:rsidRPr="003966BE" w14:paraId="310DC10C" w14:textId="77777777" w:rsidTr="00254242">
        <w:trPr>
          <w:trHeight w:val="113"/>
          <w:jc w:val="center"/>
        </w:trPr>
        <w:tc>
          <w:tcPr>
            <w:tcW w:w="2121" w:type="dxa"/>
            <w:tcBorders>
              <w:top w:val="single" w:sz="4" w:space="0" w:color="auto"/>
              <w:bottom w:val="single" w:sz="4" w:space="0" w:color="auto"/>
            </w:tcBorders>
            <w:tcMar>
              <w:left w:w="28" w:type="dxa"/>
              <w:right w:w="28" w:type="dxa"/>
            </w:tcMar>
            <w:vAlign w:val="center"/>
          </w:tcPr>
          <w:p w14:paraId="419F2217" w14:textId="77777777" w:rsidR="00C20A16" w:rsidRPr="003966BE" w:rsidRDefault="00C20A16" w:rsidP="00254242">
            <w:pPr>
              <w:jc w:val="center"/>
              <w:rPr>
                <w:rFonts w:ascii="Times New Roman" w:hAnsi="Times New Roman"/>
                <w:sz w:val="22"/>
                <w:lang w:val="en-US"/>
              </w:rPr>
            </w:pPr>
          </w:p>
        </w:tc>
        <w:tc>
          <w:tcPr>
            <w:tcW w:w="3093" w:type="dxa"/>
            <w:tcBorders>
              <w:top w:val="single" w:sz="4" w:space="0" w:color="auto"/>
              <w:bottom w:val="single" w:sz="4" w:space="0" w:color="auto"/>
            </w:tcBorders>
            <w:tcMar>
              <w:left w:w="28" w:type="dxa"/>
              <w:right w:w="28" w:type="dxa"/>
            </w:tcMar>
            <w:vAlign w:val="center"/>
          </w:tcPr>
          <w:p w14:paraId="10EB9198" w14:textId="77777777" w:rsidR="00C20A16" w:rsidRPr="003966BE" w:rsidRDefault="00C20A16" w:rsidP="00254242">
            <w:pPr>
              <w:jc w:val="center"/>
              <w:rPr>
                <w:rFonts w:ascii="Times New Roman" w:hAnsi="Times New Roman"/>
                <w:sz w:val="22"/>
                <w:lang w:val="en-US"/>
              </w:rPr>
            </w:pPr>
            <w:r w:rsidRPr="003966BE">
              <w:rPr>
                <w:rFonts w:ascii="Times New Roman" w:hAnsi="Times New Roman"/>
                <w:sz w:val="22"/>
                <w:lang w:val="en-US"/>
              </w:rPr>
              <w:t>Specific subtypes</w:t>
            </w:r>
          </w:p>
        </w:tc>
        <w:tc>
          <w:tcPr>
            <w:tcW w:w="2608" w:type="dxa"/>
            <w:tcBorders>
              <w:top w:val="single" w:sz="4" w:space="0" w:color="auto"/>
              <w:bottom w:val="single" w:sz="4" w:space="0" w:color="auto"/>
            </w:tcBorders>
            <w:tcMar>
              <w:left w:w="28" w:type="dxa"/>
              <w:right w:w="28" w:type="dxa"/>
            </w:tcMar>
            <w:vAlign w:val="center"/>
          </w:tcPr>
          <w:p w14:paraId="383D2167" w14:textId="77777777" w:rsidR="00C20A16" w:rsidRPr="003966BE" w:rsidRDefault="00C20A16" w:rsidP="00254242">
            <w:pPr>
              <w:jc w:val="center"/>
              <w:rPr>
                <w:rFonts w:ascii="Times New Roman" w:hAnsi="Times New Roman"/>
                <w:b/>
                <w:sz w:val="22"/>
                <w:lang w:val="en-US"/>
              </w:rPr>
            </w:pPr>
            <w:r w:rsidRPr="003966BE">
              <w:rPr>
                <w:rFonts w:ascii="Times New Roman" w:hAnsi="Times New Roman"/>
                <w:b/>
                <w:sz w:val="22"/>
                <w:lang w:val="en-US"/>
              </w:rPr>
              <w:t>ICD-8</w:t>
            </w:r>
          </w:p>
        </w:tc>
        <w:tc>
          <w:tcPr>
            <w:tcW w:w="2663" w:type="dxa"/>
            <w:tcBorders>
              <w:top w:val="single" w:sz="4" w:space="0" w:color="auto"/>
              <w:bottom w:val="single" w:sz="4" w:space="0" w:color="auto"/>
            </w:tcBorders>
            <w:tcMar>
              <w:left w:w="28" w:type="dxa"/>
              <w:right w:w="28" w:type="dxa"/>
            </w:tcMar>
            <w:vAlign w:val="center"/>
          </w:tcPr>
          <w:p w14:paraId="1C373434" w14:textId="77777777" w:rsidR="00C20A16" w:rsidRPr="003966BE" w:rsidRDefault="00C20A16" w:rsidP="00254242">
            <w:pPr>
              <w:jc w:val="center"/>
              <w:rPr>
                <w:rFonts w:ascii="Times New Roman" w:hAnsi="Times New Roman"/>
                <w:b/>
                <w:sz w:val="22"/>
                <w:lang w:val="en-US"/>
              </w:rPr>
            </w:pPr>
            <w:r w:rsidRPr="003966BE">
              <w:rPr>
                <w:rFonts w:ascii="Times New Roman" w:hAnsi="Times New Roman"/>
                <w:b/>
                <w:sz w:val="22"/>
                <w:lang w:val="en-US"/>
              </w:rPr>
              <w:t>ICD-9</w:t>
            </w:r>
          </w:p>
        </w:tc>
        <w:tc>
          <w:tcPr>
            <w:tcW w:w="2368" w:type="dxa"/>
            <w:tcBorders>
              <w:top w:val="single" w:sz="4" w:space="0" w:color="auto"/>
              <w:bottom w:val="single" w:sz="4" w:space="0" w:color="auto"/>
            </w:tcBorders>
            <w:tcMar>
              <w:left w:w="28" w:type="dxa"/>
              <w:right w:w="28" w:type="dxa"/>
            </w:tcMar>
            <w:vAlign w:val="center"/>
          </w:tcPr>
          <w:p w14:paraId="0CDA62D2" w14:textId="77777777" w:rsidR="00C20A16" w:rsidRPr="003966BE" w:rsidRDefault="00C20A16" w:rsidP="00254242">
            <w:pPr>
              <w:jc w:val="center"/>
              <w:rPr>
                <w:rFonts w:ascii="Times New Roman" w:hAnsi="Times New Roman"/>
                <w:b/>
                <w:sz w:val="22"/>
                <w:lang w:val="en-US"/>
              </w:rPr>
            </w:pPr>
            <w:r w:rsidRPr="003966BE">
              <w:rPr>
                <w:rFonts w:ascii="Times New Roman" w:hAnsi="Times New Roman"/>
                <w:b/>
                <w:sz w:val="22"/>
                <w:lang w:val="en-US"/>
              </w:rPr>
              <w:t>ICD-10</w:t>
            </w:r>
          </w:p>
        </w:tc>
      </w:tr>
      <w:tr w:rsidR="00C20A16" w:rsidRPr="003966BE" w14:paraId="5231AECD" w14:textId="77777777" w:rsidTr="00254242">
        <w:trPr>
          <w:trHeight w:val="113"/>
          <w:jc w:val="center"/>
        </w:trPr>
        <w:tc>
          <w:tcPr>
            <w:tcW w:w="2121" w:type="dxa"/>
            <w:tcBorders>
              <w:top w:val="single" w:sz="4" w:space="0" w:color="auto"/>
              <w:bottom w:val="nil"/>
            </w:tcBorders>
            <w:tcMar>
              <w:left w:w="28" w:type="dxa"/>
              <w:right w:w="28" w:type="dxa"/>
            </w:tcMar>
            <w:vAlign w:val="center"/>
          </w:tcPr>
          <w:p w14:paraId="77B3AA05" w14:textId="77777777" w:rsidR="00C20A16" w:rsidRPr="003966BE" w:rsidRDefault="00C20A16" w:rsidP="00254242">
            <w:pPr>
              <w:rPr>
                <w:rFonts w:ascii="Times New Roman" w:hAnsi="Times New Roman"/>
                <w:b/>
                <w:sz w:val="22"/>
                <w:u w:val="single"/>
                <w:lang w:val="en-US"/>
              </w:rPr>
            </w:pPr>
            <w:r w:rsidRPr="003966BE">
              <w:rPr>
                <w:rFonts w:ascii="Times New Roman" w:hAnsi="Times New Roman"/>
                <w:b/>
                <w:sz w:val="22"/>
                <w:u w:val="single"/>
                <w:lang w:val="en-US"/>
              </w:rPr>
              <w:t>Cause of death</w:t>
            </w:r>
          </w:p>
        </w:tc>
        <w:tc>
          <w:tcPr>
            <w:tcW w:w="3093" w:type="dxa"/>
            <w:tcBorders>
              <w:top w:val="single" w:sz="4" w:space="0" w:color="auto"/>
              <w:bottom w:val="nil"/>
            </w:tcBorders>
            <w:tcMar>
              <w:left w:w="28" w:type="dxa"/>
              <w:right w:w="28" w:type="dxa"/>
            </w:tcMar>
            <w:vAlign w:val="center"/>
          </w:tcPr>
          <w:p w14:paraId="428E78A7" w14:textId="77777777" w:rsidR="00C20A16" w:rsidRPr="003966BE" w:rsidRDefault="00C20A16" w:rsidP="00254242">
            <w:pPr>
              <w:jc w:val="center"/>
              <w:rPr>
                <w:rFonts w:ascii="Times New Roman" w:hAnsi="Times New Roman"/>
                <w:sz w:val="22"/>
                <w:lang w:val="en-US"/>
              </w:rPr>
            </w:pPr>
          </w:p>
        </w:tc>
        <w:tc>
          <w:tcPr>
            <w:tcW w:w="2608" w:type="dxa"/>
            <w:tcBorders>
              <w:top w:val="single" w:sz="4" w:space="0" w:color="auto"/>
              <w:bottom w:val="nil"/>
            </w:tcBorders>
            <w:tcMar>
              <w:left w:w="28" w:type="dxa"/>
              <w:right w:w="28" w:type="dxa"/>
            </w:tcMar>
            <w:vAlign w:val="center"/>
          </w:tcPr>
          <w:p w14:paraId="6EB77BCD" w14:textId="77777777" w:rsidR="00C20A16" w:rsidRPr="003966BE" w:rsidRDefault="00C20A16" w:rsidP="00254242">
            <w:pPr>
              <w:jc w:val="center"/>
              <w:rPr>
                <w:rFonts w:ascii="Times New Roman" w:hAnsi="Times New Roman"/>
                <w:b/>
                <w:sz w:val="22"/>
                <w:lang w:val="en-US"/>
              </w:rPr>
            </w:pPr>
          </w:p>
        </w:tc>
        <w:tc>
          <w:tcPr>
            <w:tcW w:w="2663" w:type="dxa"/>
            <w:tcBorders>
              <w:top w:val="single" w:sz="4" w:space="0" w:color="auto"/>
              <w:bottom w:val="nil"/>
            </w:tcBorders>
            <w:tcMar>
              <w:left w:w="28" w:type="dxa"/>
              <w:right w:w="28" w:type="dxa"/>
            </w:tcMar>
            <w:vAlign w:val="center"/>
          </w:tcPr>
          <w:p w14:paraId="10155F36" w14:textId="77777777" w:rsidR="00C20A16" w:rsidRPr="003966BE" w:rsidRDefault="00C20A16" w:rsidP="00254242">
            <w:pPr>
              <w:jc w:val="center"/>
              <w:rPr>
                <w:rFonts w:ascii="Times New Roman" w:hAnsi="Times New Roman"/>
                <w:b/>
                <w:sz w:val="22"/>
                <w:lang w:val="en-US"/>
              </w:rPr>
            </w:pPr>
          </w:p>
        </w:tc>
        <w:tc>
          <w:tcPr>
            <w:tcW w:w="2368" w:type="dxa"/>
            <w:tcBorders>
              <w:top w:val="single" w:sz="4" w:space="0" w:color="auto"/>
              <w:bottom w:val="nil"/>
            </w:tcBorders>
            <w:tcMar>
              <w:left w:w="28" w:type="dxa"/>
              <w:right w:w="28" w:type="dxa"/>
            </w:tcMar>
            <w:vAlign w:val="center"/>
          </w:tcPr>
          <w:p w14:paraId="1EF25849" w14:textId="77777777" w:rsidR="00C20A16" w:rsidRPr="003966BE" w:rsidRDefault="00C20A16" w:rsidP="00254242">
            <w:pPr>
              <w:jc w:val="center"/>
              <w:rPr>
                <w:rFonts w:ascii="Times New Roman" w:hAnsi="Times New Roman"/>
                <w:b/>
                <w:sz w:val="22"/>
                <w:lang w:val="en-US"/>
              </w:rPr>
            </w:pPr>
          </w:p>
        </w:tc>
      </w:tr>
      <w:tr w:rsidR="00C20A16" w:rsidRPr="003966BE" w14:paraId="5C8724AD" w14:textId="77777777" w:rsidTr="00254242">
        <w:trPr>
          <w:trHeight w:val="113"/>
          <w:jc w:val="center"/>
        </w:trPr>
        <w:tc>
          <w:tcPr>
            <w:tcW w:w="2121" w:type="dxa"/>
            <w:tcBorders>
              <w:top w:val="nil"/>
              <w:bottom w:val="nil"/>
            </w:tcBorders>
            <w:tcMar>
              <w:left w:w="28" w:type="dxa"/>
              <w:right w:w="28" w:type="dxa"/>
            </w:tcMar>
            <w:vAlign w:val="center"/>
          </w:tcPr>
          <w:p w14:paraId="570BD6D9" w14:textId="77777777" w:rsidR="00C20A16" w:rsidRPr="003966BE" w:rsidRDefault="00C20A16" w:rsidP="00254242">
            <w:pPr>
              <w:rPr>
                <w:rFonts w:ascii="Times New Roman" w:hAnsi="Times New Roman"/>
                <w:sz w:val="22"/>
                <w:lang w:val="en-US"/>
              </w:rPr>
            </w:pPr>
            <w:r w:rsidRPr="003966BE">
              <w:rPr>
                <w:rFonts w:ascii="Times New Roman" w:hAnsi="Times New Roman"/>
                <w:sz w:val="22"/>
                <w:lang w:val="en-US"/>
              </w:rPr>
              <w:t>Unnatural death: death with any external cause</w:t>
            </w:r>
          </w:p>
        </w:tc>
        <w:tc>
          <w:tcPr>
            <w:tcW w:w="3093" w:type="dxa"/>
            <w:tcBorders>
              <w:top w:val="nil"/>
              <w:bottom w:val="nil"/>
            </w:tcBorders>
            <w:tcMar>
              <w:left w:w="28" w:type="dxa"/>
              <w:right w:w="28" w:type="dxa"/>
            </w:tcMar>
            <w:vAlign w:val="center"/>
          </w:tcPr>
          <w:p w14:paraId="7C3E1DA4" w14:textId="77777777" w:rsidR="00C20A16" w:rsidRPr="003966BE" w:rsidRDefault="00C20A16" w:rsidP="00254242">
            <w:pPr>
              <w:jc w:val="center"/>
              <w:rPr>
                <w:rFonts w:ascii="Times New Roman" w:hAnsi="Times New Roman"/>
                <w:sz w:val="22"/>
                <w:lang w:val="en-US"/>
              </w:rPr>
            </w:pPr>
          </w:p>
        </w:tc>
        <w:tc>
          <w:tcPr>
            <w:tcW w:w="2608" w:type="dxa"/>
            <w:tcBorders>
              <w:top w:val="nil"/>
              <w:bottom w:val="nil"/>
            </w:tcBorders>
            <w:tcMar>
              <w:left w:w="28" w:type="dxa"/>
              <w:right w:w="28" w:type="dxa"/>
            </w:tcMar>
            <w:vAlign w:val="center"/>
          </w:tcPr>
          <w:p w14:paraId="76042279"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E807-E999</w:t>
            </w:r>
          </w:p>
        </w:tc>
        <w:tc>
          <w:tcPr>
            <w:tcW w:w="2663" w:type="dxa"/>
            <w:tcBorders>
              <w:top w:val="nil"/>
              <w:bottom w:val="nil"/>
            </w:tcBorders>
            <w:tcMar>
              <w:left w:w="28" w:type="dxa"/>
              <w:right w:w="28" w:type="dxa"/>
            </w:tcMar>
            <w:vAlign w:val="center"/>
          </w:tcPr>
          <w:p w14:paraId="17AB6C94"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E807-E999</w:t>
            </w:r>
          </w:p>
        </w:tc>
        <w:tc>
          <w:tcPr>
            <w:tcW w:w="2368" w:type="dxa"/>
            <w:tcBorders>
              <w:top w:val="nil"/>
              <w:bottom w:val="nil"/>
            </w:tcBorders>
            <w:tcMar>
              <w:left w:w="28" w:type="dxa"/>
              <w:right w:w="28" w:type="dxa"/>
            </w:tcMar>
            <w:vAlign w:val="center"/>
          </w:tcPr>
          <w:p w14:paraId="26711D8B"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V, X,</w:t>
            </w:r>
            <w:r>
              <w:rPr>
                <w:rFonts w:ascii="Times New Roman" w:eastAsia="Times New Roman" w:hAnsi="Times New Roman"/>
                <w:bCs/>
                <w:lang w:val="en-US" w:eastAsia="sv-SE"/>
              </w:rPr>
              <w:t xml:space="preserve"> </w:t>
            </w:r>
            <w:r w:rsidRPr="003966BE">
              <w:rPr>
                <w:rFonts w:ascii="Times New Roman" w:eastAsia="Times New Roman" w:hAnsi="Times New Roman"/>
                <w:bCs/>
                <w:sz w:val="22"/>
                <w:lang w:val="en-US" w:eastAsia="sv-SE"/>
              </w:rPr>
              <w:t>Y,</w:t>
            </w:r>
            <w:r>
              <w:rPr>
                <w:rFonts w:ascii="Times New Roman" w:eastAsia="Times New Roman" w:hAnsi="Times New Roman"/>
                <w:bCs/>
                <w:lang w:val="en-US" w:eastAsia="sv-SE"/>
              </w:rPr>
              <w:t xml:space="preserve"> </w:t>
            </w:r>
            <w:r w:rsidRPr="003966BE">
              <w:rPr>
                <w:rFonts w:ascii="Times New Roman" w:eastAsia="Times New Roman" w:hAnsi="Times New Roman"/>
                <w:bCs/>
                <w:sz w:val="22"/>
                <w:lang w:val="en-US" w:eastAsia="sv-SE"/>
              </w:rPr>
              <w:t>W</w:t>
            </w:r>
          </w:p>
        </w:tc>
      </w:tr>
      <w:tr w:rsidR="00C20A16" w:rsidRPr="003966BE" w14:paraId="5A2A43EB" w14:textId="77777777" w:rsidTr="00254242">
        <w:trPr>
          <w:trHeight w:val="113"/>
          <w:jc w:val="center"/>
        </w:trPr>
        <w:tc>
          <w:tcPr>
            <w:tcW w:w="5214" w:type="dxa"/>
            <w:gridSpan w:val="2"/>
            <w:tcBorders>
              <w:top w:val="nil"/>
            </w:tcBorders>
            <w:tcMar>
              <w:left w:w="28" w:type="dxa"/>
              <w:right w:w="28" w:type="dxa"/>
            </w:tcMar>
            <w:vAlign w:val="center"/>
          </w:tcPr>
          <w:p w14:paraId="4796F01E" w14:textId="77777777" w:rsidR="00C20A16" w:rsidRPr="003966BE" w:rsidRDefault="00C20A16" w:rsidP="00254242">
            <w:pPr>
              <w:rPr>
                <w:rFonts w:ascii="Times New Roman" w:hAnsi="Times New Roman"/>
                <w:sz w:val="22"/>
              </w:rPr>
            </w:pPr>
            <w:r w:rsidRPr="003966BE">
              <w:rPr>
                <w:rFonts w:ascii="Times New Roman" w:hAnsi="Times New Roman"/>
                <w:b/>
                <w:sz w:val="22"/>
                <w:u w:val="single"/>
                <w:lang w:val="en-US"/>
              </w:rPr>
              <w:t>Outcomes</w:t>
            </w:r>
            <w:r w:rsidRPr="003966BE">
              <w:rPr>
                <w:rFonts w:ascii="Times New Roman" w:hAnsi="Times New Roman"/>
                <w:sz w:val="22"/>
                <w:u w:val="single"/>
              </w:rPr>
              <w:t xml:space="preserve"> </w:t>
            </w:r>
            <w:r w:rsidRPr="003966BE">
              <w:rPr>
                <w:rFonts w:ascii="Times New Roman" w:hAnsi="Times New Roman"/>
                <w:b/>
                <w:sz w:val="22"/>
                <w:u w:val="single"/>
                <w:lang w:val="en-US"/>
              </w:rPr>
              <w:t>identification</w:t>
            </w:r>
          </w:p>
        </w:tc>
        <w:tc>
          <w:tcPr>
            <w:tcW w:w="2608" w:type="dxa"/>
            <w:tcBorders>
              <w:top w:val="nil"/>
            </w:tcBorders>
            <w:tcMar>
              <w:left w:w="28" w:type="dxa"/>
              <w:right w:w="28" w:type="dxa"/>
            </w:tcMar>
            <w:vAlign w:val="center"/>
          </w:tcPr>
          <w:p w14:paraId="04867EA0" w14:textId="77777777" w:rsidR="00C20A16" w:rsidRPr="003966BE" w:rsidRDefault="00C20A16" w:rsidP="00254242">
            <w:pPr>
              <w:jc w:val="center"/>
              <w:rPr>
                <w:rFonts w:ascii="Times New Roman" w:hAnsi="Times New Roman"/>
                <w:b/>
                <w:sz w:val="22"/>
              </w:rPr>
            </w:pPr>
          </w:p>
        </w:tc>
        <w:tc>
          <w:tcPr>
            <w:tcW w:w="2663" w:type="dxa"/>
            <w:tcBorders>
              <w:top w:val="nil"/>
            </w:tcBorders>
            <w:tcMar>
              <w:left w:w="28" w:type="dxa"/>
              <w:right w:w="28" w:type="dxa"/>
            </w:tcMar>
            <w:vAlign w:val="center"/>
          </w:tcPr>
          <w:p w14:paraId="36B47DCB" w14:textId="77777777" w:rsidR="00C20A16" w:rsidRPr="003966BE" w:rsidRDefault="00C20A16" w:rsidP="00254242">
            <w:pPr>
              <w:jc w:val="center"/>
              <w:rPr>
                <w:rFonts w:ascii="Times New Roman" w:hAnsi="Times New Roman"/>
                <w:b/>
                <w:sz w:val="22"/>
              </w:rPr>
            </w:pPr>
          </w:p>
        </w:tc>
        <w:tc>
          <w:tcPr>
            <w:tcW w:w="2368" w:type="dxa"/>
            <w:tcBorders>
              <w:top w:val="nil"/>
            </w:tcBorders>
            <w:tcMar>
              <w:left w:w="28" w:type="dxa"/>
              <w:right w:w="28" w:type="dxa"/>
            </w:tcMar>
            <w:vAlign w:val="center"/>
          </w:tcPr>
          <w:p w14:paraId="454A9B07" w14:textId="77777777" w:rsidR="00C20A16" w:rsidRPr="003966BE" w:rsidRDefault="00C20A16" w:rsidP="00254242">
            <w:pPr>
              <w:jc w:val="center"/>
              <w:rPr>
                <w:rFonts w:ascii="Times New Roman" w:hAnsi="Times New Roman"/>
                <w:b/>
                <w:sz w:val="22"/>
              </w:rPr>
            </w:pPr>
          </w:p>
        </w:tc>
      </w:tr>
      <w:tr w:rsidR="00C20A16" w:rsidRPr="003966BE" w14:paraId="5EF57CC7" w14:textId="77777777" w:rsidTr="00254242">
        <w:trPr>
          <w:trHeight w:val="113"/>
          <w:jc w:val="center"/>
        </w:trPr>
        <w:tc>
          <w:tcPr>
            <w:tcW w:w="2121" w:type="dxa"/>
            <w:tcMar>
              <w:left w:w="28" w:type="dxa"/>
              <w:right w:w="28" w:type="dxa"/>
            </w:tcMar>
          </w:tcPr>
          <w:p w14:paraId="227C6930" w14:textId="77777777" w:rsidR="00C20A16" w:rsidRPr="003966BE" w:rsidRDefault="00C20A16" w:rsidP="00254242">
            <w:pPr>
              <w:rPr>
                <w:rFonts w:ascii="Times New Roman" w:hAnsi="Times New Roman"/>
                <w:sz w:val="22"/>
                <w:lang w:val="en-US"/>
              </w:rPr>
            </w:pPr>
            <w:r w:rsidRPr="003966BE">
              <w:rPr>
                <w:rFonts w:ascii="Times New Roman" w:hAnsi="Times New Roman"/>
                <w:sz w:val="22"/>
                <w:lang w:val="en-US"/>
              </w:rPr>
              <w:t>All psychiatric disorders</w:t>
            </w:r>
          </w:p>
        </w:tc>
        <w:tc>
          <w:tcPr>
            <w:tcW w:w="3093" w:type="dxa"/>
            <w:tcMar>
              <w:left w:w="28" w:type="dxa"/>
              <w:right w:w="28" w:type="dxa"/>
            </w:tcMar>
            <w:vAlign w:val="center"/>
          </w:tcPr>
          <w:p w14:paraId="19DC0F9C" w14:textId="77777777" w:rsidR="00C20A16" w:rsidRPr="003966BE" w:rsidRDefault="00C20A16" w:rsidP="00254242">
            <w:pPr>
              <w:jc w:val="center"/>
              <w:rPr>
                <w:rFonts w:ascii="Times New Roman" w:hAnsi="Times New Roman"/>
                <w:sz w:val="22"/>
                <w:lang w:val="en-US"/>
              </w:rPr>
            </w:pPr>
          </w:p>
        </w:tc>
        <w:tc>
          <w:tcPr>
            <w:tcW w:w="2608" w:type="dxa"/>
            <w:tcMar>
              <w:left w:w="28" w:type="dxa"/>
              <w:right w:w="28" w:type="dxa"/>
            </w:tcMar>
            <w:vAlign w:val="center"/>
          </w:tcPr>
          <w:p w14:paraId="2A4F9DDA" w14:textId="77777777" w:rsidR="00C20A16" w:rsidRPr="003966BE" w:rsidRDefault="00C20A16" w:rsidP="00254242">
            <w:pPr>
              <w:jc w:val="center"/>
              <w:rPr>
                <w:rFonts w:ascii="Times New Roman" w:hAnsi="Times New Roman"/>
                <w:b/>
                <w:sz w:val="22"/>
                <w:lang w:val="en-US"/>
              </w:rPr>
            </w:pPr>
            <w:r w:rsidRPr="003966BE">
              <w:rPr>
                <w:rFonts w:ascii="Times New Roman" w:eastAsia="Times New Roman" w:hAnsi="Times New Roman"/>
                <w:bCs/>
                <w:sz w:val="22"/>
                <w:lang w:val="en-US" w:eastAsia="sv-SE"/>
              </w:rPr>
              <w:t>290–315</w:t>
            </w:r>
          </w:p>
        </w:tc>
        <w:tc>
          <w:tcPr>
            <w:tcW w:w="2663" w:type="dxa"/>
            <w:tcMar>
              <w:left w:w="28" w:type="dxa"/>
              <w:right w:w="28" w:type="dxa"/>
            </w:tcMar>
            <w:vAlign w:val="center"/>
          </w:tcPr>
          <w:p w14:paraId="4B67874A"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290–315</w:t>
            </w:r>
          </w:p>
        </w:tc>
        <w:tc>
          <w:tcPr>
            <w:tcW w:w="2368" w:type="dxa"/>
            <w:tcMar>
              <w:left w:w="28" w:type="dxa"/>
              <w:right w:w="28" w:type="dxa"/>
            </w:tcMar>
            <w:vAlign w:val="center"/>
          </w:tcPr>
          <w:p w14:paraId="5DBE0C94"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F</w:t>
            </w:r>
          </w:p>
        </w:tc>
      </w:tr>
      <w:tr w:rsidR="00C20A16" w:rsidRPr="003966BE" w14:paraId="217AE648" w14:textId="77777777" w:rsidTr="00254242">
        <w:trPr>
          <w:trHeight w:val="113"/>
          <w:jc w:val="center"/>
        </w:trPr>
        <w:tc>
          <w:tcPr>
            <w:tcW w:w="2121" w:type="dxa"/>
            <w:vMerge w:val="restart"/>
            <w:tcMar>
              <w:left w:w="28" w:type="dxa"/>
              <w:right w:w="28" w:type="dxa"/>
            </w:tcMar>
            <w:vAlign w:val="center"/>
          </w:tcPr>
          <w:p w14:paraId="0AC0D788" w14:textId="77777777" w:rsidR="00C20A16" w:rsidRPr="003966BE" w:rsidRDefault="00C20A16" w:rsidP="00254242">
            <w:pPr>
              <w:rPr>
                <w:rFonts w:ascii="Times New Roman" w:hAnsi="Times New Roman"/>
                <w:sz w:val="22"/>
                <w:lang w:val="en-US"/>
              </w:rPr>
            </w:pPr>
            <w:r w:rsidRPr="003966BE">
              <w:rPr>
                <w:rFonts w:ascii="Times New Roman" w:hAnsi="Times New Roman"/>
                <w:sz w:val="22"/>
                <w:lang w:val="en-US"/>
              </w:rPr>
              <w:t>Subtypes of psychiatric disorders</w:t>
            </w:r>
          </w:p>
        </w:tc>
        <w:tc>
          <w:tcPr>
            <w:tcW w:w="3093" w:type="dxa"/>
            <w:tcMar>
              <w:left w:w="28" w:type="dxa"/>
              <w:right w:w="28" w:type="dxa"/>
            </w:tcMar>
          </w:tcPr>
          <w:p w14:paraId="23192BD7" w14:textId="77777777" w:rsidR="00C20A16" w:rsidRPr="003966BE" w:rsidRDefault="00C20A16" w:rsidP="00254242">
            <w:pPr>
              <w:ind w:firstLine="34"/>
              <w:rPr>
                <w:rFonts w:ascii="Times New Roman" w:hAnsi="Times New Roman"/>
                <w:sz w:val="22"/>
                <w:lang w:val="en-US"/>
              </w:rPr>
            </w:pPr>
            <w:r w:rsidRPr="003966BE">
              <w:rPr>
                <w:rFonts w:ascii="Times New Roman" w:hAnsi="Times New Roman"/>
                <w:sz w:val="22"/>
                <w:lang w:val="en-US"/>
              </w:rPr>
              <w:t xml:space="preserve">Mood disorders, </w:t>
            </w:r>
            <w:r w:rsidRPr="003966BE">
              <w:rPr>
                <w:rFonts w:ascii="Times New Roman" w:hAnsi="Times New Roman"/>
                <w:i/>
                <w:sz w:val="22"/>
                <w:lang w:val="en-US"/>
              </w:rPr>
              <w:t>mainly including depressive disorder and bipolar disorder</w:t>
            </w:r>
          </w:p>
        </w:tc>
        <w:tc>
          <w:tcPr>
            <w:tcW w:w="2608" w:type="dxa"/>
            <w:tcMar>
              <w:left w:w="28" w:type="dxa"/>
              <w:right w:w="28" w:type="dxa"/>
            </w:tcMar>
            <w:vAlign w:val="center"/>
          </w:tcPr>
          <w:p w14:paraId="17B389C3"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296, 300.4</w:t>
            </w:r>
          </w:p>
        </w:tc>
        <w:tc>
          <w:tcPr>
            <w:tcW w:w="2663" w:type="dxa"/>
            <w:tcMar>
              <w:left w:w="28" w:type="dxa"/>
              <w:right w:w="28" w:type="dxa"/>
            </w:tcMar>
            <w:vAlign w:val="center"/>
          </w:tcPr>
          <w:p w14:paraId="5DB8A939"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296, 300E, 311</w:t>
            </w:r>
          </w:p>
        </w:tc>
        <w:tc>
          <w:tcPr>
            <w:tcW w:w="2368" w:type="dxa"/>
            <w:tcMar>
              <w:left w:w="28" w:type="dxa"/>
              <w:right w:w="28" w:type="dxa"/>
            </w:tcMar>
            <w:vAlign w:val="center"/>
          </w:tcPr>
          <w:p w14:paraId="1040D011"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F30-F39</w:t>
            </w:r>
          </w:p>
        </w:tc>
      </w:tr>
      <w:tr w:rsidR="00C20A16" w:rsidRPr="003966BE" w14:paraId="2037AAA3" w14:textId="77777777" w:rsidTr="00254242">
        <w:trPr>
          <w:trHeight w:val="113"/>
          <w:jc w:val="center"/>
        </w:trPr>
        <w:tc>
          <w:tcPr>
            <w:tcW w:w="2121" w:type="dxa"/>
            <w:vMerge/>
            <w:tcMar>
              <w:left w:w="28" w:type="dxa"/>
              <w:right w:w="28" w:type="dxa"/>
            </w:tcMar>
            <w:vAlign w:val="center"/>
          </w:tcPr>
          <w:p w14:paraId="02E1244A" w14:textId="77777777" w:rsidR="00C20A16" w:rsidRPr="003966BE" w:rsidRDefault="00C20A16" w:rsidP="00254242">
            <w:pPr>
              <w:ind w:firstLine="34"/>
              <w:rPr>
                <w:rFonts w:ascii="Times New Roman" w:hAnsi="Times New Roman"/>
                <w:sz w:val="22"/>
                <w:lang w:val="en-US"/>
              </w:rPr>
            </w:pPr>
          </w:p>
        </w:tc>
        <w:tc>
          <w:tcPr>
            <w:tcW w:w="3093" w:type="dxa"/>
            <w:tcMar>
              <w:left w:w="28" w:type="dxa"/>
              <w:right w:w="28" w:type="dxa"/>
            </w:tcMar>
          </w:tcPr>
          <w:p w14:paraId="1239CCFA" w14:textId="77777777" w:rsidR="00C20A16" w:rsidRPr="003966BE" w:rsidRDefault="00C20A16" w:rsidP="00254242">
            <w:pPr>
              <w:ind w:firstLine="34"/>
              <w:rPr>
                <w:rFonts w:ascii="Times New Roman" w:hAnsi="Times New Roman"/>
                <w:sz w:val="22"/>
                <w:lang w:val="en-US"/>
              </w:rPr>
            </w:pPr>
            <w:r w:rsidRPr="003966BE">
              <w:rPr>
                <w:rFonts w:ascii="Times New Roman" w:hAnsi="Times New Roman"/>
                <w:sz w:val="22"/>
                <w:lang w:val="en-US"/>
              </w:rPr>
              <w:t>Anxiety disorders</w:t>
            </w:r>
          </w:p>
        </w:tc>
        <w:tc>
          <w:tcPr>
            <w:tcW w:w="2608" w:type="dxa"/>
            <w:tcMar>
              <w:left w:w="28" w:type="dxa"/>
              <w:right w:w="28" w:type="dxa"/>
            </w:tcMar>
            <w:vAlign w:val="center"/>
          </w:tcPr>
          <w:p w14:paraId="4E795F19"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300.0, 300.2</w:t>
            </w:r>
          </w:p>
        </w:tc>
        <w:tc>
          <w:tcPr>
            <w:tcW w:w="2663" w:type="dxa"/>
            <w:tcMar>
              <w:left w:w="28" w:type="dxa"/>
              <w:right w:w="28" w:type="dxa"/>
            </w:tcMar>
            <w:vAlign w:val="center"/>
          </w:tcPr>
          <w:p w14:paraId="21422F7B"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300A, 300C</w:t>
            </w:r>
          </w:p>
        </w:tc>
        <w:tc>
          <w:tcPr>
            <w:tcW w:w="2368" w:type="dxa"/>
            <w:tcMar>
              <w:left w:w="28" w:type="dxa"/>
              <w:right w:w="28" w:type="dxa"/>
            </w:tcMar>
            <w:vAlign w:val="center"/>
          </w:tcPr>
          <w:p w14:paraId="03243CA8"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F40-F41</w:t>
            </w:r>
          </w:p>
        </w:tc>
      </w:tr>
      <w:tr w:rsidR="00C20A16" w:rsidRPr="003966BE" w14:paraId="32D4E34F" w14:textId="77777777" w:rsidTr="00254242">
        <w:trPr>
          <w:trHeight w:val="113"/>
          <w:jc w:val="center"/>
        </w:trPr>
        <w:tc>
          <w:tcPr>
            <w:tcW w:w="2121" w:type="dxa"/>
            <w:vMerge/>
            <w:tcMar>
              <w:left w:w="28" w:type="dxa"/>
              <w:right w:w="28" w:type="dxa"/>
            </w:tcMar>
            <w:vAlign w:val="center"/>
          </w:tcPr>
          <w:p w14:paraId="1299EC23" w14:textId="77777777" w:rsidR="00C20A16" w:rsidRPr="003966BE" w:rsidRDefault="00C20A16" w:rsidP="00254242">
            <w:pPr>
              <w:ind w:firstLine="34"/>
              <w:rPr>
                <w:rFonts w:ascii="Times New Roman" w:hAnsi="Times New Roman"/>
                <w:sz w:val="22"/>
                <w:lang w:val="en-US"/>
              </w:rPr>
            </w:pPr>
          </w:p>
        </w:tc>
        <w:tc>
          <w:tcPr>
            <w:tcW w:w="3093" w:type="dxa"/>
            <w:tcMar>
              <w:left w:w="28" w:type="dxa"/>
              <w:right w:w="28" w:type="dxa"/>
            </w:tcMar>
          </w:tcPr>
          <w:p w14:paraId="3604B8AE" w14:textId="77777777" w:rsidR="00C20A16" w:rsidRPr="003966BE" w:rsidRDefault="00C20A16" w:rsidP="00254242">
            <w:pPr>
              <w:ind w:firstLine="34"/>
              <w:rPr>
                <w:rFonts w:ascii="Times New Roman" w:hAnsi="Times New Roman"/>
                <w:sz w:val="22"/>
                <w:lang w:val="en-US"/>
              </w:rPr>
            </w:pPr>
            <w:r w:rsidRPr="003966BE">
              <w:rPr>
                <w:rFonts w:ascii="Times New Roman" w:hAnsi="Times New Roman"/>
                <w:sz w:val="22"/>
                <w:lang w:val="en-US"/>
              </w:rPr>
              <w:t>Stress-related disorder</w:t>
            </w:r>
          </w:p>
        </w:tc>
        <w:tc>
          <w:tcPr>
            <w:tcW w:w="2608" w:type="dxa"/>
            <w:tcMar>
              <w:left w:w="28" w:type="dxa"/>
              <w:right w:w="28" w:type="dxa"/>
            </w:tcMar>
            <w:vAlign w:val="center"/>
          </w:tcPr>
          <w:p w14:paraId="6E2DCD5D"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307, 308.4</w:t>
            </w:r>
          </w:p>
        </w:tc>
        <w:tc>
          <w:tcPr>
            <w:tcW w:w="2663" w:type="dxa"/>
            <w:tcMar>
              <w:left w:w="28" w:type="dxa"/>
              <w:right w:w="28" w:type="dxa"/>
            </w:tcMar>
            <w:vAlign w:val="center"/>
          </w:tcPr>
          <w:p w14:paraId="6E2C6709"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308, 309</w:t>
            </w:r>
          </w:p>
        </w:tc>
        <w:tc>
          <w:tcPr>
            <w:tcW w:w="2368" w:type="dxa"/>
            <w:tcMar>
              <w:left w:w="28" w:type="dxa"/>
              <w:right w:w="28" w:type="dxa"/>
            </w:tcMar>
            <w:vAlign w:val="center"/>
          </w:tcPr>
          <w:p w14:paraId="3879C705"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F43</w:t>
            </w:r>
          </w:p>
        </w:tc>
      </w:tr>
      <w:tr w:rsidR="00C20A16" w:rsidRPr="003966BE" w14:paraId="203859E0" w14:textId="77777777" w:rsidTr="00254242">
        <w:trPr>
          <w:trHeight w:val="113"/>
          <w:jc w:val="center"/>
        </w:trPr>
        <w:tc>
          <w:tcPr>
            <w:tcW w:w="2121" w:type="dxa"/>
            <w:vMerge/>
            <w:tcMar>
              <w:left w:w="28" w:type="dxa"/>
              <w:right w:w="28" w:type="dxa"/>
            </w:tcMar>
            <w:vAlign w:val="center"/>
          </w:tcPr>
          <w:p w14:paraId="2C211508" w14:textId="77777777" w:rsidR="00C20A16" w:rsidRPr="003966BE" w:rsidRDefault="00C20A16" w:rsidP="00254242">
            <w:pPr>
              <w:ind w:firstLine="34"/>
              <w:rPr>
                <w:rFonts w:ascii="Times New Roman" w:hAnsi="Times New Roman"/>
                <w:sz w:val="22"/>
                <w:lang w:val="en-US"/>
              </w:rPr>
            </w:pPr>
          </w:p>
        </w:tc>
        <w:tc>
          <w:tcPr>
            <w:tcW w:w="3093" w:type="dxa"/>
            <w:tcMar>
              <w:left w:w="28" w:type="dxa"/>
              <w:right w:w="28" w:type="dxa"/>
            </w:tcMar>
          </w:tcPr>
          <w:p w14:paraId="0C30AAC0" w14:textId="77777777" w:rsidR="00C20A16" w:rsidRPr="003966BE" w:rsidRDefault="00C20A16" w:rsidP="00254242">
            <w:pPr>
              <w:ind w:firstLine="34"/>
              <w:rPr>
                <w:rFonts w:ascii="Times New Roman" w:hAnsi="Times New Roman"/>
                <w:sz w:val="22"/>
                <w:lang w:val="en-US"/>
              </w:rPr>
            </w:pPr>
            <w:r w:rsidRPr="003966BE">
              <w:rPr>
                <w:rFonts w:ascii="Times New Roman" w:hAnsi="Times New Roman"/>
                <w:sz w:val="22"/>
                <w:lang w:val="en-US"/>
              </w:rPr>
              <w:t>Substance misuse</w:t>
            </w:r>
          </w:p>
        </w:tc>
        <w:tc>
          <w:tcPr>
            <w:tcW w:w="2608" w:type="dxa"/>
            <w:tcMar>
              <w:left w:w="28" w:type="dxa"/>
              <w:right w:w="28" w:type="dxa"/>
            </w:tcMar>
            <w:vAlign w:val="center"/>
          </w:tcPr>
          <w:p w14:paraId="42134F3B"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291, 303, 304</w:t>
            </w:r>
          </w:p>
        </w:tc>
        <w:tc>
          <w:tcPr>
            <w:tcW w:w="2663" w:type="dxa"/>
            <w:tcMar>
              <w:left w:w="28" w:type="dxa"/>
              <w:right w:w="28" w:type="dxa"/>
            </w:tcMar>
            <w:vAlign w:val="center"/>
          </w:tcPr>
          <w:p w14:paraId="79D36F35"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291, 303, 304, 305A, 305X</w:t>
            </w:r>
          </w:p>
        </w:tc>
        <w:tc>
          <w:tcPr>
            <w:tcW w:w="2368" w:type="dxa"/>
            <w:tcMar>
              <w:left w:w="28" w:type="dxa"/>
              <w:right w:w="28" w:type="dxa"/>
            </w:tcMar>
            <w:vAlign w:val="center"/>
          </w:tcPr>
          <w:p w14:paraId="3F5E5038"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F10-F19</w:t>
            </w:r>
          </w:p>
        </w:tc>
      </w:tr>
      <w:tr w:rsidR="00C20A16" w:rsidRPr="003966BE" w14:paraId="23E8F2EF" w14:textId="77777777" w:rsidTr="00254242">
        <w:trPr>
          <w:trHeight w:val="113"/>
          <w:jc w:val="center"/>
        </w:trPr>
        <w:tc>
          <w:tcPr>
            <w:tcW w:w="2121" w:type="dxa"/>
            <w:vMerge/>
            <w:tcMar>
              <w:left w:w="28" w:type="dxa"/>
              <w:right w:w="28" w:type="dxa"/>
            </w:tcMar>
            <w:vAlign w:val="center"/>
          </w:tcPr>
          <w:p w14:paraId="2CDC9E93" w14:textId="77777777" w:rsidR="00C20A16" w:rsidRPr="003966BE" w:rsidRDefault="00C20A16" w:rsidP="00254242">
            <w:pPr>
              <w:ind w:firstLine="34"/>
              <w:rPr>
                <w:rFonts w:ascii="Times New Roman" w:hAnsi="Times New Roman"/>
                <w:sz w:val="22"/>
                <w:lang w:val="en-US"/>
              </w:rPr>
            </w:pPr>
          </w:p>
        </w:tc>
        <w:tc>
          <w:tcPr>
            <w:tcW w:w="3093" w:type="dxa"/>
            <w:tcMar>
              <w:left w:w="28" w:type="dxa"/>
              <w:right w:w="28" w:type="dxa"/>
            </w:tcMar>
          </w:tcPr>
          <w:p w14:paraId="26BC29B9" w14:textId="77777777" w:rsidR="00C20A16" w:rsidRPr="003966BE" w:rsidRDefault="00C20A16" w:rsidP="00254242">
            <w:pPr>
              <w:ind w:firstLine="34"/>
              <w:rPr>
                <w:rFonts w:ascii="Times New Roman" w:hAnsi="Times New Roman"/>
                <w:sz w:val="22"/>
                <w:lang w:val="en-US"/>
              </w:rPr>
            </w:pPr>
            <w:r w:rsidRPr="003966BE">
              <w:rPr>
                <w:rFonts w:ascii="Times New Roman" w:hAnsi="Times New Roman"/>
                <w:sz w:val="22"/>
                <w:lang w:val="en-US"/>
              </w:rPr>
              <w:t>Psychotic disorder</w:t>
            </w:r>
          </w:p>
        </w:tc>
        <w:tc>
          <w:tcPr>
            <w:tcW w:w="2608" w:type="dxa"/>
            <w:tcMar>
              <w:left w:w="28" w:type="dxa"/>
              <w:right w:w="28" w:type="dxa"/>
            </w:tcMar>
            <w:vAlign w:val="center"/>
          </w:tcPr>
          <w:p w14:paraId="1B995A27"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295, 297, 298, 299</w:t>
            </w:r>
          </w:p>
        </w:tc>
        <w:tc>
          <w:tcPr>
            <w:tcW w:w="2663" w:type="dxa"/>
            <w:tcMar>
              <w:left w:w="28" w:type="dxa"/>
              <w:right w:w="28" w:type="dxa"/>
            </w:tcMar>
            <w:vAlign w:val="center"/>
          </w:tcPr>
          <w:p w14:paraId="652449A1"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295, 297, 298,</w:t>
            </w:r>
          </w:p>
        </w:tc>
        <w:tc>
          <w:tcPr>
            <w:tcW w:w="2368" w:type="dxa"/>
            <w:tcMar>
              <w:left w:w="28" w:type="dxa"/>
              <w:right w:w="28" w:type="dxa"/>
            </w:tcMar>
            <w:vAlign w:val="center"/>
          </w:tcPr>
          <w:p w14:paraId="3C299FEC" w14:textId="77777777" w:rsidR="00C20A16" w:rsidRPr="003966BE" w:rsidRDefault="00C20A16" w:rsidP="00254242">
            <w:pPr>
              <w:ind w:firstLine="34"/>
              <w:jc w:val="center"/>
              <w:rPr>
                <w:rFonts w:ascii="Times New Roman" w:hAnsi="Times New Roman"/>
                <w:sz w:val="22"/>
                <w:lang w:val="en-US"/>
              </w:rPr>
            </w:pPr>
            <w:r w:rsidRPr="003966BE">
              <w:rPr>
                <w:rFonts w:ascii="Times New Roman" w:hAnsi="Times New Roman"/>
                <w:sz w:val="22"/>
                <w:lang w:val="en-US"/>
              </w:rPr>
              <w:t>F20-F29</w:t>
            </w:r>
          </w:p>
        </w:tc>
      </w:tr>
      <w:tr w:rsidR="00C20A16" w:rsidRPr="003966BE" w14:paraId="1DD234C8" w14:textId="77777777" w:rsidTr="00254242">
        <w:trPr>
          <w:trHeight w:val="113"/>
          <w:jc w:val="center"/>
        </w:trPr>
        <w:tc>
          <w:tcPr>
            <w:tcW w:w="2121" w:type="dxa"/>
            <w:tcMar>
              <w:left w:w="28" w:type="dxa"/>
              <w:right w:w="28" w:type="dxa"/>
            </w:tcMar>
          </w:tcPr>
          <w:p w14:paraId="3ABC7844" w14:textId="77777777" w:rsidR="00C20A16" w:rsidRPr="003966BE" w:rsidRDefault="00C20A16" w:rsidP="00254242">
            <w:pPr>
              <w:rPr>
                <w:rFonts w:ascii="Times New Roman" w:eastAsia="Times New Roman" w:hAnsi="Times New Roman"/>
                <w:bCs/>
                <w:sz w:val="22"/>
                <w:u w:val="single"/>
                <w:lang w:eastAsia="sv-SE"/>
              </w:rPr>
            </w:pPr>
            <w:r w:rsidRPr="003966BE">
              <w:rPr>
                <w:rFonts w:ascii="Times New Roman" w:eastAsia="Times New Roman" w:hAnsi="Times New Roman"/>
                <w:b/>
                <w:bCs/>
                <w:sz w:val="22"/>
                <w:u w:val="single"/>
                <w:lang w:val="en-US" w:eastAsia="sv-SE"/>
              </w:rPr>
              <w:t>Covariates</w:t>
            </w:r>
          </w:p>
        </w:tc>
        <w:tc>
          <w:tcPr>
            <w:tcW w:w="3093" w:type="dxa"/>
          </w:tcPr>
          <w:p w14:paraId="6B5EA071" w14:textId="77777777" w:rsidR="00C20A16" w:rsidRPr="003966BE" w:rsidRDefault="00C20A16" w:rsidP="00254242">
            <w:pPr>
              <w:rPr>
                <w:rFonts w:ascii="Times New Roman" w:eastAsia="Times New Roman" w:hAnsi="Times New Roman"/>
                <w:bCs/>
                <w:sz w:val="22"/>
                <w:lang w:eastAsia="sv-SE"/>
              </w:rPr>
            </w:pPr>
          </w:p>
        </w:tc>
        <w:tc>
          <w:tcPr>
            <w:tcW w:w="2608" w:type="dxa"/>
          </w:tcPr>
          <w:p w14:paraId="283E03CA" w14:textId="77777777" w:rsidR="00C20A16" w:rsidRPr="003966BE" w:rsidRDefault="00C20A16" w:rsidP="00254242">
            <w:pPr>
              <w:rPr>
                <w:rFonts w:ascii="Times New Roman" w:eastAsia="Times New Roman" w:hAnsi="Times New Roman"/>
                <w:bCs/>
                <w:sz w:val="22"/>
                <w:lang w:val="en-US" w:eastAsia="sv-SE"/>
              </w:rPr>
            </w:pPr>
          </w:p>
        </w:tc>
        <w:tc>
          <w:tcPr>
            <w:tcW w:w="2663" w:type="dxa"/>
            <w:tcMar>
              <w:left w:w="28" w:type="dxa"/>
              <w:right w:w="28" w:type="dxa"/>
            </w:tcMar>
            <w:vAlign w:val="center"/>
          </w:tcPr>
          <w:p w14:paraId="6E243638" w14:textId="77777777" w:rsidR="00C20A16" w:rsidRPr="003966BE" w:rsidRDefault="00C20A16" w:rsidP="00254242">
            <w:pPr>
              <w:rPr>
                <w:rFonts w:ascii="Times New Roman" w:eastAsia="Times New Roman" w:hAnsi="Times New Roman"/>
                <w:bCs/>
                <w:sz w:val="22"/>
                <w:lang w:val="en-US" w:eastAsia="sv-SE"/>
              </w:rPr>
            </w:pPr>
          </w:p>
        </w:tc>
        <w:tc>
          <w:tcPr>
            <w:tcW w:w="2368" w:type="dxa"/>
            <w:tcMar>
              <w:left w:w="28" w:type="dxa"/>
              <w:right w:w="28" w:type="dxa"/>
            </w:tcMar>
            <w:vAlign w:val="center"/>
          </w:tcPr>
          <w:p w14:paraId="7E40FA60" w14:textId="77777777" w:rsidR="00C20A16" w:rsidRPr="003966BE" w:rsidRDefault="00C20A16" w:rsidP="00254242">
            <w:pPr>
              <w:ind w:firstLine="34"/>
              <w:jc w:val="center"/>
              <w:rPr>
                <w:rFonts w:ascii="Times New Roman" w:hAnsi="Times New Roman"/>
                <w:sz w:val="22"/>
                <w:lang w:val="en-US"/>
              </w:rPr>
            </w:pPr>
          </w:p>
        </w:tc>
      </w:tr>
      <w:tr w:rsidR="00C20A16" w:rsidRPr="003966BE" w14:paraId="3FF1B97D" w14:textId="77777777" w:rsidTr="00254242">
        <w:trPr>
          <w:trHeight w:val="113"/>
          <w:jc w:val="center"/>
        </w:trPr>
        <w:tc>
          <w:tcPr>
            <w:tcW w:w="2121" w:type="dxa"/>
            <w:vMerge w:val="restart"/>
            <w:tcMar>
              <w:left w:w="28" w:type="dxa"/>
              <w:right w:w="28" w:type="dxa"/>
            </w:tcMar>
            <w:vAlign w:val="center"/>
          </w:tcPr>
          <w:p w14:paraId="243F9288"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History of severe somatic conditions</w:t>
            </w:r>
          </w:p>
        </w:tc>
        <w:tc>
          <w:tcPr>
            <w:tcW w:w="3093" w:type="dxa"/>
            <w:tcMar>
              <w:left w:w="28" w:type="dxa"/>
              <w:right w:w="28" w:type="dxa"/>
            </w:tcMar>
          </w:tcPr>
          <w:p w14:paraId="35E535E3"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Myocardial infarction</w:t>
            </w:r>
          </w:p>
        </w:tc>
        <w:tc>
          <w:tcPr>
            <w:tcW w:w="2608" w:type="dxa"/>
            <w:tcMar>
              <w:left w:w="28" w:type="dxa"/>
              <w:right w:w="28" w:type="dxa"/>
            </w:tcMar>
          </w:tcPr>
          <w:p w14:paraId="35510E12"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410</w:t>
            </w:r>
          </w:p>
        </w:tc>
        <w:tc>
          <w:tcPr>
            <w:tcW w:w="2663" w:type="dxa"/>
            <w:tcMar>
              <w:left w:w="28" w:type="dxa"/>
              <w:right w:w="28" w:type="dxa"/>
            </w:tcMar>
          </w:tcPr>
          <w:p w14:paraId="0195A2C2"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410,412</w:t>
            </w:r>
          </w:p>
        </w:tc>
        <w:tc>
          <w:tcPr>
            <w:tcW w:w="2368" w:type="dxa"/>
            <w:tcMar>
              <w:left w:w="28" w:type="dxa"/>
              <w:right w:w="28" w:type="dxa"/>
            </w:tcMar>
          </w:tcPr>
          <w:p w14:paraId="64919443"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I21, I22, I25.2</w:t>
            </w:r>
          </w:p>
        </w:tc>
      </w:tr>
      <w:tr w:rsidR="00C20A16" w:rsidRPr="003966BE" w14:paraId="1FCF3541" w14:textId="77777777" w:rsidTr="00254242">
        <w:trPr>
          <w:trHeight w:val="113"/>
          <w:jc w:val="center"/>
        </w:trPr>
        <w:tc>
          <w:tcPr>
            <w:tcW w:w="2121" w:type="dxa"/>
            <w:vMerge/>
            <w:tcMar>
              <w:left w:w="28" w:type="dxa"/>
              <w:right w:w="28" w:type="dxa"/>
            </w:tcMar>
          </w:tcPr>
          <w:p w14:paraId="3765CBF9"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574EE7F2"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Congestive heart failure</w:t>
            </w:r>
          </w:p>
        </w:tc>
        <w:tc>
          <w:tcPr>
            <w:tcW w:w="2608" w:type="dxa"/>
            <w:tcMar>
              <w:left w:w="28" w:type="dxa"/>
              <w:right w:w="28" w:type="dxa"/>
            </w:tcMar>
          </w:tcPr>
          <w:p w14:paraId="09251C9D"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427.00-427.27, 428.99</w:t>
            </w:r>
          </w:p>
        </w:tc>
        <w:tc>
          <w:tcPr>
            <w:tcW w:w="2663" w:type="dxa"/>
            <w:tcMar>
              <w:left w:w="28" w:type="dxa"/>
              <w:right w:w="28" w:type="dxa"/>
            </w:tcMar>
          </w:tcPr>
          <w:p w14:paraId="6FC76383"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428</w:t>
            </w:r>
          </w:p>
        </w:tc>
        <w:tc>
          <w:tcPr>
            <w:tcW w:w="2368" w:type="dxa"/>
            <w:tcMar>
              <w:left w:w="28" w:type="dxa"/>
              <w:right w:w="28" w:type="dxa"/>
            </w:tcMar>
          </w:tcPr>
          <w:p w14:paraId="4F41866F"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I50</w:t>
            </w:r>
          </w:p>
        </w:tc>
      </w:tr>
      <w:tr w:rsidR="00C20A16" w:rsidRPr="003966BE" w14:paraId="246DAD69" w14:textId="77777777" w:rsidTr="00254242">
        <w:trPr>
          <w:trHeight w:val="113"/>
          <w:jc w:val="center"/>
        </w:trPr>
        <w:tc>
          <w:tcPr>
            <w:tcW w:w="2121" w:type="dxa"/>
            <w:vMerge/>
            <w:tcMar>
              <w:left w:w="28" w:type="dxa"/>
              <w:right w:w="28" w:type="dxa"/>
            </w:tcMar>
          </w:tcPr>
          <w:p w14:paraId="6B3ACBCA"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49A8E1AB"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Cerebrovascular disease</w:t>
            </w:r>
          </w:p>
        </w:tc>
        <w:tc>
          <w:tcPr>
            <w:tcW w:w="2608" w:type="dxa"/>
            <w:tcMar>
              <w:left w:w="28" w:type="dxa"/>
              <w:right w:w="28" w:type="dxa"/>
            </w:tcMar>
          </w:tcPr>
          <w:p w14:paraId="6EE63C81"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430-438</w:t>
            </w:r>
          </w:p>
        </w:tc>
        <w:tc>
          <w:tcPr>
            <w:tcW w:w="2663" w:type="dxa"/>
            <w:tcMar>
              <w:left w:w="28" w:type="dxa"/>
              <w:right w:w="28" w:type="dxa"/>
            </w:tcMar>
          </w:tcPr>
          <w:p w14:paraId="11AC0379"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430-438</w:t>
            </w:r>
          </w:p>
        </w:tc>
        <w:tc>
          <w:tcPr>
            <w:tcW w:w="2368" w:type="dxa"/>
            <w:tcMar>
              <w:left w:w="28" w:type="dxa"/>
              <w:right w:w="28" w:type="dxa"/>
            </w:tcMar>
          </w:tcPr>
          <w:p w14:paraId="0F0DEDEF"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G45, G46, I60-I69</w:t>
            </w:r>
          </w:p>
        </w:tc>
      </w:tr>
      <w:tr w:rsidR="00C20A16" w:rsidRPr="003966BE" w14:paraId="3DC455F9" w14:textId="77777777" w:rsidTr="00254242">
        <w:trPr>
          <w:trHeight w:val="113"/>
          <w:jc w:val="center"/>
        </w:trPr>
        <w:tc>
          <w:tcPr>
            <w:tcW w:w="2121" w:type="dxa"/>
            <w:vMerge/>
            <w:tcMar>
              <w:left w:w="28" w:type="dxa"/>
              <w:right w:w="28" w:type="dxa"/>
            </w:tcMar>
          </w:tcPr>
          <w:p w14:paraId="1EA268D7"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579CD5D3"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Chronic pulmonary disease</w:t>
            </w:r>
          </w:p>
        </w:tc>
        <w:tc>
          <w:tcPr>
            <w:tcW w:w="2608" w:type="dxa"/>
            <w:tcMar>
              <w:left w:w="28" w:type="dxa"/>
              <w:right w:w="28" w:type="dxa"/>
            </w:tcMar>
          </w:tcPr>
          <w:p w14:paraId="36C3D1B3"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460-466, 490-493, 502-508</w:t>
            </w:r>
          </w:p>
        </w:tc>
        <w:tc>
          <w:tcPr>
            <w:tcW w:w="2663" w:type="dxa"/>
            <w:tcMar>
              <w:left w:w="28" w:type="dxa"/>
              <w:right w:w="28" w:type="dxa"/>
            </w:tcMar>
          </w:tcPr>
          <w:p w14:paraId="115095E6"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490-496</w:t>
            </w:r>
          </w:p>
        </w:tc>
        <w:tc>
          <w:tcPr>
            <w:tcW w:w="2368" w:type="dxa"/>
            <w:tcMar>
              <w:left w:w="28" w:type="dxa"/>
              <w:right w:w="28" w:type="dxa"/>
            </w:tcMar>
          </w:tcPr>
          <w:p w14:paraId="5B93522C"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J40-J47</w:t>
            </w:r>
          </w:p>
        </w:tc>
      </w:tr>
      <w:tr w:rsidR="00C20A16" w:rsidRPr="003966BE" w14:paraId="288145C2" w14:textId="77777777" w:rsidTr="00254242">
        <w:trPr>
          <w:trHeight w:val="113"/>
          <w:jc w:val="center"/>
        </w:trPr>
        <w:tc>
          <w:tcPr>
            <w:tcW w:w="2121" w:type="dxa"/>
            <w:vMerge/>
            <w:tcMar>
              <w:left w:w="28" w:type="dxa"/>
              <w:right w:w="28" w:type="dxa"/>
            </w:tcMar>
          </w:tcPr>
          <w:p w14:paraId="30231231"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4C7DA862"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Connective tissue disease</w:t>
            </w:r>
          </w:p>
        </w:tc>
        <w:tc>
          <w:tcPr>
            <w:tcW w:w="2608" w:type="dxa"/>
            <w:tcMar>
              <w:left w:w="28" w:type="dxa"/>
              <w:right w:w="28" w:type="dxa"/>
            </w:tcMar>
          </w:tcPr>
          <w:p w14:paraId="0BB1957D"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710-718</w:t>
            </w:r>
          </w:p>
        </w:tc>
        <w:tc>
          <w:tcPr>
            <w:tcW w:w="2663" w:type="dxa"/>
            <w:tcMar>
              <w:left w:w="28" w:type="dxa"/>
              <w:right w:w="28" w:type="dxa"/>
            </w:tcMar>
          </w:tcPr>
          <w:p w14:paraId="36C0A6BD"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710A, 710B, 710E, 714A, 714B, 714C, 714W,714X, 725</w:t>
            </w:r>
          </w:p>
        </w:tc>
        <w:tc>
          <w:tcPr>
            <w:tcW w:w="2368" w:type="dxa"/>
            <w:tcMar>
              <w:left w:w="28" w:type="dxa"/>
              <w:right w:w="28" w:type="dxa"/>
            </w:tcMar>
          </w:tcPr>
          <w:p w14:paraId="17C981B2"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M05, M06, M32-M34, M35.1, M35.3</w:t>
            </w:r>
          </w:p>
        </w:tc>
      </w:tr>
      <w:tr w:rsidR="00C20A16" w:rsidRPr="003966BE" w14:paraId="1E968EF6" w14:textId="77777777" w:rsidTr="00254242">
        <w:trPr>
          <w:trHeight w:val="113"/>
          <w:jc w:val="center"/>
        </w:trPr>
        <w:tc>
          <w:tcPr>
            <w:tcW w:w="2121" w:type="dxa"/>
            <w:vMerge/>
            <w:tcMar>
              <w:left w:w="28" w:type="dxa"/>
              <w:right w:w="28" w:type="dxa"/>
            </w:tcMar>
          </w:tcPr>
          <w:p w14:paraId="025DF0E2"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68EEB390"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Diabetes</w:t>
            </w:r>
          </w:p>
        </w:tc>
        <w:tc>
          <w:tcPr>
            <w:tcW w:w="2608" w:type="dxa"/>
            <w:tcMar>
              <w:left w:w="28" w:type="dxa"/>
              <w:right w:w="28" w:type="dxa"/>
            </w:tcMar>
          </w:tcPr>
          <w:p w14:paraId="286B94A0"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250.00</w:t>
            </w:r>
          </w:p>
        </w:tc>
        <w:tc>
          <w:tcPr>
            <w:tcW w:w="2663" w:type="dxa"/>
            <w:tcMar>
              <w:left w:w="28" w:type="dxa"/>
              <w:right w:w="28" w:type="dxa"/>
            </w:tcMar>
          </w:tcPr>
          <w:p w14:paraId="42318B87"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250</w:t>
            </w:r>
          </w:p>
        </w:tc>
        <w:tc>
          <w:tcPr>
            <w:tcW w:w="2368" w:type="dxa"/>
            <w:tcMar>
              <w:left w:w="28" w:type="dxa"/>
              <w:right w:w="28" w:type="dxa"/>
            </w:tcMar>
          </w:tcPr>
          <w:p w14:paraId="01C285E0"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E10-E14</w:t>
            </w:r>
          </w:p>
        </w:tc>
      </w:tr>
      <w:tr w:rsidR="00C20A16" w:rsidRPr="003966BE" w14:paraId="3A3E6C7F" w14:textId="77777777" w:rsidTr="00254242">
        <w:trPr>
          <w:trHeight w:val="113"/>
          <w:jc w:val="center"/>
        </w:trPr>
        <w:tc>
          <w:tcPr>
            <w:tcW w:w="2121" w:type="dxa"/>
            <w:vMerge/>
            <w:tcMar>
              <w:left w:w="28" w:type="dxa"/>
              <w:right w:w="28" w:type="dxa"/>
            </w:tcMar>
          </w:tcPr>
          <w:p w14:paraId="10F729C5"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750A3019"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Renal diseases</w:t>
            </w:r>
          </w:p>
        </w:tc>
        <w:tc>
          <w:tcPr>
            <w:tcW w:w="2608" w:type="dxa"/>
            <w:tcMar>
              <w:left w:w="28" w:type="dxa"/>
              <w:right w:w="28" w:type="dxa"/>
            </w:tcMar>
          </w:tcPr>
          <w:p w14:paraId="22E41E81"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580-584, 590</w:t>
            </w:r>
          </w:p>
        </w:tc>
        <w:tc>
          <w:tcPr>
            <w:tcW w:w="2663" w:type="dxa"/>
            <w:tcMar>
              <w:left w:w="28" w:type="dxa"/>
              <w:right w:w="28" w:type="dxa"/>
            </w:tcMar>
          </w:tcPr>
          <w:p w14:paraId="2472F23D"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582,583</w:t>
            </w:r>
          </w:p>
        </w:tc>
        <w:tc>
          <w:tcPr>
            <w:tcW w:w="2368" w:type="dxa"/>
            <w:tcMar>
              <w:left w:w="28" w:type="dxa"/>
              <w:right w:w="28" w:type="dxa"/>
            </w:tcMar>
          </w:tcPr>
          <w:p w14:paraId="68C3CA8D"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N01, N03, N05.2-N05.7</w:t>
            </w:r>
          </w:p>
        </w:tc>
      </w:tr>
      <w:tr w:rsidR="00C20A16" w:rsidRPr="003966BE" w14:paraId="2B89BEA1" w14:textId="77777777" w:rsidTr="00254242">
        <w:trPr>
          <w:trHeight w:val="113"/>
          <w:jc w:val="center"/>
        </w:trPr>
        <w:tc>
          <w:tcPr>
            <w:tcW w:w="2121" w:type="dxa"/>
            <w:vMerge/>
            <w:tcMar>
              <w:left w:w="28" w:type="dxa"/>
              <w:right w:w="28" w:type="dxa"/>
            </w:tcMar>
          </w:tcPr>
          <w:p w14:paraId="07D525D9"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1719A3EA"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Liver diseases</w:t>
            </w:r>
          </w:p>
        </w:tc>
        <w:tc>
          <w:tcPr>
            <w:tcW w:w="2608" w:type="dxa"/>
            <w:tcMar>
              <w:left w:w="28" w:type="dxa"/>
              <w:right w:w="28" w:type="dxa"/>
            </w:tcMar>
          </w:tcPr>
          <w:p w14:paraId="4DB216AF"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570-576</w:t>
            </w:r>
          </w:p>
        </w:tc>
        <w:tc>
          <w:tcPr>
            <w:tcW w:w="2663" w:type="dxa"/>
            <w:tcMar>
              <w:left w:w="28" w:type="dxa"/>
              <w:right w:w="28" w:type="dxa"/>
            </w:tcMar>
          </w:tcPr>
          <w:p w14:paraId="441D06C6"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571C, 571E,571F, 571G, 572C, 572D, 572E, 572W, 456A, 456B, 456C</w:t>
            </w:r>
          </w:p>
        </w:tc>
        <w:tc>
          <w:tcPr>
            <w:tcW w:w="2368" w:type="dxa"/>
            <w:tcMar>
              <w:left w:w="28" w:type="dxa"/>
              <w:right w:w="28" w:type="dxa"/>
            </w:tcMar>
          </w:tcPr>
          <w:p w14:paraId="2899B38C"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K70.2-K70.4, K71.7, K72.1, K72.9, K73, K74, K76.6, K76.7</w:t>
            </w:r>
          </w:p>
        </w:tc>
      </w:tr>
      <w:tr w:rsidR="00C20A16" w:rsidRPr="003966BE" w14:paraId="2B56B0CC" w14:textId="77777777" w:rsidTr="00254242">
        <w:trPr>
          <w:trHeight w:val="113"/>
          <w:jc w:val="center"/>
        </w:trPr>
        <w:tc>
          <w:tcPr>
            <w:tcW w:w="2121" w:type="dxa"/>
            <w:vMerge/>
            <w:tcMar>
              <w:left w:w="28" w:type="dxa"/>
              <w:right w:w="28" w:type="dxa"/>
            </w:tcMar>
          </w:tcPr>
          <w:p w14:paraId="5E62E5E0"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1319B5D8"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Ulcer diseases</w:t>
            </w:r>
          </w:p>
        </w:tc>
        <w:tc>
          <w:tcPr>
            <w:tcW w:w="2608" w:type="dxa"/>
            <w:tcMar>
              <w:left w:w="28" w:type="dxa"/>
              <w:right w:w="28" w:type="dxa"/>
            </w:tcMar>
          </w:tcPr>
          <w:p w14:paraId="5C61CF6C"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530.93, 531-534</w:t>
            </w:r>
          </w:p>
        </w:tc>
        <w:tc>
          <w:tcPr>
            <w:tcW w:w="2663" w:type="dxa"/>
            <w:tcMar>
              <w:left w:w="28" w:type="dxa"/>
              <w:right w:w="28" w:type="dxa"/>
            </w:tcMar>
          </w:tcPr>
          <w:p w14:paraId="2F5F45AA"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531-534</w:t>
            </w:r>
          </w:p>
        </w:tc>
        <w:tc>
          <w:tcPr>
            <w:tcW w:w="2368" w:type="dxa"/>
            <w:tcMar>
              <w:left w:w="28" w:type="dxa"/>
              <w:right w:w="28" w:type="dxa"/>
            </w:tcMar>
          </w:tcPr>
          <w:p w14:paraId="75006604"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K25-K28</w:t>
            </w:r>
          </w:p>
        </w:tc>
      </w:tr>
      <w:tr w:rsidR="00C20A16" w:rsidRPr="003966BE" w14:paraId="3A197D25" w14:textId="77777777" w:rsidTr="00254242">
        <w:trPr>
          <w:trHeight w:val="113"/>
          <w:jc w:val="center"/>
        </w:trPr>
        <w:tc>
          <w:tcPr>
            <w:tcW w:w="2121" w:type="dxa"/>
            <w:vMerge/>
            <w:tcMar>
              <w:left w:w="28" w:type="dxa"/>
              <w:right w:w="28" w:type="dxa"/>
            </w:tcMar>
          </w:tcPr>
          <w:p w14:paraId="37C95A00" w14:textId="77777777" w:rsidR="00C20A16" w:rsidRPr="003966BE" w:rsidRDefault="00C20A16" w:rsidP="00254242">
            <w:pPr>
              <w:rPr>
                <w:rFonts w:ascii="Times New Roman" w:eastAsia="Times New Roman" w:hAnsi="Times New Roman"/>
                <w:bCs/>
                <w:sz w:val="22"/>
                <w:lang w:val="en-US" w:eastAsia="sv-SE"/>
              </w:rPr>
            </w:pPr>
          </w:p>
        </w:tc>
        <w:tc>
          <w:tcPr>
            <w:tcW w:w="3093" w:type="dxa"/>
            <w:tcMar>
              <w:left w:w="28" w:type="dxa"/>
              <w:right w:w="28" w:type="dxa"/>
            </w:tcMar>
          </w:tcPr>
          <w:p w14:paraId="428E8E50" w14:textId="77777777" w:rsidR="00C20A16" w:rsidRPr="003966BE" w:rsidRDefault="00C20A16" w:rsidP="00254242">
            <w:pP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HIV infection/AIDS</w:t>
            </w:r>
          </w:p>
        </w:tc>
        <w:tc>
          <w:tcPr>
            <w:tcW w:w="2608" w:type="dxa"/>
            <w:tcMar>
              <w:left w:w="28" w:type="dxa"/>
              <w:right w:w="28" w:type="dxa"/>
            </w:tcMar>
          </w:tcPr>
          <w:p w14:paraId="71F66482"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w:t>
            </w:r>
          </w:p>
        </w:tc>
        <w:tc>
          <w:tcPr>
            <w:tcW w:w="2663" w:type="dxa"/>
            <w:tcMar>
              <w:left w:w="28" w:type="dxa"/>
              <w:right w:w="28" w:type="dxa"/>
            </w:tcMar>
          </w:tcPr>
          <w:p w14:paraId="147ABA14"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042-044</w:t>
            </w:r>
          </w:p>
        </w:tc>
        <w:tc>
          <w:tcPr>
            <w:tcW w:w="2368" w:type="dxa"/>
            <w:tcMar>
              <w:left w:w="28" w:type="dxa"/>
              <w:right w:w="28" w:type="dxa"/>
            </w:tcMar>
          </w:tcPr>
          <w:p w14:paraId="434145A4" w14:textId="77777777" w:rsidR="00C20A16" w:rsidRPr="003966BE" w:rsidRDefault="00C20A16" w:rsidP="00254242">
            <w:pPr>
              <w:jc w:val="center"/>
              <w:rPr>
                <w:rFonts w:ascii="Times New Roman" w:eastAsia="Times New Roman" w:hAnsi="Times New Roman"/>
                <w:bCs/>
                <w:sz w:val="22"/>
                <w:lang w:val="en-US" w:eastAsia="sv-SE"/>
              </w:rPr>
            </w:pPr>
            <w:r w:rsidRPr="003966BE">
              <w:rPr>
                <w:rFonts w:ascii="Times New Roman" w:eastAsia="Times New Roman" w:hAnsi="Times New Roman"/>
                <w:bCs/>
                <w:sz w:val="22"/>
                <w:lang w:val="en-US" w:eastAsia="sv-SE"/>
              </w:rPr>
              <w:t>B20-B24</w:t>
            </w:r>
          </w:p>
        </w:tc>
      </w:tr>
    </w:tbl>
    <w:p w14:paraId="6144CD34" w14:textId="77777777" w:rsidR="00C20A16" w:rsidRDefault="00C20A16" w:rsidP="00B9440A">
      <w:pPr>
        <w:pStyle w:val="SMHeading"/>
      </w:pPr>
      <w:r>
        <w:br w:type="page"/>
      </w:r>
    </w:p>
    <w:p w14:paraId="0EC3F845" w14:textId="5B4C4689" w:rsidR="00C16473" w:rsidRPr="006D5DAA" w:rsidRDefault="00C84D86" w:rsidP="00C16473">
      <w:pPr>
        <w:suppressAutoHyphens/>
        <w:autoSpaceDE w:val="0"/>
        <w:autoSpaceDN w:val="0"/>
        <w:textAlignment w:val="baseline"/>
        <w:rPr>
          <w:rFonts w:eastAsia="Times New Roman"/>
          <w:b/>
          <w:szCs w:val="24"/>
          <w:lang w:eastAsia="sv-SE"/>
        </w:rPr>
      </w:pPr>
      <w:r w:rsidRPr="00C84D86">
        <w:rPr>
          <w:rFonts w:eastAsia="Times New Roman"/>
          <w:b/>
          <w:szCs w:val="24"/>
          <w:lang w:eastAsia="sv-SE"/>
        </w:rPr>
        <w:lastRenderedPageBreak/>
        <w:t>Supplementary</w:t>
      </w:r>
      <w:r w:rsidRPr="00C84D86">
        <w:rPr>
          <w:rFonts w:eastAsia="Times New Roman"/>
          <w:b/>
          <w:szCs w:val="24"/>
          <w:lang w:eastAsia="sv-SE"/>
        </w:rPr>
        <w:t xml:space="preserve"> </w:t>
      </w:r>
      <w:r w:rsidR="00C16473" w:rsidRPr="006D5DAA">
        <w:rPr>
          <w:rFonts w:eastAsia="Times New Roman"/>
          <w:b/>
          <w:szCs w:val="24"/>
          <w:lang w:eastAsia="sv-SE"/>
        </w:rPr>
        <w:t xml:space="preserve">Table </w:t>
      </w:r>
      <w:r w:rsidR="00C16473">
        <w:rPr>
          <w:rFonts w:eastAsia="Times New Roman"/>
          <w:b/>
          <w:szCs w:val="24"/>
          <w:lang w:eastAsia="sv-SE"/>
        </w:rPr>
        <w:t>2.</w:t>
      </w:r>
      <w:r w:rsidR="00C16473" w:rsidRPr="006D5DAA">
        <w:rPr>
          <w:rFonts w:eastAsia="Times New Roman"/>
          <w:b/>
          <w:szCs w:val="24"/>
          <w:lang w:eastAsia="sv-SE"/>
        </w:rPr>
        <w:t xml:space="preserve"> Hazard ratios (HRs) with 95% confidence intervals (CIs) for any psychiatric disorder among the surviving twins after co-twin loss, compared to matched unexposed twins or their full siblings</w:t>
      </w:r>
      <w:r w:rsidR="00C16473">
        <w:rPr>
          <w:rFonts w:eastAsia="Times New Roman"/>
          <w:b/>
          <w:szCs w:val="24"/>
          <w:lang w:eastAsia="sv-SE"/>
        </w:rPr>
        <w:t>,</w:t>
      </w:r>
      <w:r w:rsidR="00C16473" w:rsidRPr="006D5DAA">
        <w:rPr>
          <w:rFonts w:eastAsia="Times New Roman"/>
          <w:b/>
          <w:szCs w:val="24"/>
          <w:lang w:eastAsia="sv-SE"/>
        </w:rPr>
        <w:t xml:space="preserve"> by different characteristics</w:t>
      </w:r>
    </w:p>
    <w:p w14:paraId="0F1814FC" w14:textId="77777777" w:rsidR="00C16473" w:rsidRPr="008055A7" w:rsidRDefault="00C16473" w:rsidP="00C16473">
      <w:pPr>
        <w:suppressAutoHyphens/>
        <w:autoSpaceDE w:val="0"/>
        <w:autoSpaceDN w:val="0"/>
        <w:textAlignment w:val="baseline"/>
        <w:rPr>
          <w:rFonts w:eastAsia="Times New Roman"/>
          <w:lang w:eastAsia="sv-SE"/>
        </w:rPr>
      </w:pPr>
    </w:p>
    <w:tbl>
      <w:tblPr>
        <w:tblW w:w="10768" w:type="dxa"/>
        <w:jc w:val="center"/>
        <w:tblBorders>
          <w:top w:val="single" w:sz="4" w:space="0" w:color="auto"/>
          <w:bottom w:val="single" w:sz="4" w:space="0" w:color="auto"/>
        </w:tblBorders>
        <w:tblLayout w:type="fixed"/>
        <w:tblLook w:val="04A0" w:firstRow="1" w:lastRow="0" w:firstColumn="1" w:lastColumn="0" w:noHBand="0" w:noVBand="1"/>
      </w:tblPr>
      <w:tblGrid>
        <w:gridCol w:w="2836"/>
        <w:gridCol w:w="2261"/>
        <w:gridCol w:w="1763"/>
        <w:gridCol w:w="2207"/>
        <w:gridCol w:w="1701"/>
      </w:tblGrid>
      <w:tr w:rsidR="00C16473" w:rsidRPr="008A7B02" w14:paraId="18162965" w14:textId="77777777" w:rsidTr="008E13E4">
        <w:trPr>
          <w:tblHeader/>
          <w:jc w:val="center"/>
        </w:trPr>
        <w:tc>
          <w:tcPr>
            <w:tcW w:w="2836" w:type="dxa"/>
            <w:vMerge w:val="restart"/>
            <w:tcBorders>
              <w:top w:val="single" w:sz="4" w:space="0" w:color="auto"/>
            </w:tcBorders>
            <w:shd w:val="clear" w:color="auto" w:fill="auto"/>
            <w:vAlign w:val="center"/>
          </w:tcPr>
          <w:p w14:paraId="29E9B794" w14:textId="77777777" w:rsidR="00C16473" w:rsidRPr="008A7B02" w:rsidRDefault="00C16473" w:rsidP="008E13E4">
            <w:pPr>
              <w:jc w:val="center"/>
              <w:rPr>
                <w:b/>
                <w:sz w:val="22"/>
                <w:szCs w:val="22"/>
              </w:rPr>
            </w:pPr>
          </w:p>
        </w:tc>
        <w:tc>
          <w:tcPr>
            <w:tcW w:w="4024" w:type="dxa"/>
            <w:gridSpan w:val="2"/>
            <w:tcBorders>
              <w:top w:val="single" w:sz="4" w:space="0" w:color="auto"/>
              <w:bottom w:val="single" w:sz="4" w:space="0" w:color="auto"/>
            </w:tcBorders>
            <w:shd w:val="clear" w:color="auto" w:fill="F2F2F2" w:themeFill="background1" w:themeFillShade="F2"/>
          </w:tcPr>
          <w:p w14:paraId="06346CCE" w14:textId="530FF315" w:rsidR="00C16473" w:rsidRPr="008A7B02" w:rsidRDefault="00B47D0F" w:rsidP="008E13E4">
            <w:pPr>
              <w:suppressAutoHyphens/>
              <w:autoSpaceDE w:val="0"/>
              <w:autoSpaceDN w:val="0"/>
              <w:jc w:val="center"/>
              <w:textAlignment w:val="baseline"/>
              <w:rPr>
                <w:rFonts w:eastAsia="Times New Roman"/>
                <w:bCs/>
                <w:color w:val="000000"/>
                <w:sz w:val="22"/>
                <w:szCs w:val="22"/>
                <w:lang w:eastAsia="sv-SE"/>
              </w:rPr>
            </w:pPr>
            <w:r>
              <w:rPr>
                <w:b/>
                <w:sz w:val="22"/>
                <w:szCs w:val="22"/>
                <w:u w:val="single"/>
              </w:rPr>
              <w:t>Matched twin c</w:t>
            </w:r>
            <w:r w:rsidRPr="00B47D0F">
              <w:rPr>
                <w:b/>
                <w:sz w:val="22"/>
                <w:szCs w:val="22"/>
                <w:u w:val="single"/>
              </w:rPr>
              <w:t>ohort</w:t>
            </w:r>
            <w:r>
              <w:rPr>
                <w:b/>
                <w:sz w:val="22"/>
                <w:szCs w:val="22"/>
              </w:rPr>
              <w:t>: t</w:t>
            </w:r>
            <w:r w:rsidR="00C16473" w:rsidRPr="008A7B02">
              <w:rPr>
                <w:b/>
                <w:sz w:val="22"/>
                <w:szCs w:val="22"/>
              </w:rPr>
              <w:t>wins</w:t>
            </w:r>
            <w:r w:rsidR="00C16473" w:rsidRPr="008A7B02">
              <w:rPr>
                <w:sz w:val="22"/>
                <w:szCs w:val="22"/>
              </w:rPr>
              <w:t xml:space="preserve"> exposed vs. unexposed to</w:t>
            </w:r>
            <w:r w:rsidR="00C16473" w:rsidRPr="008A7B02">
              <w:rPr>
                <w:sz w:val="22"/>
                <w:szCs w:val="22"/>
                <w:u w:val="single"/>
              </w:rPr>
              <w:t xml:space="preserve"> </w:t>
            </w:r>
            <w:r w:rsidR="00C16473" w:rsidRPr="00B47D0F">
              <w:rPr>
                <w:sz w:val="22"/>
                <w:szCs w:val="22"/>
              </w:rPr>
              <w:t>loss of a co-twin</w:t>
            </w:r>
          </w:p>
        </w:tc>
        <w:tc>
          <w:tcPr>
            <w:tcW w:w="3908" w:type="dxa"/>
            <w:gridSpan w:val="2"/>
            <w:tcBorders>
              <w:top w:val="single" w:sz="4" w:space="0" w:color="auto"/>
              <w:bottom w:val="single" w:sz="4" w:space="0" w:color="auto"/>
            </w:tcBorders>
            <w:shd w:val="clear" w:color="auto" w:fill="FFFFFF" w:themeFill="background1"/>
          </w:tcPr>
          <w:p w14:paraId="243ECB9E" w14:textId="36C30878" w:rsidR="00C16473" w:rsidRPr="008A7B02" w:rsidRDefault="00B47D0F" w:rsidP="00B47D0F">
            <w:pPr>
              <w:suppressAutoHyphens/>
              <w:autoSpaceDE w:val="0"/>
              <w:autoSpaceDN w:val="0"/>
              <w:jc w:val="center"/>
              <w:textAlignment w:val="baseline"/>
              <w:rPr>
                <w:rFonts w:eastAsia="Times New Roman"/>
                <w:bCs/>
                <w:color w:val="000000"/>
                <w:sz w:val="22"/>
                <w:szCs w:val="22"/>
                <w:lang w:eastAsia="sv-SE"/>
              </w:rPr>
            </w:pPr>
            <w:r w:rsidRPr="00B47D0F">
              <w:rPr>
                <w:b/>
                <w:sz w:val="22"/>
                <w:szCs w:val="22"/>
                <w:u w:val="single"/>
              </w:rPr>
              <w:t>Twin</w:t>
            </w:r>
            <w:r>
              <w:rPr>
                <w:b/>
                <w:sz w:val="22"/>
                <w:szCs w:val="22"/>
                <w:u w:val="single"/>
              </w:rPr>
              <w:t>-sibling c</w:t>
            </w:r>
            <w:r w:rsidRPr="00B47D0F">
              <w:rPr>
                <w:b/>
                <w:sz w:val="22"/>
                <w:szCs w:val="22"/>
                <w:u w:val="single"/>
              </w:rPr>
              <w:t>ohort</w:t>
            </w:r>
            <w:r>
              <w:rPr>
                <w:b/>
                <w:sz w:val="22"/>
                <w:szCs w:val="22"/>
              </w:rPr>
              <w:t xml:space="preserve">: </w:t>
            </w:r>
            <w:r>
              <w:rPr>
                <w:rFonts w:eastAsia="Times New Roman"/>
                <w:b/>
                <w:bCs/>
                <w:color w:val="000000"/>
                <w:sz w:val="22"/>
                <w:szCs w:val="22"/>
                <w:lang w:eastAsia="sv-SE"/>
              </w:rPr>
              <w:t>t</w:t>
            </w:r>
            <w:r w:rsidR="00C16473" w:rsidRPr="008A7B02">
              <w:rPr>
                <w:rFonts w:eastAsia="Times New Roman"/>
                <w:b/>
                <w:bCs/>
                <w:color w:val="000000"/>
                <w:sz w:val="22"/>
                <w:szCs w:val="22"/>
                <w:lang w:eastAsia="sv-SE"/>
              </w:rPr>
              <w:t>wins</w:t>
            </w:r>
            <w:r w:rsidR="00C16473" w:rsidRPr="008A7B02">
              <w:rPr>
                <w:rFonts w:eastAsia="Times New Roman"/>
                <w:bCs/>
                <w:color w:val="000000"/>
                <w:sz w:val="22"/>
                <w:szCs w:val="22"/>
                <w:lang w:eastAsia="sv-SE"/>
              </w:rPr>
              <w:t xml:space="preserve"> </w:t>
            </w:r>
            <w:r w:rsidR="00C16473" w:rsidRPr="008A7B02">
              <w:rPr>
                <w:sz w:val="22"/>
                <w:szCs w:val="22"/>
              </w:rPr>
              <w:t xml:space="preserve">exposed to </w:t>
            </w:r>
            <w:r w:rsidR="00C16473" w:rsidRPr="00B47D0F">
              <w:rPr>
                <w:sz w:val="22"/>
                <w:szCs w:val="22"/>
              </w:rPr>
              <w:t>loss of a co-twin</w:t>
            </w:r>
            <w:r w:rsidR="00C16473" w:rsidRPr="008A7B02">
              <w:rPr>
                <w:sz w:val="22"/>
                <w:szCs w:val="22"/>
              </w:rPr>
              <w:t xml:space="preserve"> vs. </w:t>
            </w:r>
            <w:r w:rsidR="00C16473" w:rsidRPr="008A7B02">
              <w:rPr>
                <w:b/>
                <w:sz w:val="22"/>
                <w:szCs w:val="22"/>
              </w:rPr>
              <w:t>their full siblings</w:t>
            </w:r>
            <w:r w:rsidR="00C16473" w:rsidRPr="008A7B02">
              <w:rPr>
                <w:sz w:val="22"/>
                <w:szCs w:val="22"/>
              </w:rPr>
              <w:t xml:space="preserve">  </w:t>
            </w:r>
          </w:p>
        </w:tc>
      </w:tr>
      <w:tr w:rsidR="00C16473" w:rsidRPr="008A7B02" w14:paraId="0CD6C280" w14:textId="77777777" w:rsidTr="008E13E4">
        <w:trPr>
          <w:jc w:val="center"/>
        </w:trPr>
        <w:tc>
          <w:tcPr>
            <w:tcW w:w="2836" w:type="dxa"/>
            <w:vMerge/>
            <w:tcBorders>
              <w:bottom w:val="single" w:sz="4" w:space="0" w:color="auto"/>
            </w:tcBorders>
            <w:shd w:val="clear" w:color="auto" w:fill="auto"/>
          </w:tcPr>
          <w:p w14:paraId="253EB5A0" w14:textId="77777777" w:rsidR="00C16473" w:rsidRPr="008A7B02" w:rsidRDefault="00C16473" w:rsidP="008E13E4">
            <w:pPr>
              <w:rPr>
                <w:sz w:val="22"/>
                <w:szCs w:val="22"/>
              </w:rPr>
            </w:pPr>
          </w:p>
        </w:tc>
        <w:tc>
          <w:tcPr>
            <w:tcW w:w="2261" w:type="dxa"/>
            <w:tcBorders>
              <w:top w:val="single" w:sz="4" w:space="0" w:color="auto"/>
              <w:bottom w:val="single" w:sz="4" w:space="0" w:color="auto"/>
            </w:tcBorders>
            <w:shd w:val="clear" w:color="auto" w:fill="F2F2F2" w:themeFill="background1" w:themeFillShade="F2"/>
            <w:vAlign w:val="center"/>
          </w:tcPr>
          <w:p w14:paraId="71CA7BDC" w14:textId="77777777" w:rsidR="00C16473" w:rsidRPr="008A7B02" w:rsidRDefault="00C16473" w:rsidP="008E13E4">
            <w:pPr>
              <w:jc w:val="center"/>
              <w:rPr>
                <w:sz w:val="22"/>
                <w:szCs w:val="22"/>
              </w:rPr>
            </w:pPr>
            <w:r w:rsidRPr="008A7B02">
              <w:rPr>
                <w:sz w:val="22"/>
                <w:szCs w:val="22"/>
              </w:rPr>
              <w:t>Number of cases (Crude incidence rate, per 1000 person years), exposed / unexposed twin</w:t>
            </w:r>
            <w:r>
              <w:rPr>
                <w:sz w:val="22"/>
                <w:szCs w:val="22"/>
              </w:rPr>
              <w:t>s</w:t>
            </w:r>
          </w:p>
        </w:tc>
        <w:tc>
          <w:tcPr>
            <w:tcW w:w="1763" w:type="dxa"/>
            <w:tcBorders>
              <w:top w:val="single" w:sz="4" w:space="0" w:color="auto"/>
              <w:bottom w:val="single" w:sz="4" w:space="0" w:color="auto"/>
            </w:tcBorders>
            <w:shd w:val="clear" w:color="auto" w:fill="F2F2F2" w:themeFill="background1" w:themeFillShade="F2"/>
            <w:vAlign w:val="center"/>
          </w:tcPr>
          <w:p w14:paraId="7FFEA4B9" w14:textId="77777777" w:rsidR="00C16473" w:rsidRPr="008A7B02" w:rsidRDefault="00C16473" w:rsidP="008E13E4">
            <w:pPr>
              <w:jc w:val="center"/>
              <w:rPr>
                <w:sz w:val="22"/>
                <w:szCs w:val="22"/>
              </w:rPr>
            </w:pPr>
            <w:r w:rsidRPr="008A7B02">
              <w:rPr>
                <w:sz w:val="22"/>
                <w:szCs w:val="22"/>
              </w:rPr>
              <w:t>HR</w:t>
            </w:r>
            <w:r>
              <w:rPr>
                <w:sz w:val="22"/>
                <w:szCs w:val="22"/>
              </w:rPr>
              <w:t xml:space="preserve"> </w:t>
            </w:r>
            <w:r w:rsidRPr="008A7B02">
              <w:rPr>
                <w:sz w:val="22"/>
                <w:szCs w:val="22"/>
              </w:rPr>
              <w:t>(95% CI)</w:t>
            </w:r>
            <w:r w:rsidRPr="008A7B02">
              <w:rPr>
                <w:sz w:val="22"/>
                <w:szCs w:val="22"/>
                <w:vertAlign w:val="superscript"/>
              </w:rPr>
              <w:t>*</w:t>
            </w:r>
          </w:p>
        </w:tc>
        <w:tc>
          <w:tcPr>
            <w:tcW w:w="2207" w:type="dxa"/>
            <w:tcBorders>
              <w:top w:val="single" w:sz="4" w:space="0" w:color="auto"/>
              <w:bottom w:val="single" w:sz="4" w:space="0" w:color="auto"/>
            </w:tcBorders>
            <w:shd w:val="clear" w:color="auto" w:fill="FFFFFF" w:themeFill="background1"/>
            <w:vAlign w:val="center"/>
          </w:tcPr>
          <w:p w14:paraId="67024C82" w14:textId="77777777" w:rsidR="00C16473" w:rsidRPr="008A7B02" w:rsidRDefault="00C16473" w:rsidP="008E13E4">
            <w:pPr>
              <w:jc w:val="center"/>
              <w:rPr>
                <w:sz w:val="22"/>
                <w:szCs w:val="22"/>
              </w:rPr>
            </w:pPr>
            <w:r w:rsidRPr="008A7B02">
              <w:rPr>
                <w:sz w:val="22"/>
                <w:szCs w:val="22"/>
              </w:rPr>
              <w:t>Number of cases (Crude incidence rate, per 1000 person years), exposed twin</w:t>
            </w:r>
            <w:r>
              <w:rPr>
                <w:sz w:val="22"/>
                <w:szCs w:val="22"/>
              </w:rPr>
              <w:t>s</w:t>
            </w:r>
            <w:r w:rsidRPr="008A7B02">
              <w:rPr>
                <w:sz w:val="22"/>
                <w:szCs w:val="22"/>
              </w:rPr>
              <w:t>/ exposed siblings</w:t>
            </w:r>
          </w:p>
        </w:tc>
        <w:tc>
          <w:tcPr>
            <w:tcW w:w="1701" w:type="dxa"/>
            <w:tcBorders>
              <w:top w:val="single" w:sz="4" w:space="0" w:color="auto"/>
              <w:bottom w:val="single" w:sz="4" w:space="0" w:color="auto"/>
            </w:tcBorders>
            <w:shd w:val="clear" w:color="auto" w:fill="FFFFFF" w:themeFill="background1"/>
            <w:vAlign w:val="center"/>
          </w:tcPr>
          <w:p w14:paraId="5E3E0871" w14:textId="77777777" w:rsidR="00C16473" w:rsidRPr="008A7B02" w:rsidRDefault="00C16473" w:rsidP="008E13E4">
            <w:pPr>
              <w:jc w:val="center"/>
              <w:rPr>
                <w:sz w:val="22"/>
                <w:szCs w:val="22"/>
              </w:rPr>
            </w:pPr>
            <w:r w:rsidRPr="008A7B02">
              <w:rPr>
                <w:sz w:val="22"/>
                <w:szCs w:val="22"/>
              </w:rPr>
              <w:t>HR</w:t>
            </w:r>
            <w:r>
              <w:rPr>
                <w:sz w:val="22"/>
                <w:szCs w:val="22"/>
              </w:rPr>
              <w:t xml:space="preserve"> </w:t>
            </w:r>
            <w:r w:rsidRPr="008A7B02">
              <w:rPr>
                <w:sz w:val="22"/>
                <w:szCs w:val="22"/>
              </w:rPr>
              <w:t>(95% CI)</w:t>
            </w:r>
            <w:r w:rsidRPr="008A7B02">
              <w:rPr>
                <w:sz w:val="22"/>
                <w:szCs w:val="22"/>
                <w:vertAlign w:val="superscript"/>
              </w:rPr>
              <w:t xml:space="preserve"> *</w:t>
            </w:r>
          </w:p>
        </w:tc>
      </w:tr>
      <w:tr w:rsidR="00C16473" w:rsidRPr="008A7B02" w14:paraId="6F03F2CF" w14:textId="77777777" w:rsidTr="008E13E4">
        <w:trPr>
          <w:jc w:val="center"/>
        </w:trPr>
        <w:tc>
          <w:tcPr>
            <w:tcW w:w="2836" w:type="dxa"/>
            <w:tcBorders>
              <w:top w:val="single" w:sz="4" w:space="0" w:color="auto"/>
            </w:tcBorders>
            <w:shd w:val="clear" w:color="auto" w:fill="auto"/>
          </w:tcPr>
          <w:p w14:paraId="25F06E1C" w14:textId="77777777" w:rsidR="00C16473" w:rsidRPr="008A7B02" w:rsidRDefault="00C16473" w:rsidP="008E13E4">
            <w:pPr>
              <w:rPr>
                <w:i/>
                <w:sz w:val="22"/>
                <w:szCs w:val="22"/>
              </w:rPr>
            </w:pPr>
            <w:r w:rsidRPr="008A7B02">
              <w:rPr>
                <w:i/>
                <w:sz w:val="22"/>
                <w:szCs w:val="22"/>
              </w:rPr>
              <w:t xml:space="preserve">By sex </w:t>
            </w:r>
          </w:p>
        </w:tc>
        <w:tc>
          <w:tcPr>
            <w:tcW w:w="2261" w:type="dxa"/>
            <w:tcBorders>
              <w:top w:val="single" w:sz="4" w:space="0" w:color="auto"/>
            </w:tcBorders>
            <w:shd w:val="clear" w:color="auto" w:fill="F2F2F2" w:themeFill="background1" w:themeFillShade="F2"/>
          </w:tcPr>
          <w:p w14:paraId="13BCF833" w14:textId="77777777" w:rsidR="00C16473" w:rsidRPr="008A7B02" w:rsidRDefault="00C16473" w:rsidP="008E13E4">
            <w:pPr>
              <w:rPr>
                <w:sz w:val="22"/>
                <w:szCs w:val="22"/>
              </w:rPr>
            </w:pPr>
          </w:p>
        </w:tc>
        <w:tc>
          <w:tcPr>
            <w:tcW w:w="1763" w:type="dxa"/>
            <w:tcBorders>
              <w:top w:val="single" w:sz="4" w:space="0" w:color="auto"/>
            </w:tcBorders>
            <w:shd w:val="clear" w:color="auto" w:fill="F2F2F2" w:themeFill="background1" w:themeFillShade="F2"/>
          </w:tcPr>
          <w:p w14:paraId="538A6FB4" w14:textId="77777777" w:rsidR="00C16473" w:rsidRPr="008A7B02" w:rsidRDefault="00C16473" w:rsidP="008E13E4">
            <w:pPr>
              <w:rPr>
                <w:sz w:val="22"/>
                <w:szCs w:val="22"/>
              </w:rPr>
            </w:pPr>
          </w:p>
        </w:tc>
        <w:tc>
          <w:tcPr>
            <w:tcW w:w="2207" w:type="dxa"/>
            <w:tcBorders>
              <w:top w:val="single" w:sz="4" w:space="0" w:color="auto"/>
            </w:tcBorders>
            <w:shd w:val="clear" w:color="auto" w:fill="FFFFFF" w:themeFill="background1"/>
          </w:tcPr>
          <w:p w14:paraId="00EC288E" w14:textId="77777777" w:rsidR="00C16473" w:rsidRPr="008A7B02" w:rsidRDefault="00C16473" w:rsidP="008E13E4">
            <w:pPr>
              <w:rPr>
                <w:sz w:val="22"/>
                <w:szCs w:val="22"/>
              </w:rPr>
            </w:pPr>
          </w:p>
        </w:tc>
        <w:tc>
          <w:tcPr>
            <w:tcW w:w="1701" w:type="dxa"/>
            <w:tcBorders>
              <w:top w:val="single" w:sz="4" w:space="0" w:color="auto"/>
            </w:tcBorders>
            <w:shd w:val="clear" w:color="auto" w:fill="FFFFFF" w:themeFill="background1"/>
          </w:tcPr>
          <w:p w14:paraId="7EDC9318" w14:textId="77777777" w:rsidR="00C16473" w:rsidRPr="008A7B02" w:rsidRDefault="00C16473" w:rsidP="008E13E4">
            <w:pPr>
              <w:rPr>
                <w:sz w:val="22"/>
                <w:szCs w:val="22"/>
              </w:rPr>
            </w:pPr>
          </w:p>
        </w:tc>
      </w:tr>
      <w:tr w:rsidR="00C16473" w:rsidRPr="008A7B02" w14:paraId="39B88239" w14:textId="77777777" w:rsidTr="008E13E4">
        <w:trPr>
          <w:jc w:val="center"/>
        </w:trPr>
        <w:tc>
          <w:tcPr>
            <w:tcW w:w="2836" w:type="dxa"/>
            <w:shd w:val="clear" w:color="auto" w:fill="auto"/>
          </w:tcPr>
          <w:p w14:paraId="0586D495" w14:textId="77777777" w:rsidR="00C16473" w:rsidRPr="008A7B02" w:rsidRDefault="00C16473" w:rsidP="008E13E4">
            <w:pPr>
              <w:ind w:left="175"/>
              <w:rPr>
                <w:sz w:val="22"/>
                <w:szCs w:val="22"/>
              </w:rPr>
            </w:pPr>
            <w:r w:rsidRPr="008A7B02">
              <w:rPr>
                <w:sz w:val="22"/>
                <w:szCs w:val="22"/>
              </w:rPr>
              <w:t>Male</w:t>
            </w:r>
          </w:p>
        </w:tc>
        <w:tc>
          <w:tcPr>
            <w:tcW w:w="2261" w:type="dxa"/>
            <w:shd w:val="clear" w:color="auto" w:fill="F2F2F2" w:themeFill="background1" w:themeFillShade="F2"/>
          </w:tcPr>
          <w:p w14:paraId="20960277" w14:textId="77777777" w:rsidR="00C16473" w:rsidRPr="008A7B02" w:rsidRDefault="00C16473" w:rsidP="008E13E4">
            <w:pPr>
              <w:jc w:val="center"/>
              <w:rPr>
                <w:sz w:val="22"/>
                <w:szCs w:val="22"/>
              </w:rPr>
            </w:pPr>
            <w:r w:rsidRPr="008A7B02">
              <w:rPr>
                <w:sz w:val="22"/>
                <w:szCs w:val="22"/>
              </w:rPr>
              <w:t>276(12.69)/783(6.93)</w:t>
            </w:r>
          </w:p>
        </w:tc>
        <w:tc>
          <w:tcPr>
            <w:tcW w:w="1763" w:type="dxa"/>
            <w:shd w:val="clear" w:color="auto" w:fill="F2F2F2" w:themeFill="background1" w:themeFillShade="F2"/>
          </w:tcPr>
          <w:p w14:paraId="35E95AC2" w14:textId="77777777" w:rsidR="00C16473" w:rsidRPr="008A7B02" w:rsidRDefault="00C16473" w:rsidP="008E13E4">
            <w:pPr>
              <w:jc w:val="center"/>
              <w:rPr>
                <w:sz w:val="22"/>
                <w:szCs w:val="22"/>
              </w:rPr>
            </w:pPr>
            <w:r w:rsidRPr="008A7B02">
              <w:rPr>
                <w:sz w:val="22"/>
                <w:szCs w:val="22"/>
              </w:rPr>
              <w:t>1.68 (1.46-1.94)</w:t>
            </w:r>
          </w:p>
        </w:tc>
        <w:tc>
          <w:tcPr>
            <w:tcW w:w="2207" w:type="dxa"/>
            <w:shd w:val="clear" w:color="auto" w:fill="FFFFFF" w:themeFill="background1"/>
          </w:tcPr>
          <w:p w14:paraId="544BA1E9" w14:textId="77777777" w:rsidR="00C16473" w:rsidRPr="008A7B02" w:rsidRDefault="00C16473" w:rsidP="008E13E4">
            <w:pPr>
              <w:jc w:val="center"/>
              <w:rPr>
                <w:sz w:val="22"/>
                <w:szCs w:val="22"/>
              </w:rPr>
            </w:pPr>
            <w:r w:rsidRPr="008A7B02">
              <w:rPr>
                <w:sz w:val="22"/>
                <w:szCs w:val="22"/>
              </w:rPr>
              <w:t>176(12.43)/201(7.72)</w:t>
            </w:r>
          </w:p>
        </w:tc>
        <w:tc>
          <w:tcPr>
            <w:tcW w:w="1701" w:type="dxa"/>
            <w:shd w:val="clear" w:color="auto" w:fill="FFFFFF" w:themeFill="background1"/>
          </w:tcPr>
          <w:p w14:paraId="748F54E3" w14:textId="77777777" w:rsidR="00C16473" w:rsidRPr="008A7B02" w:rsidRDefault="00C16473" w:rsidP="008E13E4">
            <w:pPr>
              <w:jc w:val="center"/>
              <w:rPr>
                <w:sz w:val="22"/>
                <w:szCs w:val="22"/>
              </w:rPr>
            </w:pPr>
            <w:r w:rsidRPr="008A7B02">
              <w:rPr>
                <w:sz w:val="22"/>
                <w:szCs w:val="22"/>
              </w:rPr>
              <w:t>1.52 (1.13-2.04)</w:t>
            </w:r>
          </w:p>
        </w:tc>
      </w:tr>
      <w:tr w:rsidR="00C16473" w:rsidRPr="008A7B02" w14:paraId="72280691" w14:textId="77777777" w:rsidTr="008E13E4">
        <w:trPr>
          <w:jc w:val="center"/>
        </w:trPr>
        <w:tc>
          <w:tcPr>
            <w:tcW w:w="2836" w:type="dxa"/>
            <w:shd w:val="clear" w:color="auto" w:fill="auto"/>
          </w:tcPr>
          <w:p w14:paraId="7668A4FD" w14:textId="77777777" w:rsidR="00C16473" w:rsidRPr="008A7B02" w:rsidRDefault="00C16473" w:rsidP="008E13E4">
            <w:pPr>
              <w:ind w:left="175"/>
              <w:rPr>
                <w:sz w:val="22"/>
                <w:szCs w:val="22"/>
              </w:rPr>
            </w:pPr>
            <w:r w:rsidRPr="008A7B02">
              <w:rPr>
                <w:sz w:val="22"/>
                <w:szCs w:val="22"/>
              </w:rPr>
              <w:t>Female</w:t>
            </w:r>
          </w:p>
        </w:tc>
        <w:tc>
          <w:tcPr>
            <w:tcW w:w="2261" w:type="dxa"/>
            <w:shd w:val="clear" w:color="auto" w:fill="F2F2F2" w:themeFill="background1" w:themeFillShade="F2"/>
          </w:tcPr>
          <w:p w14:paraId="278E6769" w14:textId="77777777" w:rsidR="00C16473" w:rsidRPr="008A7B02" w:rsidRDefault="00C16473" w:rsidP="008E13E4">
            <w:pPr>
              <w:jc w:val="center"/>
              <w:rPr>
                <w:sz w:val="22"/>
                <w:szCs w:val="22"/>
              </w:rPr>
            </w:pPr>
            <w:r w:rsidRPr="008A7B02">
              <w:rPr>
                <w:sz w:val="22"/>
                <w:szCs w:val="22"/>
              </w:rPr>
              <w:t>250(11.87)/738(6.87)</w:t>
            </w:r>
          </w:p>
        </w:tc>
        <w:tc>
          <w:tcPr>
            <w:tcW w:w="1763" w:type="dxa"/>
            <w:shd w:val="clear" w:color="auto" w:fill="F2F2F2" w:themeFill="background1" w:themeFillShade="F2"/>
          </w:tcPr>
          <w:p w14:paraId="1D21F765" w14:textId="77777777" w:rsidR="00C16473" w:rsidRPr="008A7B02" w:rsidRDefault="00C16473" w:rsidP="008E13E4">
            <w:pPr>
              <w:jc w:val="center"/>
              <w:rPr>
                <w:sz w:val="22"/>
                <w:szCs w:val="22"/>
              </w:rPr>
            </w:pPr>
            <w:r w:rsidRPr="008A7B02">
              <w:rPr>
                <w:sz w:val="22"/>
                <w:szCs w:val="22"/>
              </w:rPr>
              <w:t>1.61 (1.39-1.87)</w:t>
            </w:r>
          </w:p>
        </w:tc>
        <w:tc>
          <w:tcPr>
            <w:tcW w:w="2207" w:type="dxa"/>
            <w:shd w:val="clear" w:color="auto" w:fill="FFFFFF" w:themeFill="background1"/>
          </w:tcPr>
          <w:p w14:paraId="3B1CA5C6" w14:textId="77777777" w:rsidR="00C16473" w:rsidRPr="008A7B02" w:rsidRDefault="00C16473" w:rsidP="008E13E4">
            <w:pPr>
              <w:jc w:val="center"/>
              <w:rPr>
                <w:sz w:val="22"/>
                <w:szCs w:val="22"/>
              </w:rPr>
            </w:pPr>
            <w:r w:rsidRPr="008A7B02">
              <w:rPr>
                <w:sz w:val="22"/>
                <w:szCs w:val="22"/>
              </w:rPr>
              <w:t>152(11.37)/214(8.08)</w:t>
            </w:r>
          </w:p>
        </w:tc>
        <w:tc>
          <w:tcPr>
            <w:tcW w:w="1701" w:type="dxa"/>
            <w:shd w:val="clear" w:color="auto" w:fill="FFFFFF" w:themeFill="background1"/>
          </w:tcPr>
          <w:p w14:paraId="55106CBA" w14:textId="77777777" w:rsidR="00C16473" w:rsidRPr="008A7B02" w:rsidRDefault="00C16473" w:rsidP="008E13E4">
            <w:pPr>
              <w:jc w:val="center"/>
              <w:rPr>
                <w:sz w:val="22"/>
                <w:szCs w:val="22"/>
              </w:rPr>
            </w:pPr>
            <w:r w:rsidRPr="008A7B02">
              <w:rPr>
                <w:sz w:val="22"/>
                <w:szCs w:val="22"/>
              </w:rPr>
              <w:t>1.25 (0.91-1.72)</w:t>
            </w:r>
          </w:p>
        </w:tc>
      </w:tr>
      <w:tr w:rsidR="00C16473" w:rsidRPr="008A7B02" w14:paraId="14DFEA30" w14:textId="77777777" w:rsidTr="008E13E4">
        <w:trPr>
          <w:jc w:val="center"/>
        </w:trPr>
        <w:tc>
          <w:tcPr>
            <w:tcW w:w="2836" w:type="dxa"/>
            <w:shd w:val="clear" w:color="auto" w:fill="auto"/>
          </w:tcPr>
          <w:p w14:paraId="0490D134" w14:textId="77777777" w:rsidR="00C16473" w:rsidRPr="008A7B02" w:rsidRDefault="00C16473" w:rsidP="008E13E4">
            <w:pPr>
              <w:rPr>
                <w:i/>
                <w:sz w:val="22"/>
                <w:szCs w:val="22"/>
              </w:rPr>
            </w:pPr>
            <w:r w:rsidRPr="008A7B02">
              <w:rPr>
                <w:i/>
                <w:sz w:val="22"/>
                <w:szCs w:val="22"/>
              </w:rPr>
              <w:t>By age at the index date, years</w:t>
            </w:r>
          </w:p>
        </w:tc>
        <w:tc>
          <w:tcPr>
            <w:tcW w:w="2261" w:type="dxa"/>
            <w:shd w:val="clear" w:color="auto" w:fill="F2F2F2" w:themeFill="background1" w:themeFillShade="F2"/>
          </w:tcPr>
          <w:p w14:paraId="42B67A5A" w14:textId="77777777" w:rsidR="00C16473" w:rsidRPr="008A7B02" w:rsidRDefault="00C16473" w:rsidP="008E13E4">
            <w:pPr>
              <w:jc w:val="center"/>
              <w:rPr>
                <w:sz w:val="22"/>
                <w:szCs w:val="22"/>
              </w:rPr>
            </w:pPr>
          </w:p>
        </w:tc>
        <w:tc>
          <w:tcPr>
            <w:tcW w:w="1763" w:type="dxa"/>
            <w:shd w:val="clear" w:color="auto" w:fill="F2F2F2" w:themeFill="background1" w:themeFillShade="F2"/>
          </w:tcPr>
          <w:p w14:paraId="6D80ACF4" w14:textId="77777777" w:rsidR="00C16473" w:rsidRPr="008A7B02" w:rsidRDefault="00C16473" w:rsidP="008E13E4">
            <w:pPr>
              <w:jc w:val="center"/>
              <w:rPr>
                <w:sz w:val="22"/>
                <w:szCs w:val="22"/>
              </w:rPr>
            </w:pPr>
          </w:p>
        </w:tc>
        <w:tc>
          <w:tcPr>
            <w:tcW w:w="2207" w:type="dxa"/>
            <w:shd w:val="clear" w:color="auto" w:fill="FFFFFF" w:themeFill="background1"/>
          </w:tcPr>
          <w:p w14:paraId="7C77F9CF" w14:textId="77777777" w:rsidR="00C16473" w:rsidRPr="008A7B02" w:rsidRDefault="00C16473" w:rsidP="008E13E4">
            <w:pPr>
              <w:jc w:val="center"/>
              <w:rPr>
                <w:sz w:val="22"/>
                <w:szCs w:val="22"/>
              </w:rPr>
            </w:pPr>
          </w:p>
        </w:tc>
        <w:tc>
          <w:tcPr>
            <w:tcW w:w="1701" w:type="dxa"/>
            <w:shd w:val="clear" w:color="auto" w:fill="FFFFFF" w:themeFill="background1"/>
          </w:tcPr>
          <w:p w14:paraId="21B76D11" w14:textId="77777777" w:rsidR="00C16473" w:rsidRPr="008A7B02" w:rsidRDefault="00C16473" w:rsidP="008E13E4">
            <w:pPr>
              <w:jc w:val="center"/>
              <w:rPr>
                <w:sz w:val="22"/>
                <w:szCs w:val="22"/>
              </w:rPr>
            </w:pPr>
          </w:p>
        </w:tc>
      </w:tr>
      <w:tr w:rsidR="00C16473" w:rsidRPr="008A7B02" w14:paraId="3CBDD4E7" w14:textId="77777777" w:rsidTr="008E13E4">
        <w:trPr>
          <w:jc w:val="center"/>
        </w:trPr>
        <w:tc>
          <w:tcPr>
            <w:tcW w:w="2836" w:type="dxa"/>
            <w:shd w:val="clear" w:color="auto" w:fill="auto"/>
          </w:tcPr>
          <w:p w14:paraId="6D27F213" w14:textId="77777777" w:rsidR="00C16473" w:rsidRPr="008A7B02" w:rsidRDefault="00C16473" w:rsidP="008E13E4">
            <w:pPr>
              <w:ind w:left="175"/>
              <w:rPr>
                <w:sz w:val="22"/>
                <w:szCs w:val="22"/>
              </w:rPr>
            </w:pPr>
            <w:r w:rsidRPr="008A7B02">
              <w:rPr>
                <w:sz w:val="22"/>
                <w:szCs w:val="22"/>
              </w:rPr>
              <w:t xml:space="preserve">2-18 </w:t>
            </w:r>
          </w:p>
        </w:tc>
        <w:tc>
          <w:tcPr>
            <w:tcW w:w="2261" w:type="dxa"/>
            <w:shd w:val="clear" w:color="auto" w:fill="F2F2F2" w:themeFill="background1" w:themeFillShade="F2"/>
            <w:vAlign w:val="center"/>
          </w:tcPr>
          <w:p w14:paraId="307EBD69" w14:textId="77777777" w:rsidR="00C16473" w:rsidRPr="008A7B02" w:rsidRDefault="00C16473" w:rsidP="008E13E4">
            <w:pPr>
              <w:jc w:val="center"/>
              <w:rPr>
                <w:sz w:val="22"/>
                <w:szCs w:val="22"/>
              </w:rPr>
            </w:pPr>
            <w:r w:rsidRPr="008A7B02">
              <w:rPr>
                <w:sz w:val="22"/>
                <w:szCs w:val="22"/>
              </w:rPr>
              <w:t>51(12.92)/144(6.51)</w:t>
            </w:r>
          </w:p>
        </w:tc>
        <w:tc>
          <w:tcPr>
            <w:tcW w:w="1763" w:type="dxa"/>
            <w:shd w:val="clear" w:color="auto" w:fill="F2F2F2" w:themeFill="background1" w:themeFillShade="F2"/>
            <w:vAlign w:val="center"/>
          </w:tcPr>
          <w:p w14:paraId="09353E63" w14:textId="77777777" w:rsidR="00C16473" w:rsidRPr="008A7B02" w:rsidRDefault="00C16473" w:rsidP="008E13E4">
            <w:pPr>
              <w:jc w:val="center"/>
              <w:rPr>
                <w:sz w:val="22"/>
                <w:szCs w:val="22"/>
              </w:rPr>
            </w:pPr>
            <w:r w:rsidRPr="008A7B02">
              <w:rPr>
                <w:sz w:val="22"/>
                <w:szCs w:val="22"/>
              </w:rPr>
              <w:t>2.08 (1.47-2.95)</w:t>
            </w:r>
          </w:p>
        </w:tc>
        <w:tc>
          <w:tcPr>
            <w:tcW w:w="2207" w:type="dxa"/>
            <w:shd w:val="clear" w:color="auto" w:fill="FFFFFF" w:themeFill="background1"/>
            <w:vAlign w:val="center"/>
          </w:tcPr>
          <w:p w14:paraId="5AA71C41" w14:textId="77777777" w:rsidR="00C16473" w:rsidRPr="008A7B02" w:rsidRDefault="00C16473" w:rsidP="008E13E4">
            <w:pPr>
              <w:jc w:val="center"/>
              <w:rPr>
                <w:sz w:val="22"/>
                <w:szCs w:val="22"/>
              </w:rPr>
            </w:pPr>
            <w:r w:rsidRPr="008A7B02">
              <w:rPr>
                <w:sz w:val="22"/>
                <w:szCs w:val="22"/>
              </w:rPr>
              <w:t>30(11.60)/26(6.56)</w:t>
            </w:r>
          </w:p>
        </w:tc>
        <w:tc>
          <w:tcPr>
            <w:tcW w:w="1701" w:type="dxa"/>
            <w:shd w:val="clear" w:color="auto" w:fill="FFFFFF" w:themeFill="background1"/>
            <w:vAlign w:val="center"/>
          </w:tcPr>
          <w:p w14:paraId="57F3BD9B" w14:textId="77777777" w:rsidR="00C16473" w:rsidRPr="008A7B02" w:rsidRDefault="00C16473" w:rsidP="008E13E4">
            <w:pPr>
              <w:jc w:val="center"/>
              <w:rPr>
                <w:sz w:val="22"/>
                <w:szCs w:val="22"/>
              </w:rPr>
            </w:pPr>
            <w:r w:rsidRPr="008A7B02">
              <w:rPr>
                <w:sz w:val="22"/>
                <w:szCs w:val="22"/>
              </w:rPr>
              <w:t>2.23 (0.92-5.41)</w:t>
            </w:r>
          </w:p>
        </w:tc>
      </w:tr>
      <w:tr w:rsidR="00C16473" w:rsidRPr="008A7B02" w14:paraId="397951EC" w14:textId="77777777" w:rsidTr="008E13E4">
        <w:trPr>
          <w:jc w:val="center"/>
        </w:trPr>
        <w:tc>
          <w:tcPr>
            <w:tcW w:w="2836" w:type="dxa"/>
            <w:shd w:val="clear" w:color="auto" w:fill="auto"/>
          </w:tcPr>
          <w:p w14:paraId="599D637B" w14:textId="77777777" w:rsidR="00C16473" w:rsidRPr="008A7B02" w:rsidRDefault="00C16473" w:rsidP="008E13E4">
            <w:pPr>
              <w:ind w:left="175"/>
              <w:rPr>
                <w:sz w:val="22"/>
                <w:szCs w:val="22"/>
              </w:rPr>
            </w:pPr>
            <w:r w:rsidRPr="008A7B02">
              <w:rPr>
                <w:sz w:val="22"/>
                <w:szCs w:val="22"/>
              </w:rPr>
              <w:t xml:space="preserve">19-52 </w:t>
            </w:r>
          </w:p>
        </w:tc>
        <w:tc>
          <w:tcPr>
            <w:tcW w:w="2261" w:type="dxa"/>
            <w:shd w:val="clear" w:color="auto" w:fill="F2F2F2" w:themeFill="background1" w:themeFillShade="F2"/>
            <w:vAlign w:val="center"/>
          </w:tcPr>
          <w:p w14:paraId="05FE3D0E" w14:textId="77777777" w:rsidR="00C16473" w:rsidRPr="008A7B02" w:rsidRDefault="00C16473" w:rsidP="008E13E4">
            <w:pPr>
              <w:jc w:val="center"/>
              <w:rPr>
                <w:sz w:val="22"/>
                <w:szCs w:val="22"/>
              </w:rPr>
            </w:pPr>
            <w:r w:rsidRPr="008A7B02">
              <w:rPr>
                <w:sz w:val="22"/>
                <w:szCs w:val="22"/>
              </w:rPr>
              <w:t>208(11.45)/525(5.48)</w:t>
            </w:r>
          </w:p>
        </w:tc>
        <w:tc>
          <w:tcPr>
            <w:tcW w:w="1763" w:type="dxa"/>
            <w:shd w:val="clear" w:color="auto" w:fill="F2F2F2" w:themeFill="background1" w:themeFillShade="F2"/>
            <w:vAlign w:val="center"/>
          </w:tcPr>
          <w:p w14:paraId="0578EDA0" w14:textId="77777777" w:rsidR="00C16473" w:rsidRPr="008A7B02" w:rsidRDefault="00C16473" w:rsidP="008E13E4">
            <w:pPr>
              <w:jc w:val="center"/>
              <w:rPr>
                <w:sz w:val="22"/>
                <w:szCs w:val="22"/>
              </w:rPr>
            </w:pPr>
            <w:r w:rsidRPr="008A7B02">
              <w:rPr>
                <w:sz w:val="22"/>
                <w:szCs w:val="22"/>
              </w:rPr>
              <w:t>1.98 (1.67-2.35)</w:t>
            </w:r>
          </w:p>
        </w:tc>
        <w:tc>
          <w:tcPr>
            <w:tcW w:w="2207" w:type="dxa"/>
            <w:shd w:val="clear" w:color="auto" w:fill="FFFFFF" w:themeFill="background1"/>
            <w:vAlign w:val="center"/>
          </w:tcPr>
          <w:p w14:paraId="0B40B4B2" w14:textId="77777777" w:rsidR="00C16473" w:rsidRPr="008A7B02" w:rsidRDefault="00C16473" w:rsidP="008E13E4">
            <w:pPr>
              <w:jc w:val="center"/>
              <w:rPr>
                <w:sz w:val="22"/>
                <w:szCs w:val="22"/>
              </w:rPr>
            </w:pPr>
            <w:r w:rsidRPr="008A7B02">
              <w:rPr>
                <w:sz w:val="22"/>
                <w:szCs w:val="22"/>
              </w:rPr>
              <w:t>144(11.15)/173(6.85)</w:t>
            </w:r>
          </w:p>
        </w:tc>
        <w:tc>
          <w:tcPr>
            <w:tcW w:w="1701" w:type="dxa"/>
            <w:shd w:val="clear" w:color="auto" w:fill="FFFFFF" w:themeFill="background1"/>
            <w:vAlign w:val="center"/>
          </w:tcPr>
          <w:p w14:paraId="4C60D287" w14:textId="77777777" w:rsidR="00C16473" w:rsidRPr="008A7B02" w:rsidRDefault="00C16473" w:rsidP="008E13E4">
            <w:pPr>
              <w:jc w:val="center"/>
              <w:rPr>
                <w:sz w:val="22"/>
                <w:szCs w:val="22"/>
              </w:rPr>
            </w:pPr>
            <w:r w:rsidRPr="008A7B02">
              <w:rPr>
                <w:sz w:val="22"/>
                <w:szCs w:val="22"/>
              </w:rPr>
              <w:t>1.80 (1.35-2.40)</w:t>
            </w:r>
          </w:p>
        </w:tc>
      </w:tr>
      <w:tr w:rsidR="00C16473" w:rsidRPr="008A7B02" w14:paraId="1C291199" w14:textId="77777777" w:rsidTr="008E13E4">
        <w:trPr>
          <w:jc w:val="center"/>
        </w:trPr>
        <w:tc>
          <w:tcPr>
            <w:tcW w:w="2836" w:type="dxa"/>
            <w:shd w:val="clear" w:color="auto" w:fill="auto"/>
          </w:tcPr>
          <w:p w14:paraId="7E488C25" w14:textId="77777777" w:rsidR="00C16473" w:rsidRPr="008A7B02" w:rsidRDefault="00C16473" w:rsidP="008E13E4">
            <w:pPr>
              <w:ind w:left="175"/>
              <w:rPr>
                <w:sz w:val="22"/>
                <w:szCs w:val="22"/>
              </w:rPr>
            </w:pPr>
            <w:r w:rsidRPr="008A7B02">
              <w:rPr>
                <w:sz w:val="22"/>
                <w:szCs w:val="22"/>
              </w:rPr>
              <w:t xml:space="preserve">53-64 </w:t>
            </w:r>
          </w:p>
        </w:tc>
        <w:tc>
          <w:tcPr>
            <w:tcW w:w="2261" w:type="dxa"/>
            <w:shd w:val="clear" w:color="auto" w:fill="F2F2F2" w:themeFill="background1" w:themeFillShade="F2"/>
            <w:vAlign w:val="center"/>
          </w:tcPr>
          <w:p w14:paraId="4035573C" w14:textId="77777777" w:rsidR="00C16473" w:rsidRPr="008A7B02" w:rsidRDefault="00C16473" w:rsidP="008E13E4">
            <w:pPr>
              <w:jc w:val="center"/>
              <w:rPr>
                <w:sz w:val="22"/>
                <w:szCs w:val="22"/>
              </w:rPr>
            </w:pPr>
            <w:r w:rsidRPr="008A7B02">
              <w:rPr>
                <w:sz w:val="22"/>
                <w:szCs w:val="22"/>
              </w:rPr>
              <w:t>143(10.83)/461(7.00)</w:t>
            </w:r>
          </w:p>
        </w:tc>
        <w:tc>
          <w:tcPr>
            <w:tcW w:w="1763" w:type="dxa"/>
            <w:shd w:val="clear" w:color="auto" w:fill="F2F2F2" w:themeFill="background1" w:themeFillShade="F2"/>
            <w:vAlign w:val="center"/>
          </w:tcPr>
          <w:p w14:paraId="596072EF" w14:textId="77777777" w:rsidR="00C16473" w:rsidRPr="008A7B02" w:rsidRDefault="00C16473" w:rsidP="008E13E4">
            <w:pPr>
              <w:jc w:val="center"/>
              <w:rPr>
                <w:sz w:val="22"/>
                <w:szCs w:val="22"/>
              </w:rPr>
            </w:pPr>
            <w:r w:rsidRPr="008A7B02">
              <w:rPr>
                <w:sz w:val="22"/>
                <w:szCs w:val="22"/>
              </w:rPr>
              <w:t>1.44 (1.18-1.76)</w:t>
            </w:r>
          </w:p>
        </w:tc>
        <w:tc>
          <w:tcPr>
            <w:tcW w:w="2207" w:type="dxa"/>
            <w:shd w:val="clear" w:color="auto" w:fill="FFFFFF" w:themeFill="background1"/>
            <w:vAlign w:val="center"/>
          </w:tcPr>
          <w:p w14:paraId="6426285E" w14:textId="77777777" w:rsidR="00C16473" w:rsidRPr="008A7B02" w:rsidRDefault="00C16473" w:rsidP="008E13E4">
            <w:pPr>
              <w:jc w:val="center"/>
              <w:rPr>
                <w:sz w:val="22"/>
                <w:szCs w:val="22"/>
              </w:rPr>
            </w:pPr>
            <w:r w:rsidRPr="008A7B02">
              <w:rPr>
                <w:sz w:val="22"/>
                <w:szCs w:val="22"/>
              </w:rPr>
              <w:t>90(11.15)/129(7.92)</w:t>
            </w:r>
          </w:p>
        </w:tc>
        <w:tc>
          <w:tcPr>
            <w:tcW w:w="1701" w:type="dxa"/>
            <w:shd w:val="clear" w:color="auto" w:fill="FFFFFF" w:themeFill="background1"/>
            <w:vAlign w:val="center"/>
          </w:tcPr>
          <w:p w14:paraId="26E78D6B" w14:textId="77777777" w:rsidR="00C16473" w:rsidRPr="008A7B02" w:rsidRDefault="00C16473" w:rsidP="008E13E4">
            <w:pPr>
              <w:jc w:val="center"/>
              <w:rPr>
                <w:sz w:val="22"/>
                <w:szCs w:val="22"/>
              </w:rPr>
            </w:pPr>
            <w:r w:rsidRPr="008A7B02">
              <w:rPr>
                <w:sz w:val="22"/>
                <w:szCs w:val="22"/>
              </w:rPr>
              <w:t>1.30 (0.88-1.92)</w:t>
            </w:r>
          </w:p>
        </w:tc>
      </w:tr>
      <w:tr w:rsidR="00C16473" w:rsidRPr="008A7B02" w14:paraId="5E8FE892" w14:textId="77777777" w:rsidTr="008E13E4">
        <w:trPr>
          <w:jc w:val="center"/>
        </w:trPr>
        <w:tc>
          <w:tcPr>
            <w:tcW w:w="2836" w:type="dxa"/>
            <w:shd w:val="clear" w:color="auto" w:fill="auto"/>
          </w:tcPr>
          <w:p w14:paraId="6E94D83F" w14:textId="77777777" w:rsidR="00C16473" w:rsidRPr="008A7B02" w:rsidRDefault="00C16473" w:rsidP="008E13E4">
            <w:pPr>
              <w:ind w:left="175"/>
              <w:rPr>
                <w:sz w:val="22"/>
                <w:szCs w:val="22"/>
              </w:rPr>
            </w:pPr>
            <w:r w:rsidRPr="008A7B02">
              <w:rPr>
                <w:sz w:val="22"/>
                <w:szCs w:val="22"/>
              </w:rPr>
              <w:t xml:space="preserve">≥ 65 </w:t>
            </w:r>
          </w:p>
        </w:tc>
        <w:tc>
          <w:tcPr>
            <w:tcW w:w="2261" w:type="dxa"/>
            <w:shd w:val="clear" w:color="auto" w:fill="F2F2F2" w:themeFill="background1" w:themeFillShade="F2"/>
            <w:vAlign w:val="center"/>
          </w:tcPr>
          <w:p w14:paraId="5F38D588" w14:textId="77777777" w:rsidR="00C16473" w:rsidRPr="008A7B02" w:rsidRDefault="00C16473" w:rsidP="008E13E4">
            <w:pPr>
              <w:jc w:val="center"/>
              <w:rPr>
                <w:sz w:val="22"/>
                <w:szCs w:val="22"/>
              </w:rPr>
            </w:pPr>
            <w:r w:rsidRPr="008A7B02">
              <w:rPr>
                <w:sz w:val="22"/>
                <w:szCs w:val="22"/>
              </w:rPr>
              <w:t>124(16.59)/391(10.66)</w:t>
            </w:r>
          </w:p>
        </w:tc>
        <w:tc>
          <w:tcPr>
            <w:tcW w:w="1763" w:type="dxa"/>
            <w:shd w:val="clear" w:color="auto" w:fill="F2F2F2" w:themeFill="background1" w:themeFillShade="F2"/>
            <w:vAlign w:val="center"/>
          </w:tcPr>
          <w:p w14:paraId="2264AAEF" w14:textId="77777777" w:rsidR="00C16473" w:rsidRPr="008A7B02" w:rsidRDefault="00C16473" w:rsidP="008E13E4">
            <w:pPr>
              <w:jc w:val="center"/>
              <w:rPr>
                <w:sz w:val="22"/>
                <w:szCs w:val="22"/>
              </w:rPr>
            </w:pPr>
            <w:r w:rsidRPr="008A7B02">
              <w:rPr>
                <w:sz w:val="22"/>
                <w:szCs w:val="22"/>
              </w:rPr>
              <w:t>1.28 (1.03-1.59)</w:t>
            </w:r>
          </w:p>
        </w:tc>
        <w:tc>
          <w:tcPr>
            <w:tcW w:w="2207" w:type="dxa"/>
            <w:shd w:val="clear" w:color="auto" w:fill="FFFFFF" w:themeFill="background1"/>
            <w:vAlign w:val="center"/>
          </w:tcPr>
          <w:p w14:paraId="0AFE5537" w14:textId="77777777" w:rsidR="00C16473" w:rsidRPr="008A7B02" w:rsidRDefault="00C16473" w:rsidP="008E13E4">
            <w:pPr>
              <w:jc w:val="center"/>
              <w:rPr>
                <w:sz w:val="22"/>
                <w:szCs w:val="22"/>
              </w:rPr>
            </w:pPr>
            <w:r w:rsidRPr="008A7B02">
              <w:rPr>
                <w:sz w:val="22"/>
                <w:szCs w:val="22"/>
              </w:rPr>
              <w:t>64(16.17)/87(12.40)</w:t>
            </w:r>
          </w:p>
        </w:tc>
        <w:tc>
          <w:tcPr>
            <w:tcW w:w="1701" w:type="dxa"/>
            <w:shd w:val="clear" w:color="auto" w:fill="FFFFFF" w:themeFill="background1"/>
            <w:vAlign w:val="center"/>
          </w:tcPr>
          <w:p w14:paraId="5A17CFE8" w14:textId="77777777" w:rsidR="00C16473" w:rsidRPr="008A7B02" w:rsidRDefault="00C16473" w:rsidP="008E13E4">
            <w:pPr>
              <w:jc w:val="center"/>
              <w:rPr>
                <w:sz w:val="22"/>
                <w:szCs w:val="22"/>
              </w:rPr>
            </w:pPr>
            <w:r w:rsidRPr="008A7B02">
              <w:rPr>
                <w:sz w:val="22"/>
                <w:szCs w:val="22"/>
              </w:rPr>
              <w:t>1.31 (0.80-2.17)</w:t>
            </w:r>
          </w:p>
        </w:tc>
      </w:tr>
      <w:tr w:rsidR="00C16473" w:rsidRPr="008A7B02" w14:paraId="1741949F" w14:textId="77777777" w:rsidTr="008E13E4">
        <w:trPr>
          <w:jc w:val="center"/>
        </w:trPr>
        <w:tc>
          <w:tcPr>
            <w:tcW w:w="2836" w:type="dxa"/>
            <w:shd w:val="clear" w:color="auto" w:fill="auto"/>
          </w:tcPr>
          <w:p w14:paraId="51DA1B74" w14:textId="77777777" w:rsidR="00C16473" w:rsidRPr="008A7B02" w:rsidRDefault="00C16473" w:rsidP="008E13E4">
            <w:pPr>
              <w:rPr>
                <w:i/>
                <w:sz w:val="22"/>
                <w:szCs w:val="22"/>
              </w:rPr>
            </w:pPr>
            <w:r w:rsidRPr="008A7B02">
              <w:rPr>
                <w:i/>
                <w:sz w:val="22"/>
                <w:szCs w:val="22"/>
              </w:rPr>
              <w:t>By family history of psychiatric disorder</w:t>
            </w:r>
          </w:p>
        </w:tc>
        <w:tc>
          <w:tcPr>
            <w:tcW w:w="2261" w:type="dxa"/>
            <w:shd w:val="clear" w:color="auto" w:fill="F2F2F2" w:themeFill="background1" w:themeFillShade="F2"/>
            <w:vAlign w:val="center"/>
          </w:tcPr>
          <w:p w14:paraId="375C18FE" w14:textId="77777777" w:rsidR="00C16473" w:rsidRPr="008A7B02" w:rsidRDefault="00C16473" w:rsidP="008E13E4">
            <w:pPr>
              <w:jc w:val="center"/>
              <w:rPr>
                <w:sz w:val="22"/>
                <w:szCs w:val="22"/>
              </w:rPr>
            </w:pPr>
          </w:p>
        </w:tc>
        <w:tc>
          <w:tcPr>
            <w:tcW w:w="1763" w:type="dxa"/>
            <w:shd w:val="clear" w:color="auto" w:fill="F2F2F2" w:themeFill="background1" w:themeFillShade="F2"/>
            <w:vAlign w:val="center"/>
          </w:tcPr>
          <w:p w14:paraId="633798AB" w14:textId="77777777" w:rsidR="00C16473" w:rsidRPr="008A7B02" w:rsidRDefault="00C16473" w:rsidP="008E13E4">
            <w:pPr>
              <w:jc w:val="center"/>
              <w:rPr>
                <w:sz w:val="22"/>
                <w:szCs w:val="22"/>
              </w:rPr>
            </w:pPr>
          </w:p>
        </w:tc>
        <w:tc>
          <w:tcPr>
            <w:tcW w:w="2207" w:type="dxa"/>
            <w:shd w:val="clear" w:color="auto" w:fill="FFFFFF" w:themeFill="background1"/>
            <w:vAlign w:val="center"/>
          </w:tcPr>
          <w:p w14:paraId="66E8D480" w14:textId="77777777" w:rsidR="00C16473" w:rsidRPr="008A7B02" w:rsidRDefault="00C16473" w:rsidP="008E13E4">
            <w:pPr>
              <w:jc w:val="center"/>
              <w:rPr>
                <w:sz w:val="22"/>
                <w:szCs w:val="22"/>
              </w:rPr>
            </w:pPr>
          </w:p>
        </w:tc>
        <w:tc>
          <w:tcPr>
            <w:tcW w:w="1701" w:type="dxa"/>
            <w:shd w:val="clear" w:color="auto" w:fill="FFFFFF" w:themeFill="background1"/>
            <w:vAlign w:val="center"/>
          </w:tcPr>
          <w:p w14:paraId="0D2D206C" w14:textId="77777777" w:rsidR="00C16473" w:rsidRPr="008A7B02" w:rsidRDefault="00C16473" w:rsidP="008E13E4">
            <w:pPr>
              <w:jc w:val="center"/>
              <w:rPr>
                <w:sz w:val="22"/>
                <w:szCs w:val="22"/>
              </w:rPr>
            </w:pPr>
          </w:p>
        </w:tc>
      </w:tr>
      <w:tr w:rsidR="00C16473" w:rsidRPr="008A7B02" w14:paraId="72A07AD2" w14:textId="77777777" w:rsidTr="008E13E4">
        <w:trPr>
          <w:jc w:val="center"/>
        </w:trPr>
        <w:tc>
          <w:tcPr>
            <w:tcW w:w="2836" w:type="dxa"/>
            <w:shd w:val="clear" w:color="auto" w:fill="auto"/>
          </w:tcPr>
          <w:p w14:paraId="49EF52E1" w14:textId="77777777" w:rsidR="00C16473" w:rsidRPr="008A7B02" w:rsidRDefault="00C16473" w:rsidP="008E13E4">
            <w:pPr>
              <w:ind w:left="175"/>
              <w:rPr>
                <w:sz w:val="22"/>
                <w:szCs w:val="22"/>
              </w:rPr>
            </w:pPr>
            <w:r w:rsidRPr="008A7B02">
              <w:rPr>
                <w:sz w:val="22"/>
                <w:szCs w:val="22"/>
              </w:rPr>
              <w:t>Yes</w:t>
            </w:r>
          </w:p>
        </w:tc>
        <w:tc>
          <w:tcPr>
            <w:tcW w:w="2261" w:type="dxa"/>
            <w:shd w:val="clear" w:color="auto" w:fill="F2F2F2" w:themeFill="background1" w:themeFillShade="F2"/>
          </w:tcPr>
          <w:p w14:paraId="7D4B67A3" w14:textId="77777777" w:rsidR="00C16473" w:rsidRPr="008A7B02" w:rsidRDefault="00C16473" w:rsidP="008E13E4">
            <w:pPr>
              <w:jc w:val="center"/>
              <w:rPr>
                <w:sz w:val="22"/>
                <w:szCs w:val="22"/>
              </w:rPr>
            </w:pPr>
            <w:r w:rsidRPr="008A7B02">
              <w:rPr>
                <w:sz w:val="22"/>
                <w:szCs w:val="22"/>
              </w:rPr>
              <w:t>271(15.64)/594(9.27)</w:t>
            </w:r>
          </w:p>
        </w:tc>
        <w:tc>
          <w:tcPr>
            <w:tcW w:w="1763" w:type="dxa"/>
            <w:shd w:val="clear" w:color="auto" w:fill="F2F2F2" w:themeFill="background1" w:themeFillShade="F2"/>
          </w:tcPr>
          <w:p w14:paraId="50D3D99E" w14:textId="77777777" w:rsidR="00C16473" w:rsidRPr="008A7B02" w:rsidRDefault="00C16473" w:rsidP="008E13E4">
            <w:pPr>
              <w:jc w:val="center"/>
              <w:rPr>
                <w:sz w:val="22"/>
                <w:szCs w:val="22"/>
              </w:rPr>
            </w:pPr>
            <w:r w:rsidRPr="008A7B02">
              <w:rPr>
                <w:sz w:val="22"/>
                <w:szCs w:val="22"/>
              </w:rPr>
              <w:t>1.56 (1.28-1.89)</w:t>
            </w:r>
          </w:p>
        </w:tc>
        <w:tc>
          <w:tcPr>
            <w:tcW w:w="2207" w:type="dxa"/>
            <w:shd w:val="clear" w:color="auto" w:fill="FFFFFF" w:themeFill="background1"/>
          </w:tcPr>
          <w:p w14:paraId="6A50508C" w14:textId="77777777" w:rsidR="00C16473" w:rsidRPr="008A7B02" w:rsidRDefault="00C16473" w:rsidP="008E13E4">
            <w:pPr>
              <w:jc w:val="center"/>
              <w:rPr>
                <w:sz w:val="22"/>
                <w:szCs w:val="22"/>
              </w:rPr>
            </w:pPr>
            <w:r w:rsidRPr="008A7B02">
              <w:rPr>
                <w:sz w:val="22"/>
                <w:szCs w:val="22"/>
              </w:rPr>
              <w:t>168(15.23)/210(9.48)</w:t>
            </w:r>
          </w:p>
        </w:tc>
        <w:tc>
          <w:tcPr>
            <w:tcW w:w="1701" w:type="dxa"/>
            <w:shd w:val="clear" w:color="auto" w:fill="FFFFFF" w:themeFill="background1"/>
          </w:tcPr>
          <w:p w14:paraId="262EF602" w14:textId="77777777" w:rsidR="00C16473" w:rsidRPr="008A7B02" w:rsidRDefault="00C16473" w:rsidP="008E13E4">
            <w:pPr>
              <w:jc w:val="center"/>
              <w:rPr>
                <w:sz w:val="22"/>
                <w:szCs w:val="22"/>
              </w:rPr>
            </w:pPr>
            <w:r w:rsidRPr="008A7B02">
              <w:rPr>
                <w:sz w:val="22"/>
                <w:szCs w:val="22"/>
              </w:rPr>
              <w:t>1.61 (1.27-2.03)</w:t>
            </w:r>
          </w:p>
        </w:tc>
      </w:tr>
      <w:tr w:rsidR="00C16473" w:rsidRPr="008A7B02" w14:paraId="34013654" w14:textId="77777777" w:rsidTr="008E13E4">
        <w:trPr>
          <w:jc w:val="center"/>
        </w:trPr>
        <w:tc>
          <w:tcPr>
            <w:tcW w:w="2836" w:type="dxa"/>
            <w:shd w:val="clear" w:color="auto" w:fill="auto"/>
          </w:tcPr>
          <w:p w14:paraId="1194D12A" w14:textId="77777777" w:rsidR="00C16473" w:rsidRPr="008A7B02" w:rsidRDefault="00C16473" w:rsidP="008E13E4">
            <w:pPr>
              <w:ind w:left="175"/>
              <w:rPr>
                <w:sz w:val="22"/>
                <w:szCs w:val="22"/>
              </w:rPr>
            </w:pPr>
            <w:r w:rsidRPr="008A7B02">
              <w:rPr>
                <w:sz w:val="22"/>
                <w:szCs w:val="22"/>
              </w:rPr>
              <w:t>No</w:t>
            </w:r>
          </w:p>
        </w:tc>
        <w:tc>
          <w:tcPr>
            <w:tcW w:w="2261" w:type="dxa"/>
            <w:shd w:val="clear" w:color="auto" w:fill="F2F2F2" w:themeFill="background1" w:themeFillShade="F2"/>
          </w:tcPr>
          <w:p w14:paraId="1528E9F0" w14:textId="77777777" w:rsidR="00C16473" w:rsidRPr="008A7B02" w:rsidRDefault="00C16473" w:rsidP="008E13E4">
            <w:pPr>
              <w:jc w:val="center"/>
              <w:rPr>
                <w:sz w:val="22"/>
                <w:szCs w:val="22"/>
              </w:rPr>
            </w:pPr>
            <w:r w:rsidRPr="008A7B02">
              <w:rPr>
                <w:sz w:val="22"/>
                <w:szCs w:val="22"/>
              </w:rPr>
              <w:t>255(10.01)/927(5.93)</w:t>
            </w:r>
          </w:p>
        </w:tc>
        <w:tc>
          <w:tcPr>
            <w:tcW w:w="1763" w:type="dxa"/>
            <w:shd w:val="clear" w:color="auto" w:fill="F2F2F2" w:themeFill="background1" w:themeFillShade="F2"/>
          </w:tcPr>
          <w:p w14:paraId="5DA36012" w14:textId="77777777" w:rsidR="00C16473" w:rsidRPr="008A7B02" w:rsidRDefault="00C16473" w:rsidP="008E13E4">
            <w:pPr>
              <w:jc w:val="center"/>
              <w:rPr>
                <w:sz w:val="22"/>
                <w:szCs w:val="22"/>
              </w:rPr>
            </w:pPr>
            <w:r w:rsidRPr="008A7B02">
              <w:rPr>
                <w:sz w:val="22"/>
                <w:szCs w:val="22"/>
              </w:rPr>
              <w:t>1.70 (1.45-1.99)</w:t>
            </w:r>
          </w:p>
        </w:tc>
        <w:tc>
          <w:tcPr>
            <w:tcW w:w="2207" w:type="dxa"/>
            <w:shd w:val="clear" w:color="auto" w:fill="FFFFFF" w:themeFill="background1"/>
          </w:tcPr>
          <w:p w14:paraId="5FA9821B" w14:textId="77777777" w:rsidR="00C16473" w:rsidRPr="008A7B02" w:rsidRDefault="00C16473" w:rsidP="008E13E4">
            <w:pPr>
              <w:jc w:val="center"/>
              <w:rPr>
                <w:sz w:val="22"/>
                <w:szCs w:val="22"/>
              </w:rPr>
            </w:pPr>
            <w:r w:rsidRPr="008A7B02">
              <w:rPr>
                <w:sz w:val="22"/>
                <w:szCs w:val="22"/>
              </w:rPr>
              <w:t>160(9.70)/205(6.75)</w:t>
            </w:r>
          </w:p>
        </w:tc>
        <w:tc>
          <w:tcPr>
            <w:tcW w:w="1701" w:type="dxa"/>
            <w:shd w:val="clear" w:color="auto" w:fill="FFFFFF" w:themeFill="background1"/>
          </w:tcPr>
          <w:p w14:paraId="04F13169" w14:textId="77777777" w:rsidR="00C16473" w:rsidRPr="008A7B02" w:rsidRDefault="00C16473" w:rsidP="008E13E4">
            <w:pPr>
              <w:jc w:val="center"/>
              <w:rPr>
                <w:sz w:val="22"/>
                <w:szCs w:val="22"/>
              </w:rPr>
            </w:pPr>
            <w:r w:rsidRPr="008A7B02">
              <w:rPr>
                <w:sz w:val="22"/>
                <w:szCs w:val="22"/>
              </w:rPr>
              <w:t>1.50 (1.19-1.89)</w:t>
            </w:r>
          </w:p>
        </w:tc>
      </w:tr>
      <w:tr w:rsidR="00C16473" w:rsidRPr="008A7B02" w14:paraId="10FF16CD" w14:textId="77777777" w:rsidTr="008E13E4">
        <w:trPr>
          <w:jc w:val="center"/>
        </w:trPr>
        <w:tc>
          <w:tcPr>
            <w:tcW w:w="2836" w:type="dxa"/>
            <w:shd w:val="clear" w:color="auto" w:fill="auto"/>
          </w:tcPr>
          <w:p w14:paraId="2D8DFC4C" w14:textId="77777777" w:rsidR="00C16473" w:rsidRPr="008A7B02" w:rsidRDefault="00C16473" w:rsidP="008E13E4">
            <w:pPr>
              <w:rPr>
                <w:i/>
                <w:sz w:val="22"/>
                <w:szCs w:val="22"/>
              </w:rPr>
            </w:pPr>
            <w:r w:rsidRPr="008A7B02">
              <w:rPr>
                <w:i/>
                <w:sz w:val="22"/>
                <w:szCs w:val="22"/>
              </w:rPr>
              <w:t xml:space="preserve">By cause of </w:t>
            </w:r>
            <w:r>
              <w:rPr>
                <w:i/>
                <w:sz w:val="22"/>
                <w:szCs w:val="22"/>
              </w:rPr>
              <w:t xml:space="preserve">the co-twin’s </w:t>
            </w:r>
            <w:r w:rsidRPr="008A7B02">
              <w:rPr>
                <w:i/>
                <w:sz w:val="22"/>
                <w:szCs w:val="22"/>
              </w:rPr>
              <w:t xml:space="preserve">death </w:t>
            </w:r>
          </w:p>
        </w:tc>
        <w:tc>
          <w:tcPr>
            <w:tcW w:w="2261" w:type="dxa"/>
            <w:shd w:val="clear" w:color="auto" w:fill="F2F2F2" w:themeFill="background1" w:themeFillShade="F2"/>
            <w:vAlign w:val="center"/>
          </w:tcPr>
          <w:p w14:paraId="3B14C9E6" w14:textId="77777777" w:rsidR="00C16473" w:rsidRPr="008A7B02" w:rsidRDefault="00C16473" w:rsidP="008E13E4">
            <w:pPr>
              <w:jc w:val="center"/>
              <w:rPr>
                <w:sz w:val="22"/>
                <w:szCs w:val="22"/>
              </w:rPr>
            </w:pPr>
          </w:p>
        </w:tc>
        <w:tc>
          <w:tcPr>
            <w:tcW w:w="1763" w:type="dxa"/>
            <w:shd w:val="clear" w:color="auto" w:fill="F2F2F2" w:themeFill="background1" w:themeFillShade="F2"/>
            <w:vAlign w:val="center"/>
          </w:tcPr>
          <w:p w14:paraId="279251AD" w14:textId="77777777" w:rsidR="00C16473" w:rsidRPr="008A7B02" w:rsidRDefault="00C16473" w:rsidP="008E13E4">
            <w:pPr>
              <w:jc w:val="center"/>
              <w:rPr>
                <w:sz w:val="22"/>
                <w:szCs w:val="22"/>
              </w:rPr>
            </w:pPr>
          </w:p>
        </w:tc>
        <w:tc>
          <w:tcPr>
            <w:tcW w:w="2207" w:type="dxa"/>
            <w:shd w:val="clear" w:color="auto" w:fill="FFFFFF" w:themeFill="background1"/>
            <w:vAlign w:val="center"/>
          </w:tcPr>
          <w:p w14:paraId="33541A83" w14:textId="77777777" w:rsidR="00C16473" w:rsidRPr="008A7B02" w:rsidRDefault="00C16473" w:rsidP="008E13E4">
            <w:pPr>
              <w:jc w:val="center"/>
              <w:rPr>
                <w:sz w:val="22"/>
                <w:szCs w:val="22"/>
              </w:rPr>
            </w:pPr>
          </w:p>
        </w:tc>
        <w:tc>
          <w:tcPr>
            <w:tcW w:w="1701" w:type="dxa"/>
            <w:shd w:val="clear" w:color="auto" w:fill="FFFFFF" w:themeFill="background1"/>
            <w:vAlign w:val="center"/>
          </w:tcPr>
          <w:p w14:paraId="3C89E410" w14:textId="77777777" w:rsidR="00C16473" w:rsidRPr="008A7B02" w:rsidRDefault="00C16473" w:rsidP="008E13E4">
            <w:pPr>
              <w:jc w:val="center"/>
              <w:rPr>
                <w:sz w:val="22"/>
                <w:szCs w:val="22"/>
              </w:rPr>
            </w:pPr>
          </w:p>
        </w:tc>
      </w:tr>
      <w:tr w:rsidR="00C16473" w:rsidRPr="008A7B02" w14:paraId="0FDE2A0B" w14:textId="77777777" w:rsidTr="008E13E4">
        <w:trPr>
          <w:jc w:val="center"/>
        </w:trPr>
        <w:tc>
          <w:tcPr>
            <w:tcW w:w="2836" w:type="dxa"/>
            <w:shd w:val="clear" w:color="auto" w:fill="auto"/>
            <w:vAlign w:val="center"/>
          </w:tcPr>
          <w:p w14:paraId="251A79E9" w14:textId="77777777" w:rsidR="00C16473" w:rsidRPr="008A7B02" w:rsidRDefault="00C16473" w:rsidP="008E13E4">
            <w:pPr>
              <w:ind w:left="175"/>
              <w:rPr>
                <w:sz w:val="22"/>
                <w:szCs w:val="22"/>
              </w:rPr>
            </w:pPr>
            <w:r w:rsidRPr="008A7B02">
              <w:rPr>
                <w:sz w:val="22"/>
                <w:szCs w:val="22"/>
              </w:rPr>
              <w:t>Unnatural death</w:t>
            </w:r>
          </w:p>
        </w:tc>
        <w:tc>
          <w:tcPr>
            <w:tcW w:w="2261" w:type="dxa"/>
            <w:shd w:val="clear" w:color="auto" w:fill="F2F2F2" w:themeFill="background1" w:themeFillShade="F2"/>
          </w:tcPr>
          <w:p w14:paraId="03C3A568" w14:textId="77777777" w:rsidR="00C16473" w:rsidRPr="008A7B02" w:rsidRDefault="00C16473" w:rsidP="008E13E4">
            <w:pPr>
              <w:jc w:val="center"/>
              <w:rPr>
                <w:sz w:val="22"/>
                <w:szCs w:val="22"/>
              </w:rPr>
            </w:pPr>
            <w:r w:rsidRPr="008A7B02">
              <w:rPr>
                <w:sz w:val="22"/>
                <w:szCs w:val="22"/>
              </w:rPr>
              <w:t>170(12.79)/425(6.09)</w:t>
            </w:r>
          </w:p>
        </w:tc>
        <w:tc>
          <w:tcPr>
            <w:tcW w:w="1763" w:type="dxa"/>
            <w:shd w:val="clear" w:color="auto" w:fill="F2F2F2" w:themeFill="background1" w:themeFillShade="F2"/>
          </w:tcPr>
          <w:p w14:paraId="03AD3E62" w14:textId="77777777" w:rsidR="00C16473" w:rsidRPr="008A7B02" w:rsidRDefault="00C16473" w:rsidP="008E13E4">
            <w:pPr>
              <w:jc w:val="center"/>
              <w:rPr>
                <w:sz w:val="22"/>
                <w:szCs w:val="22"/>
              </w:rPr>
            </w:pPr>
            <w:r w:rsidRPr="008A7B02">
              <w:rPr>
                <w:sz w:val="22"/>
                <w:szCs w:val="22"/>
              </w:rPr>
              <w:t>2.05 (1.70-2.47)</w:t>
            </w:r>
          </w:p>
        </w:tc>
        <w:tc>
          <w:tcPr>
            <w:tcW w:w="2207" w:type="dxa"/>
            <w:shd w:val="clear" w:color="auto" w:fill="FFFFFF" w:themeFill="background1"/>
          </w:tcPr>
          <w:p w14:paraId="283EE08A" w14:textId="77777777" w:rsidR="00C16473" w:rsidRPr="008A7B02" w:rsidRDefault="00C16473" w:rsidP="008E13E4">
            <w:pPr>
              <w:jc w:val="center"/>
              <w:rPr>
                <w:sz w:val="22"/>
                <w:szCs w:val="22"/>
              </w:rPr>
            </w:pPr>
            <w:r w:rsidRPr="008A7B02">
              <w:rPr>
                <w:sz w:val="22"/>
                <w:szCs w:val="22"/>
              </w:rPr>
              <w:t>106(11.48)/150(8.58)</w:t>
            </w:r>
          </w:p>
        </w:tc>
        <w:tc>
          <w:tcPr>
            <w:tcW w:w="1701" w:type="dxa"/>
            <w:shd w:val="clear" w:color="auto" w:fill="FFFFFF" w:themeFill="background1"/>
          </w:tcPr>
          <w:p w14:paraId="0F38C4AF" w14:textId="77777777" w:rsidR="00C16473" w:rsidRPr="008A7B02" w:rsidRDefault="00C16473" w:rsidP="008E13E4">
            <w:pPr>
              <w:jc w:val="center"/>
              <w:rPr>
                <w:sz w:val="22"/>
                <w:szCs w:val="22"/>
              </w:rPr>
            </w:pPr>
            <w:r w:rsidRPr="008A7B02">
              <w:rPr>
                <w:sz w:val="22"/>
                <w:szCs w:val="22"/>
              </w:rPr>
              <w:t>1.45 (1.09-1.92)</w:t>
            </w:r>
          </w:p>
        </w:tc>
      </w:tr>
      <w:tr w:rsidR="00C16473" w:rsidRPr="008A7B02" w14:paraId="6CD9E533" w14:textId="77777777" w:rsidTr="008E13E4">
        <w:trPr>
          <w:jc w:val="center"/>
        </w:trPr>
        <w:tc>
          <w:tcPr>
            <w:tcW w:w="2836" w:type="dxa"/>
            <w:shd w:val="clear" w:color="auto" w:fill="auto"/>
            <w:vAlign w:val="center"/>
          </w:tcPr>
          <w:p w14:paraId="58FFB1E0" w14:textId="77777777" w:rsidR="00C16473" w:rsidRPr="008A7B02" w:rsidRDefault="00C16473" w:rsidP="008E13E4">
            <w:pPr>
              <w:ind w:left="175"/>
              <w:rPr>
                <w:sz w:val="22"/>
                <w:szCs w:val="22"/>
              </w:rPr>
            </w:pPr>
            <w:r w:rsidRPr="008A7B02">
              <w:rPr>
                <w:sz w:val="22"/>
                <w:szCs w:val="22"/>
              </w:rPr>
              <w:t>Natural death</w:t>
            </w:r>
          </w:p>
        </w:tc>
        <w:tc>
          <w:tcPr>
            <w:tcW w:w="2261" w:type="dxa"/>
            <w:shd w:val="clear" w:color="auto" w:fill="F2F2F2" w:themeFill="background1" w:themeFillShade="F2"/>
          </w:tcPr>
          <w:p w14:paraId="6457BBF5" w14:textId="77777777" w:rsidR="00C16473" w:rsidRPr="008A7B02" w:rsidRDefault="00C16473" w:rsidP="008E13E4">
            <w:pPr>
              <w:jc w:val="center"/>
              <w:rPr>
                <w:sz w:val="22"/>
                <w:szCs w:val="22"/>
              </w:rPr>
            </w:pPr>
            <w:r w:rsidRPr="008A7B02">
              <w:rPr>
                <w:sz w:val="22"/>
                <w:szCs w:val="22"/>
              </w:rPr>
              <w:t>356(12.06)/1096(7.28)</w:t>
            </w:r>
          </w:p>
        </w:tc>
        <w:tc>
          <w:tcPr>
            <w:tcW w:w="1763" w:type="dxa"/>
            <w:shd w:val="clear" w:color="auto" w:fill="F2F2F2" w:themeFill="background1" w:themeFillShade="F2"/>
          </w:tcPr>
          <w:p w14:paraId="14D2A130" w14:textId="77777777" w:rsidR="00C16473" w:rsidRPr="008A7B02" w:rsidRDefault="00C16473" w:rsidP="008E13E4">
            <w:pPr>
              <w:jc w:val="center"/>
              <w:rPr>
                <w:sz w:val="22"/>
                <w:szCs w:val="22"/>
              </w:rPr>
            </w:pPr>
            <w:r w:rsidRPr="008A7B02">
              <w:rPr>
                <w:sz w:val="22"/>
                <w:szCs w:val="22"/>
              </w:rPr>
              <w:t>1.49 (1.32-1.69)</w:t>
            </w:r>
          </w:p>
        </w:tc>
        <w:tc>
          <w:tcPr>
            <w:tcW w:w="2207" w:type="dxa"/>
            <w:shd w:val="clear" w:color="auto" w:fill="FFFFFF" w:themeFill="background1"/>
          </w:tcPr>
          <w:p w14:paraId="6F7E7997" w14:textId="77777777" w:rsidR="00C16473" w:rsidRPr="008A7B02" w:rsidRDefault="00C16473" w:rsidP="008E13E4">
            <w:pPr>
              <w:jc w:val="center"/>
              <w:rPr>
                <w:sz w:val="22"/>
                <w:szCs w:val="22"/>
              </w:rPr>
            </w:pPr>
            <w:r w:rsidRPr="008A7B02">
              <w:rPr>
                <w:sz w:val="22"/>
                <w:szCs w:val="22"/>
              </w:rPr>
              <w:t>222(12.14)/265(7.57)</w:t>
            </w:r>
          </w:p>
        </w:tc>
        <w:tc>
          <w:tcPr>
            <w:tcW w:w="1701" w:type="dxa"/>
            <w:shd w:val="clear" w:color="auto" w:fill="FFFFFF" w:themeFill="background1"/>
          </w:tcPr>
          <w:p w14:paraId="620B76D0" w14:textId="77777777" w:rsidR="00C16473" w:rsidRPr="008A7B02" w:rsidRDefault="00C16473" w:rsidP="008E13E4">
            <w:pPr>
              <w:jc w:val="center"/>
              <w:rPr>
                <w:sz w:val="22"/>
                <w:szCs w:val="22"/>
              </w:rPr>
            </w:pPr>
            <w:r w:rsidRPr="008A7B02">
              <w:rPr>
                <w:sz w:val="22"/>
                <w:szCs w:val="22"/>
              </w:rPr>
              <w:t>1.62 (1.32-1.98)</w:t>
            </w:r>
          </w:p>
        </w:tc>
      </w:tr>
      <w:tr w:rsidR="00722A7A" w:rsidRPr="008A7B02" w14:paraId="75627681" w14:textId="77777777" w:rsidTr="00453773">
        <w:trPr>
          <w:jc w:val="center"/>
        </w:trPr>
        <w:tc>
          <w:tcPr>
            <w:tcW w:w="2836" w:type="dxa"/>
            <w:shd w:val="clear" w:color="auto" w:fill="auto"/>
          </w:tcPr>
          <w:p w14:paraId="3CAA15B2" w14:textId="3A15C32D" w:rsidR="00722A7A" w:rsidRPr="008A7B02" w:rsidRDefault="00722A7A" w:rsidP="00722A7A">
            <w:pPr>
              <w:rPr>
                <w:sz w:val="22"/>
                <w:szCs w:val="22"/>
              </w:rPr>
            </w:pPr>
            <w:r w:rsidRPr="00722A7A">
              <w:rPr>
                <w:rFonts w:hint="eastAsia"/>
                <w:i/>
                <w:sz w:val="22"/>
                <w:szCs w:val="22"/>
              </w:rPr>
              <w:t>B</w:t>
            </w:r>
            <w:r w:rsidRPr="00722A7A">
              <w:rPr>
                <w:i/>
                <w:sz w:val="22"/>
                <w:szCs w:val="22"/>
              </w:rPr>
              <w:t xml:space="preserve">y age difference: compared to the deceased </w:t>
            </w:r>
            <w:r>
              <w:rPr>
                <w:i/>
                <w:sz w:val="22"/>
                <w:szCs w:val="22"/>
              </w:rPr>
              <w:t>twin</w:t>
            </w:r>
            <w:r w:rsidRPr="00722A7A">
              <w:rPr>
                <w:i/>
                <w:sz w:val="22"/>
                <w:szCs w:val="22"/>
                <w:vertAlign w:val="superscript"/>
              </w:rPr>
              <w:t>†</w:t>
            </w:r>
            <w:r w:rsidRPr="00722A7A">
              <w:rPr>
                <w:i/>
                <w:sz w:val="22"/>
                <w:szCs w:val="22"/>
              </w:rPr>
              <w:t>, years</w:t>
            </w:r>
          </w:p>
        </w:tc>
        <w:tc>
          <w:tcPr>
            <w:tcW w:w="2261" w:type="dxa"/>
            <w:shd w:val="clear" w:color="auto" w:fill="F2F2F2" w:themeFill="background1" w:themeFillShade="F2"/>
          </w:tcPr>
          <w:p w14:paraId="640F30F1" w14:textId="77777777" w:rsidR="00722A7A" w:rsidRPr="008A7B02" w:rsidRDefault="00722A7A" w:rsidP="00722A7A">
            <w:pPr>
              <w:jc w:val="center"/>
              <w:rPr>
                <w:sz w:val="22"/>
                <w:szCs w:val="22"/>
              </w:rPr>
            </w:pPr>
          </w:p>
        </w:tc>
        <w:tc>
          <w:tcPr>
            <w:tcW w:w="1763" w:type="dxa"/>
            <w:shd w:val="clear" w:color="auto" w:fill="F2F2F2" w:themeFill="background1" w:themeFillShade="F2"/>
          </w:tcPr>
          <w:p w14:paraId="35D5813E" w14:textId="77777777" w:rsidR="00722A7A" w:rsidRPr="008A7B02" w:rsidRDefault="00722A7A" w:rsidP="00722A7A">
            <w:pPr>
              <w:jc w:val="center"/>
              <w:rPr>
                <w:sz w:val="22"/>
                <w:szCs w:val="22"/>
              </w:rPr>
            </w:pPr>
          </w:p>
        </w:tc>
        <w:tc>
          <w:tcPr>
            <w:tcW w:w="2207" w:type="dxa"/>
            <w:shd w:val="clear" w:color="auto" w:fill="FFFFFF" w:themeFill="background1"/>
          </w:tcPr>
          <w:p w14:paraId="5ACBEC62" w14:textId="77777777" w:rsidR="00722A7A" w:rsidRPr="008A7B02" w:rsidRDefault="00722A7A" w:rsidP="00722A7A">
            <w:pPr>
              <w:jc w:val="center"/>
              <w:rPr>
                <w:sz w:val="22"/>
                <w:szCs w:val="22"/>
              </w:rPr>
            </w:pPr>
          </w:p>
        </w:tc>
        <w:tc>
          <w:tcPr>
            <w:tcW w:w="1701" w:type="dxa"/>
            <w:shd w:val="clear" w:color="auto" w:fill="FFFFFF" w:themeFill="background1"/>
          </w:tcPr>
          <w:p w14:paraId="5C3842AB" w14:textId="77777777" w:rsidR="00722A7A" w:rsidRPr="008A7B02" w:rsidRDefault="00722A7A" w:rsidP="00722A7A">
            <w:pPr>
              <w:jc w:val="center"/>
              <w:rPr>
                <w:sz w:val="22"/>
                <w:szCs w:val="22"/>
              </w:rPr>
            </w:pPr>
          </w:p>
        </w:tc>
      </w:tr>
      <w:tr w:rsidR="00722A7A" w:rsidRPr="00722A7A" w14:paraId="27C105E4" w14:textId="77777777" w:rsidTr="00453773">
        <w:trPr>
          <w:jc w:val="center"/>
        </w:trPr>
        <w:tc>
          <w:tcPr>
            <w:tcW w:w="2836" w:type="dxa"/>
            <w:shd w:val="clear" w:color="auto" w:fill="auto"/>
          </w:tcPr>
          <w:p w14:paraId="73C1A293" w14:textId="330BCC01" w:rsidR="00722A7A" w:rsidRPr="00722A7A" w:rsidRDefault="00722A7A" w:rsidP="00722A7A">
            <w:pPr>
              <w:ind w:left="175"/>
              <w:rPr>
                <w:sz w:val="22"/>
                <w:szCs w:val="22"/>
              </w:rPr>
            </w:pPr>
            <w:r w:rsidRPr="00722A7A">
              <w:rPr>
                <w:sz w:val="22"/>
                <w:szCs w:val="22"/>
              </w:rPr>
              <w:t>0-2</w:t>
            </w:r>
          </w:p>
        </w:tc>
        <w:tc>
          <w:tcPr>
            <w:tcW w:w="2261" w:type="dxa"/>
            <w:shd w:val="clear" w:color="auto" w:fill="F2F2F2" w:themeFill="background1" w:themeFillShade="F2"/>
          </w:tcPr>
          <w:p w14:paraId="6686CD5F" w14:textId="09463A63" w:rsidR="00722A7A" w:rsidRPr="008A7B02" w:rsidRDefault="00722A7A" w:rsidP="00722A7A">
            <w:pPr>
              <w:jc w:val="center"/>
              <w:rPr>
                <w:sz w:val="22"/>
                <w:szCs w:val="22"/>
                <w:lang w:eastAsia="zh-CN"/>
              </w:rPr>
            </w:pPr>
            <w:r>
              <w:rPr>
                <w:rFonts w:hint="eastAsia"/>
                <w:sz w:val="22"/>
                <w:szCs w:val="22"/>
                <w:lang w:eastAsia="zh-CN"/>
              </w:rPr>
              <w:t>-</w:t>
            </w:r>
          </w:p>
        </w:tc>
        <w:tc>
          <w:tcPr>
            <w:tcW w:w="1763" w:type="dxa"/>
            <w:shd w:val="clear" w:color="auto" w:fill="F2F2F2" w:themeFill="background1" w:themeFillShade="F2"/>
          </w:tcPr>
          <w:p w14:paraId="5C81ABF9" w14:textId="663A8D80" w:rsidR="00722A7A" w:rsidRPr="008A7B02" w:rsidRDefault="00722A7A" w:rsidP="00722A7A">
            <w:pPr>
              <w:jc w:val="center"/>
              <w:rPr>
                <w:sz w:val="22"/>
                <w:szCs w:val="22"/>
                <w:lang w:eastAsia="zh-CN"/>
              </w:rPr>
            </w:pPr>
            <w:r>
              <w:rPr>
                <w:rFonts w:hint="eastAsia"/>
                <w:sz w:val="22"/>
                <w:szCs w:val="22"/>
                <w:lang w:eastAsia="zh-CN"/>
              </w:rPr>
              <w:t>-</w:t>
            </w:r>
          </w:p>
        </w:tc>
        <w:tc>
          <w:tcPr>
            <w:tcW w:w="2207" w:type="dxa"/>
            <w:shd w:val="clear" w:color="auto" w:fill="FFFFFF" w:themeFill="background1"/>
          </w:tcPr>
          <w:p w14:paraId="75AF4FF6" w14:textId="15DD4D4E" w:rsidR="00722A7A" w:rsidRPr="008A7B02" w:rsidRDefault="00722A7A" w:rsidP="00722A7A">
            <w:pPr>
              <w:jc w:val="center"/>
              <w:rPr>
                <w:sz w:val="22"/>
                <w:szCs w:val="22"/>
              </w:rPr>
            </w:pPr>
            <w:r w:rsidRPr="00722A7A">
              <w:rPr>
                <w:rFonts w:hint="eastAsia"/>
                <w:sz w:val="22"/>
                <w:szCs w:val="22"/>
              </w:rPr>
              <w:t>1</w:t>
            </w:r>
            <w:r w:rsidRPr="00722A7A">
              <w:rPr>
                <w:sz w:val="22"/>
                <w:szCs w:val="22"/>
              </w:rPr>
              <w:t>08(11.85)/104(9.79)</w:t>
            </w:r>
          </w:p>
        </w:tc>
        <w:tc>
          <w:tcPr>
            <w:tcW w:w="1701" w:type="dxa"/>
            <w:shd w:val="clear" w:color="auto" w:fill="FFFFFF" w:themeFill="background1"/>
          </w:tcPr>
          <w:p w14:paraId="619B8EC5" w14:textId="65EB56D1" w:rsidR="00722A7A" w:rsidRPr="008A7B02" w:rsidRDefault="00722A7A" w:rsidP="00722A7A">
            <w:pPr>
              <w:jc w:val="center"/>
              <w:rPr>
                <w:sz w:val="22"/>
                <w:szCs w:val="22"/>
              </w:rPr>
            </w:pPr>
            <w:r w:rsidRPr="00722A7A">
              <w:rPr>
                <w:rFonts w:hint="eastAsia"/>
                <w:sz w:val="22"/>
                <w:szCs w:val="22"/>
              </w:rPr>
              <w:t>1</w:t>
            </w:r>
            <w:r w:rsidRPr="00722A7A">
              <w:rPr>
                <w:sz w:val="22"/>
                <w:szCs w:val="22"/>
              </w:rPr>
              <w:t>.19 (0.87-1.62)</w:t>
            </w:r>
          </w:p>
        </w:tc>
      </w:tr>
      <w:tr w:rsidR="00722A7A" w:rsidRPr="00722A7A" w14:paraId="6AF17C23" w14:textId="77777777" w:rsidTr="00453773">
        <w:trPr>
          <w:jc w:val="center"/>
        </w:trPr>
        <w:tc>
          <w:tcPr>
            <w:tcW w:w="2836" w:type="dxa"/>
            <w:shd w:val="clear" w:color="auto" w:fill="auto"/>
          </w:tcPr>
          <w:p w14:paraId="05F80206" w14:textId="4D34302B" w:rsidR="00722A7A" w:rsidRPr="00722A7A" w:rsidRDefault="00722A7A" w:rsidP="00722A7A">
            <w:pPr>
              <w:ind w:left="175"/>
              <w:rPr>
                <w:sz w:val="22"/>
                <w:szCs w:val="22"/>
              </w:rPr>
            </w:pPr>
            <w:r w:rsidRPr="00722A7A">
              <w:rPr>
                <w:sz w:val="22"/>
                <w:szCs w:val="22"/>
              </w:rPr>
              <w:t>3-5</w:t>
            </w:r>
          </w:p>
        </w:tc>
        <w:tc>
          <w:tcPr>
            <w:tcW w:w="2261" w:type="dxa"/>
            <w:shd w:val="clear" w:color="auto" w:fill="F2F2F2" w:themeFill="background1" w:themeFillShade="F2"/>
          </w:tcPr>
          <w:p w14:paraId="1672565B" w14:textId="6F5367C6" w:rsidR="00722A7A" w:rsidRPr="008A7B02" w:rsidRDefault="00722A7A" w:rsidP="00722A7A">
            <w:pPr>
              <w:jc w:val="center"/>
              <w:rPr>
                <w:sz w:val="22"/>
                <w:szCs w:val="22"/>
                <w:lang w:eastAsia="zh-CN"/>
              </w:rPr>
            </w:pPr>
            <w:r>
              <w:rPr>
                <w:rFonts w:hint="eastAsia"/>
                <w:sz w:val="22"/>
                <w:szCs w:val="22"/>
                <w:lang w:eastAsia="zh-CN"/>
              </w:rPr>
              <w:t>-</w:t>
            </w:r>
          </w:p>
        </w:tc>
        <w:tc>
          <w:tcPr>
            <w:tcW w:w="1763" w:type="dxa"/>
            <w:shd w:val="clear" w:color="auto" w:fill="F2F2F2" w:themeFill="background1" w:themeFillShade="F2"/>
          </w:tcPr>
          <w:p w14:paraId="3B67A10C" w14:textId="378F85C8" w:rsidR="00722A7A" w:rsidRPr="008A7B02" w:rsidRDefault="00722A7A" w:rsidP="00722A7A">
            <w:pPr>
              <w:jc w:val="center"/>
              <w:rPr>
                <w:sz w:val="22"/>
                <w:szCs w:val="22"/>
                <w:lang w:eastAsia="zh-CN"/>
              </w:rPr>
            </w:pPr>
            <w:r>
              <w:rPr>
                <w:rFonts w:hint="eastAsia"/>
                <w:sz w:val="22"/>
                <w:szCs w:val="22"/>
                <w:lang w:eastAsia="zh-CN"/>
              </w:rPr>
              <w:t>-</w:t>
            </w:r>
          </w:p>
        </w:tc>
        <w:tc>
          <w:tcPr>
            <w:tcW w:w="2207" w:type="dxa"/>
            <w:shd w:val="clear" w:color="auto" w:fill="FFFFFF" w:themeFill="background1"/>
          </w:tcPr>
          <w:p w14:paraId="119A27D9" w14:textId="106E7395" w:rsidR="00722A7A" w:rsidRPr="008A7B02" w:rsidRDefault="00722A7A" w:rsidP="00722A7A">
            <w:pPr>
              <w:jc w:val="center"/>
              <w:rPr>
                <w:sz w:val="22"/>
                <w:szCs w:val="22"/>
              </w:rPr>
            </w:pPr>
            <w:r w:rsidRPr="00722A7A">
              <w:rPr>
                <w:rFonts w:hint="eastAsia"/>
                <w:sz w:val="22"/>
                <w:szCs w:val="22"/>
              </w:rPr>
              <w:t>1</w:t>
            </w:r>
            <w:r w:rsidRPr="00722A7A">
              <w:rPr>
                <w:sz w:val="22"/>
                <w:szCs w:val="22"/>
              </w:rPr>
              <w:t>74(11.55)/134(7.32)</w:t>
            </w:r>
          </w:p>
        </w:tc>
        <w:tc>
          <w:tcPr>
            <w:tcW w:w="1701" w:type="dxa"/>
            <w:shd w:val="clear" w:color="auto" w:fill="FFFFFF" w:themeFill="background1"/>
          </w:tcPr>
          <w:p w14:paraId="61F7652E" w14:textId="7854E4EE" w:rsidR="00722A7A" w:rsidRPr="008A7B02" w:rsidRDefault="00722A7A" w:rsidP="00722A7A">
            <w:pPr>
              <w:jc w:val="center"/>
              <w:rPr>
                <w:sz w:val="22"/>
                <w:szCs w:val="22"/>
              </w:rPr>
            </w:pPr>
            <w:r w:rsidRPr="00722A7A">
              <w:rPr>
                <w:rFonts w:hint="eastAsia"/>
                <w:sz w:val="22"/>
                <w:szCs w:val="22"/>
              </w:rPr>
              <w:t>1</w:t>
            </w:r>
            <w:r w:rsidRPr="00722A7A">
              <w:rPr>
                <w:sz w:val="22"/>
                <w:szCs w:val="22"/>
              </w:rPr>
              <w:t>.54 (1.19-2.00)</w:t>
            </w:r>
          </w:p>
        </w:tc>
      </w:tr>
      <w:tr w:rsidR="00722A7A" w:rsidRPr="00722A7A" w14:paraId="58FD22CD" w14:textId="77777777" w:rsidTr="00453773">
        <w:trPr>
          <w:jc w:val="center"/>
        </w:trPr>
        <w:tc>
          <w:tcPr>
            <w:tcW w:w="2836" w:type="dxa"/>
            <w:shd w:val="clear" w:color="auto" w:fill="auto"/>
          </w:tcPr>
          <w:p w14:paraId="4FC0D7DE" w14:textId="022CEE57" w:rsidR="00722A7A" w:rsidRPr="00722A7A" w:rsidRDefault="00722A7A" w:rsidP="00722A7A">
            <w:pPr>
              <w:ind w:left="175"/>
              <w:rPr>
                <w:sz w:val="22"/>
                <w:szCs w:val="22"/>
              </w:rPr>
            </w:pPr>
            <w:r w:rsidRPr="00722A7A">
              <w:rPr>
                <w:rFonts w:hint="eastAsia"/>
                <w:sz w:val="22"/>
                <w:szCs w:val="22"/>
              </w:rPr>
              <w:t>&gt;</w:t>
            </w:r>
            <w:r w:rsidRPr="00722A7A">
              <w:rPr>
                <w:sz w:val="22"/>
                <w:szCs w:val="22"/>
              </w:rPr>
              <w:t>5</w:t>
            </w:r>
          </w:p>
        </w:tc>
        <w:tc>
          <w:tcPr>
            <w:tcW w:w="2261" w:type="dxa"/>
            <w:shd w:val="clear" w:color="auto" w:fill="F2F2F2" w:themeFill="background1" w:themeFillShade="F2"/>
          </w:tcPr>
          <w:p w14:paraId="34263298" w14:textId="2373472B" w:rsidR="00722A7A" w:rsidRPr="008A7B02" w:rsidRDefault="00722A7A" w:rsidP="00722A7A">
            <w:pPr>
              <w:jc w:val="center"/>
              <w:rPr>
                <w:sz w:val="22"/>
                <w:szCs w:val="22"/>
                <w:lang w:eastAsia="zh-CN"/>
              </w:rPr>
            </w:pPr>
            <w:r>
              <w:rPr>
                <w:rFonts w:hint="eastAsia"/>
                <w:sz w:val="22"/>
                <w:szCs w:val="22"/>
                <w:lang w:eastAsia="zh-CN"/>
              </w:rPr>
              <w:t>-</w:t>
            </w:r>
          </w:p>
        </w:tc>
        <w:tc>
          <w:tcPr>
            <w:tcW w:w="1763" w:type="dxa"/>
            <w:shd w:val="clear" w:color="auto" w:fill="F2F2F2" w:themeFill="background1" w:themeFillShade="F2"/>
          </w:tcPr>
          <w:p w14:paraId="386FCDFB" w14:textId="29073E0B" w:rsidR="00722A7A" w:rsidRPr="008A7B02" w:rsidRDefault="00722A7A" w:rsidP="00722A7A">
            <w:pPr>
              <w:jc w:val="center"/>
              <w:rPr>
                <w:sz w:val="22"/>
                <w:szCs w:val="22"/>
                <w:lang w:eastAsia="zh-CN"/>
              </w:rPr>
            </w:pPr>
            <w:r>
              <w:rPr>
                <w:rFonts w:hint="eastAsia"/>
                <w:sz w:val="22"/>
                <w:szCs w:val="22"/>
                <w:lang w:eastAsia="zh-CN"/>
              </w:rPr>
              <w:t>-</w:t>
            </w:r>
          </w:p>
        </w:tc>
        <w:tc>
          <w:tcPr>
            <w:tcW w:w="2207" w:type="dxa"/>
            <w:shd w:val="clear" w:color="auto" w:fill="FFFFFF" w:themeFill="background1"/>
          </w:tcPr>
          <w:p w14:paraId="343DEB14" w14:textId="6BDF7B70" w:rsidR="00722A7A" w:rsidRPr="008A7B02" w:rsidRDefault="00722A7A" w:rsidP="00722A7A">
            <w:pPr>
              <w:jc w:val="center"/>
              <w:rPr>
                <w:sz w:val="22"/>
                <w:szCs w:val="22"/>
              </w:rPr>
            </w:pPr>
            <w:r w:rsidRPr="00722A7A">
              <w:rPr>
                <w:rFonts w:hint="eastAsia"/>
                <w:sz w:val="22"/>
                <w:szCs w:val="22"/>
              </w:rPr>
              <w:t>1</w:t>
            </w:r>
            <w:r w:rsidRPr="00722A7A">
              <w:rPr>
                <w:sz w:val="22"/>
                <w:szCs w:val="22"/>
              </w:rPr>
              <w:t>76(12.59)/177(7.51)</w:t>
            </w:r>
          </w:p>
        </w:tc>
        <w:tc>
          <w:tcPr>
            <w:tcW w:w="1701" w:type="dxa"/>
            <w:shd w:val="clear" w:color="auto" w:fill="FFFFFF" w:themeFill="background1"/>
          </w:tcPr>
          <w:p w14:paraId="46703063" w14:textId="778F76FD" w:rsidR="00722A7A" w:rsidRPr="008A7B02" w:rsidRDefault="00722A7A" w:rsidP="00722A7A">
            <w:pPr>
              <w:jc w:val="center"/>
              <w:rPr>
                <w:sz w:val="22"/>
                <w:szCs w:val="22"/>
              </w:rPr>
            </w:pPr>
            <w:r w:rsidRPr="00722A7A">
              <w:rPr>
                <w:rFonts w:hint="eastAsia"/>
                <w:sz w:val="22"/>
                <w:szCs w:val="22"/>
              </w:rPr>
              <w:t>1</w:t>
            </w:r>
            <w:r w:rsidRPr="00722A7A">
              <w:rPr>
                <w:sz w:val="22"/>
                <w:szCs w:val="22"/>
              </w:rPr>
              <w:t>.72 (1.35-2.18)</w:t>
            </w:r>
          </w:p>
        </w:tc>
      </w:tr>
    </w:tbl>
    <w:p w14:paraId="3A68A6E1" w14:textId="77777777" w:rsidR="00C16473" w:rsidRPr="008A7B02" w:rsidRDefault="00C16473" w:rsidP="00C16473">
      <w:pPr>
        <w:suppressAutoHyphens/>
        <w:autoSpaceDE w:val="0"/>
        <w:autoSpaceDN w:val="0"/>
        <w:textAlignment w:val="baseline"/>
        <w:rPr>
          <w:rFonts w:eastAsia="Times New Roman"/>
          <w:sz w:val="22"/>
          <w:szCs w:val="22"/>
          <w:lang w:eastAsia="sv-SE"/>
        </w:rPr>
      </w:pPr>
    </w:p>
    <w:p w14:paraId="116772BE" w14:textId="628DD04A" w:rsidR="00C16473" w:rsidRDefault="00C16473" w:rsidP="00C16473">
      <w:pPr>
        <w:rPr>
          <w:rFonts w:eastAsia="Times New Roman"/>
          <w:sz w:val="22"/>
          <w:szCs w:val="22"/>
          <w:lang w:eastAsia="sv-SE"/>
        </w:rPr>
      </w:pPr>
      <w:r w:rsidRPr="008A7B02">
        <w:rPr>
          <w:b/>
          <w:sz w:val="22"/>
          <w:szCs w:val="22"/>
          <w:vertAlign w:val="superscript"/>
        </w:rPr>
        <w:t>*</w:t>
      </w:r>
      <w:r w:rsidRPr="008A7B02">
        <w:rPr>
          <w:rFonts w:eastAsia="Times New Roman"/>
          <w:sz w:val="22"/>
          <w:szCs w:val="22"/>
          <w:lang w:eastAsia="sv-SE"/>
        </w:rPr>
        <w:t xml:space="preserve"> Cox regression models were stratified by matching identifiers (birth year and sex</w:t>
      </w:r>
      <w:r>
        <w:rPr>
          <w:rFonts w:eastAsia="Times New Roman"/>
          <w:sz w:val="22"/>
          <w:szCs w:val="22"/>
          <w:lang w:eastAsia="sv-SE"/>
        </w:rPr>
        <w:t xml:space="preserve">, in </w:t>
      </w:r>
      <w:r>
        <w:rPr>
          <w:rFonts w:eastAsia="Times New Roman"/>
          <w:bCs/>
          <w:color w:val="000000"/>
          <w:sz w:val="22"/>
          <w:szCs w:val="22"/>
          <w:lang w:eastAsia="sv-SE"/>
        </w:rPr>
        <w:t>matched twin</w:t>
      </w:r>
      <w:r w:rsidRPr="008A7B02">
        <w:rPr>
          <w:rFonts w:eastAsia="Times New Roman"/>
          <w:bCs/>
          <w:color w:val="000000"/>
          <w:sz w:val="22"/>
          <w:szCs w:val="22"/>
          <w:lang w:eastAsia="sv-SE"/>
        </w:rPr>
        <w:t xml:space="preserve"> cohort</w:t>
      </w:r>
      <w:r w:rsidRPr="008A7B02">
        <w:rPr>
          <w:rFonts w:eastAsia="Times New Roman"/>
          <w:sz w:val="22"/>
          <w:szCs w:val="22"/>
          <w:lang w:eastAsia="sv-SE"/>
        </w:rPr>
        <w:t>) or family identifiers</w:t>
      </w:r>
      <w:r>
        <w:rPr>
          <w:rFonts w:eastAsia="Times New Roman"/>
          <w:sz w:val="22"/>
          <w:szCs w:val="22"/>
          <w:lang w:eastAsia="sv-SE"/>
        </w:rPr>
        <w:t xml:space="preserve"> (in </w:t>
      </w:r>
      <w:r w:rsidR="00C13F3D">
        <w:rPr>
          <w:rFonts w:eastAsia="Times New Roman"/>
          <w:sz w:val="22"/>
          <w:szCs w:val="22"/>
          <w:lang w:eastAsia="sv-SE"/>
        </w:rPr>
        <w:t>twin-sibling cohort</w:t>
      </w:r>
      <w:r>
        <w:rPr>
          <w:rFonts w:eastAsia="Times New Roman"/>
          <w:sz w:val="22"/>
          <w:szCs w:val="22"/>
          <w:lang w:eastAsia="sv-SE"/>
        </w:rPr>
        <w:t>)</w:t>
      </w:r>
      <w:r w:rsidRPr="008A7B02">
        <w:rPr>
          <w:rFonts w:eastAsia="Times New Roman"/>
          <w:sz w:val="22"/>
          <w:szCs w:val="22"/>
          <w:lang w:eastAsia="sv-SE"/>
        </w:rPr>
        <w:t>, and adjusted for education level, family income, marital status, history of severe somatic diseases, and family history of psychiatric disorder. Time since the index date was used as underlying time scale.</w:t>
      </w:r>
    </w:p>
    <w:p w14:paraId="53D5624C" w14:textId="7A98DA5B" w:rsidR="00C16473" w:rsidRPr="00722A7A" w:rsidRDefault="00722A7A" w:rsidP="00722A7A">
      <w:pPr>
        <w:rPr>
          <w:rFonts w:eastAsia="Times New Roman"/>
          <w:sz w:val="22"/>
          <w:szCs w:val="22"/>
          <w:lang w:eastAsia="sv-SE"/>
        </w:rPr>
      </w:pPr>
      <w:r w:rsidRPr="00722A7A">
        <w:rPr>
          <w:rFonts w:eastAsia="Times New Roman" w:hint="eastAsia"/>
          <w:sz w:val="22"/>
          <w:szCs w:val="22"/>
          <w:vertAlign w:val="superscript"/>
          <w:lang w:eastAsia="sv-SE"/>
        </w:rPr>
        <w:t>†</w:t>
      </w:r>
      <w:r w:rsidRPr="00722A7A">
        <w:rPr>
          <w:rFonts w:eastAsia="Times New Roman"/>
          <w:sz w:val="22"/>
          <w:szCs w:val="22"/>
          <w:lang w:eastAsia="sv-SE"/>
        </w:rPr>
        <w:t xml:space="preserve"> The categorization was done according to</w:t>
      </w:r>
      <w:bookmarkStart w:id="0" w:name="_Hlk38979794"/>
      <w:r w:rsidRPr="00722A7A">
        <w:rPr>
          <w:rFonts w:eastAsia="Times New Roman"/>
          <w:sz w:val="22"/>
          <w:szCs w:val="22"/>
          <w:lang w:eastAsia="sv-SE"/>
        </w:rPr>
        <w:t xml:space="preserve"> the age of exposed </w:t>
      </w:r>
      <w:r>
        <w:rPr>
          <w:rFonts w:eastAsia="Times New Roman"/>
          <w:sz w:val="22"/>
          <w:szCs w:val="22"/>
          <w:lang w:eastAsia="sv-SE"/>
        </w:rPr>
        <w:t xml:space="preserve">non-twin </w:t>
      </w:r>
      <w:r w:rsidRPr="00722A7A">
        <w:rPr>
          <w:rFonts w:eastAsia="Times New Roman"/>
          <w:sz w:val="22"/>
          <w:szCs w:val="22"/>
          <w:lang w:eastAsia="sv-SE"/>
        </w:rPr>
        <w:t>full siblings compared to the deceased twin.</w:t>
      </w:r>
      <w:bookmarkEnd w:id="0"/>
    </w:p>
    <w:p w14:paraId="70316975" w14:textId="1DCB251C" w:rsidR="00C20A16" w:rsidRPr="00C20A16" w:rsidRDefault="00C84D86" w:rsidP="00C20A16">
      <w:pPr>
        <w:pStyle w:val="SMHeading"/>
      </w:pPr>
      <w:r>
        <w:t>Supplementary</w:t>
      </w:r>
      <w:r>
        <w:t xml:space="preserve"> </w:t>
      </w:r>
      <w:r w:rsidR="00C16473">
        <w:t xml:space="preserve">Table </w:t>
      </w:r>
      <w:bookmarkStart w:id="1" w:name="_GoBack"/>
      <w:bookmarkEnd w:id="1"/>
      <w:r w:rsidR="00C16473">
        <w:t>3</w:t>
      </w:r>
      <w:r w:rsidR="00015F74">
        <w:t>.</w:t>
      </w:r>
      <w:r w:rsidR="00C20A16">
        <w:t xml:space="preserve"> </w:t>
      </w:r>
      <w:r w:rsidR="00C20A16" w:rsidRPr="00E8648E">
        <w:rPr>
          <w:rFonts w:eastAsia="Times New Roman"/>
          <w:lang w:eastAsia="sv-SE"/>
        </w:rPr>
        <w:t xml:space="preserve">Hazard ratios (HRs) with 95% confidence intervals (CIs) for </w:t>
      </w:r>
      <w:r w:rsidR="00C20A16">
        <w:rPr>
          <w:rFonts w:eastAsia="Times New Roman"/>
          <w:lang w:eastAsia="sv-SE"/>
        </w:rPr>
        <w:t>any psychiatric disorder, identified by only primary diagnosis in the National Patient Register</w:t>
      </w:r>
      <w:r w:rsidR="00781D24">
        <w:rPr>
          <w:rFonts w:eastAsia="Times New Roman"/>
          <w:lang w:eastAsia="sv-SE"/>
        </w:rPr>
        <w:t xml:space="preserve"> or by only diagnosis from National Inpatient Register</w:t>
      </w:r>
      <w:r w:rsidR="00C20A16">
        <w:rPr>
          <w:rFonts w:eastAsia="Times New Roman"/>
          <w:lang w:eastAsia="sv-SE"/>
        </w:rPr>
        <w:t xml:space="preserve">, </w:t>
      </w:r>
      <w:r w:rsidR="00C20A16" w:rsidRPr="003966BE">
        <w:rPr>
          <w:rFonts w:eastAsia="Times New Roman"/>
          <w:lang w:eastAsia="sv-SE"/>
        </w:rPr>
        <w:t xml:space="preserve">among the surviving twins after co-twin loss, compared to matched unexposed twins (matched </w:t>
      </w:r>
      <w:r w:rsidR="00F34E61">
        <w:rPr>
          <w:rFonts w:eastAsia="Times New Roman"/>
          <w:lang w:eastAsia="sv-SE"/>
        </w:rPr>
        <w:t>twin</w:t>
      </w:r>
      <w:r w:rsidR="00C20A16" w:rsidRPr="003966BE">
        <w:rPr>
          <w:rFonts w:eastAsia="Times New Roman"/>
          <w:lang w:eastAsia="sv-SE"/>
        </w:rPr>
        <w:t xml:space="preserve"> cohort) or their full siblings (</w:t>
      </w:r>
      <w:r w:rsidR="00F34E61">
        <w:rPr>
          <w:rFonts w:eastAsia="Times New Roman"/>
          <w:lang w:eastAsia="sv-SE"/>
        </w:rPr>
        <w:t xml:space="preserve">twin-sibling </w:t>
      </w:r>
      <w:r w:rsidR="00C20A16" w:rsidRPr="003966BE">
        <w:rPr>
          <w:rFonts w:eastAsia="Times New Roman"/>
          <w:lang w:eastAsia="sv-SE"/>
        </w:rPr>
        <w:t>cohort)</w:t>
      </w:r>
    </w:p>
    <w:p w14:paraId="32A7B221" w14:textId="77777777" w:rsidR="00C20A16" w:rsidRPr="003966BE" w:rsidRDefault="00C20A16" w:rsidP="00C20A16">
      <w:pPr>
        <w:suppressAutoHyphens/>
        <w:autoSpaceDE w:val="0"/>
        <w:autoSpaceDN w:val="0"/>
        <w:textAlignment w:val="baseline"/>
        <w:rPr>
          <w:rFonts w:eastAsia="Times New Roman"/>
          <w:lang w:eastAsia="sv-SE"/>
        </w:rPr>
      </w:pPr>
    </w:p>
    <w:tbl>
      <w:tblPr>
        <w:tblW w:w="9127" w:type="dxa"/>
        <w:jc w:val="center"/>
        <w:tblBorders>
          <w:top w:val="single" w:sz="4" w:space="0" w:color="auto"/>
          <w:bottom w:val="single" w:sz="4" w:space="0" w:color="auto"/>
        </w:tblBorders>
        <w:tblLayout w:type="fixed"/>
        <w:tblLook w:val="04A0" w:firstRow="1" w:lastRow="0" w:firstColumn="1" w:lastColumn="0" w:noHBand="0" w:noVBand="1"/>
      </w:tblPr>
      <w:tblGrid>
        <w:gridCol w:w="5103"/>
        <w:gridCol w:w="2261"/>
        <w:gridCol w:w="1763"/>
      </w:tblGrid>
      <w:tr w:rsidR="00C20A16" w:rsidRPr="003966BE" w14:paraId="08E735B9" w14:textId="77777777" w:rsidTr="000A5BFF">
        <w:trPr>
          <w:jc w:val="center"/>
        </w:trPr>
        <w:tc>
          <w:tcPr>
            <w:tcW w:w="5103" w:type="dxa"/>
            <w:tcBorders>
              <w:top w:val="single" w:sz="4" w:space="0" w:color="auto"/>
              <w:bottom w:val="single" w:sz="4" w:space="0" w:color="auto"/>
            </w:tcBorders>
            <w:shd w:val="clear" w:color="auto" w:fill="auto"/>
          </w:tcPr>
          <w:p w14:paraId="666962F1" w14:textId="77777777" w:rsidR="00C20A16" w:rsidRPr="003966BE" w:rsidRDefault="00C20A16" w:rsidP="00254242">
            <w:pPr>
              <w:rPr>
                <w:sz w:val="22"/>
                <w:szCs w:val="22"/>
              </w:rPr>
            </w:pPr>
          </w:p>
        </w:tc>
        <w:tc>
          <w:tcPr>
            <w:tcW w:w="2261" w:type="dxa"/>
            <w:tcBorders>
              <w:top w:val="single" w:sz="4" w:space="0" w:color="auto"/>
              <w:bottom w:val="single" w:sz="4" w:space="0" w:color="auto"/>
            </w:tcBorders>
            <w:shd w:val="clear" w:color="auto" w:fill="auto"/>
            <w:vAlign w:val="center"/>
          </w:tcPr>
          <w:p w14:paraId="7405B846" w14:textId="77777777" w:rsidR="00C20A16" w:rsidRPr="003966BE" w:rsidRDefault="00C20A16" w:rsidP="00254242">
            <w:pPr>
              <w:jc w:val="center"/>
              <w:rPr>
                <w:sz w:val="22"/>
                <w:szCs w:val="22"/>
              </w:rPr>
            </w:pPr>
            <w:r w:rsidRPr="003966BE">
              <w:rPr>
                <w:sz w:val="22"/>
                <w:szCs w:val="22"/>
              </w:rPr>
              <w:t xml:space="preserve">Number of cases (Crude incidence rate, per 1000 person-years), exposed / unexposed </w:t>
            </w:r>
          </w:p>
        </w:tc>
        <w:tc>
          <w:tcPr>
            <w:tcW w:w="1763" w:type="dxa"/>
            <w:tcBorders>
              <w:top w:val="single" w:sz="4" w:space="0" w:color="auto"/>
              <w:bottom w:val="single" w:sz="4" w:space="0" w:color="auto"/>
            </w:tcBorders>
            <w:shd w:val="clear" w:color="auto" w:fill="auto"/>
            <w:vAlign w:val="center"/>
          </w:tcPr>
          <w:p w14:paraId="1A7B57E2" w14:textId="314A7335" w:rsidR="00C20A16" w:rsidRPr="003966BE" w:rsidRDefault="00C20A16" w:rsidP="00254242">
            <w:pPr>
              <w:jc w:val="center"/>
              <w:rPr>
                <w:sz w:val="22"/>
                <w:szCs w:val="22"/>
              </w:rPr>
            </w:pPr>
            <w:r w:rsidRPr="003966BE">
              <w:rPr>
                <w:sz w:val="22"/>
                <w:szCs w:val="22"/>
              </w:rPr>
              <w:t>HR</w:t>
            </w:r>
            <w:r w:rsidR="004E4744">
              <w:rPr>
                <w:sz w:val="22"/>
                <w:szCs w:val="22"/>
              </w:rPr>
              <w:t xml:space="preserve"> </w:t>
            </w:r>
            <w:r w:rsidRPr="003966BE">
              <w:rPr>
                <w:sz w:val="22"/>
                <w:szCs w:val="22"/>
              </w:rPr>
              <w:t>(95% CI)</w:t>
            </w:r>
            <w:r w:rsidRPr="003966BE">
              <w:rPr>
                <w:sz w:val="22"/>
                <w:szCs w:val="22"/>
                <w:vertAlign w:val="superscript"/>
              </w:rPr>
              <w:t>*</w:t>
            </w:r>
          </w:p>
        </w:tc>
      </w:tr>
      <w:tr w:rsidR="00781D24" w:rsidRPr="003966BE" w14:paraId="1D381A44" w14:textId="77777777" w:rsidTr="000A5BFF">
        <w:trPr>
          <w:jc w:val="center"/>
        </w:trPr>
        <w:tc>
          <w:tcPr>
            <w:tcW w:w="5103" w:type="dxa"/>
            <w:tcBorders>
              <w:top w:val="nil"/>
            </w:tcBorders>
            <w:shd w:val="clear" w:color="auto" w:fill="F2F2F2" w:themeFill="background1" w:themeFillShade="F2"/>
          </w:tcPr>
          <w:p w14:paraId="0308B920" w14:textId="343F989A" w:rsidR="00781D24" w:rsidRPr="003966BE" w:rsidRDefault="00781D24" w:rsidP="00781D24">
            <w:pPr>
              <w:suppressAutoHyphens/>
              <w:autoSpaceDE w:val="0"/>
              <w:autoSpaceDN w:val="0"/>
              <w:textAlignment w:val="baseline"/>
              <w:rPr>
                <w:rFonts w:eastAsia="Times New Roman"/>
                <w:bCs/>
                <w:color w:val="000000"/>
                <w:sz w:val="22"/>
                <w:szCs w:val="22"/>
                <w:lang w:eastAsia="sv-SE"/>
              </w:rPr>
            </w:pPr>
            <w:r w:rsidRPr="00781D24">
              <w:rPr>
                <w:i/>
                <w:sz w:val="22"/>
                <w:szCs w:val="22"/>
                <w:u w:val="single"/>
              </w:rPr>
              <w:t xml:space="preserve">Only </w:t>
            </w:r>
            <w:r w:rsidRPr="00547631">
              <w:rPr>
                <w:b/>
                <w:i/>
                <w:sz w:val="22"/>
                <w:szCs w:val="22"/>
                <w:u w:val="single"/>
              </w:rPr>
              <w:t>primary</w:t>
            </w:r>
            <w:r w:rsidRPr="00781D24">
              <w:rPr>
                <w:i/>
                <w:sz w:val="22"/>
                <w:szCs w:val="22"/>
                <w:u w:val="single"/>
              </w:rPr>
              <w:t xml:space="preserve"> diagnosis in National Patient Regis</w:t>
            </w:r>
            <w:r>
              <w:rPr>
                <w:i/>
                <w:sz w:val="22"/>
                <w:szCs w:val="22"/>
                <w:u w:val="single"/>
              </w:rPr>
              <w:t>ter</w:t>
            </w:r>
          </w:p>
        </w:tc>
        <w:tc>
          <w:tcPr>
            <w:tcW w:w="2261" w:type="dxa"/>
            <w:tcBorders>
              <w:top w:val="nil"/>
            </w:tcBorders>
            <w:shd w:val="clear" w:color="auto" w:fill="F2F2F2" w:themeFill="background1" w:themeFillShade="F2"/>
          </w:tcPr>
          <w:p w14:paraId="00B2A50B" w14:textId="77777777" w:rsidR="00781D24" w:rsidRPr="003966BE" w:rsidRDefault="00781D24" w:rsidP="00781D24">
            <w:pPr>
              <w:suppressAutoHyphens/>
              <w:autoSpaceDE w:val="0"/>
              <w:autoSpaceDN w:val="0"/>
              <w:textAlignment w:val="baseline"/>
              <w:rPr>
                <w:sz w:val="22"/>
                <w:szCs w:val="22"/>
              </w:rPr>
            </w:pPr>
          </w:p>
        </w:tc>
        <w:tc>
          <w:tcPr>
            <w:tcW w:w="1763" w:type="dxa"/>
            <w:tcBorders>
              <w:top w:val="nil"/>
            </w:tcBorders>
            <w:shd w:val="clear" w:color="auto" w:fill="F2F2F2" w:themeFill="background1" w:themeFillShade="F2"/>
          </w:tcPr>
          <w:p w14:paraId="6072551D" w14:textId="77777777" w:rsidR="00781D24" w:rsidRPr="003966BE" w:rsidRDefault="00781D24" w:rsidP="00781D24">
            <w:pPr>
              <w:suppressAutoHyphens/>
              <w:autoSpaceDE w:val="0"/>
              <w:autoSpaceDN w:val="0"/>
              <w:textAlignment w:val="baseline"/>
              <w:rPr>
                <w:sz w:val="22"/>
                <w:szCs w:val="22"/>
              </w:rPr>
            </w:pPr>
          </w:p>
        </w:tc>
      </w:tr>
      <w:tr w:rsidR="00781D24" w:rsidRPr="003966BE" w14:paraId="4D25E28B" w14:textId="77777777" w:rsidTr="000A5BFF">
        <w:trPr>
          <w:jc w:val="center"/>
        </w:trPr>
        <w:tc>
          <w:tcPr>
            <w:tcW w:w="5103" w:type="dxa"/>
            <w:tcBorders>
              <w:top w:val="nil"/>
            </w:tcBorders>
            <w:shd w:val="clear" w:color="auto" w:fill="F2F2F2" w:themeFill="background1" w:themeFillShade="F2"/>
          </w:tcPr>
          <w:p w14:paraId="2904ABA9" w14:textId="62BB6C69" w:rsidR="00781D24" w:rsidRPr="003966BE" w:rsidRDefault="00781D24" w:rsidP="00781D24">
            <w:pPr>
              <w:suppressAutoHyphens/>
              <w:autoSpaceDE w:val="0"/>
              <w:autoSpaceDN w:val="0"/>
              <w:textAlignment w:val="baseline"/>
              <w:rPr>
                <w:rFonts w:eastAsia="Times New Roman"/>
                <w:bCs/>
                <w:color w:val="000000"/>
                <w:sz w:val="22"/>
                <w:szCs w:val="22"/>
                <w:lang w:eastAsia="sv-SE"/>
              </w:rPr>
            </w:pPr>
            <w:r w:rsidRPr="003966BE">
              <w:rPr>
                <w:rFonts w:eastAsia="Times New Roman"/>
                <w:bCs/>
                <w:color w:val="000000"/>
                <w:sz w:val="22"/>
                <w:szCs w:val="22"/>
                <w:lang w:eastAsia="sv-SE"/>
              </w:rPr>
              <w:t xml:space="preserve">Matched </w:t>
            </w:r>
            <w:r>
              <w:rPr>
                <w:rFonts w:eastAsia="Times New Roman"/>
                <w:bCs/>
                <w:color w:val="000000"/>
                <w:sz w:val="22"/>
                <w:szCs w:val="22"/>
                <w:lang w:eastAsia="sv-SE"/>
              </w:rPr>
              <w:t>twin</w:t>
            </w:r>
            <w:r w:rsidRPr="003966BE">
              <w:rPr>
                <w:rFonts w:eastAsia="Times New Roman"/>
                <w:bCs/>
                <w:color w:val="000000"/>
                <w:sz w:val="22"/>
                <w:szCs w:val="22"/>
                <w:lang w:eastAsia="sv-SE"/>
              </w:rPr>
              <w:t xml:space="preserve"> cohort </w:t>
            </w:r>
          </w:p>
        </w:tc>
        <w:tc>
          <w:tcPr>
            <w:tcW w:w="2261" w:type="dxa"/>
            <w:tcBorders>
              <w:top w:val="nil"/>
            </w:tcBorders>
            <w:shd w:val="clear" w:color="auto" w:fill="F2F2F2" w:themeFill="background1" w:themeFillShade="F2"/>
          </w:tcPr>
          <w:p w14:paraId="333A47BD" w14:textId="77777777" w:rsidR="00781D24" w:rsidRPr="003966BE" w:rsidRDefault="00781D24" w:rsidP="00781D24">
            <w:pPr>
              <w:suppressAutoHyphens/>
              <w:autoSpaceDE w:val="0"/>
              <w:autoSpaceDN w:val="0"/>
              <w:textAlignment w:val="baseline"/>
              <w:rPr>
                <w:sz w:val="22"/>
                <w:szCs w:val="22"/>
              </w:rPr>
            </w:pPr>
            <w:r w:rsidRPr="003966BE">
              <w:rPr>
                <w:sz w:val="22"/>
                <w:szCs w:val="22"/>
              </w:rPr>
              <w:t>395(9.12)/1081(4.87)</w:t>
            </w:r>
          </w:p>
        </w:tc>
        <w:tc>
          <w:tcPr>
            <w:tcW w:w="1763" w:type="dxa"/>
            <w:tcBorders>
              <w:top w:val="nil"/>
            </w:tcBorders>
            <w:shd w:val="clear" w:color="auto" w:fill="F2F2F2" w:themeFill="background1" w:themeFillShade="F2"/>
          </w:tcPr>
          <w:p w14:paraId="5DDEF33A" w14:textId="77777777" w:rsidR="00781D24" w:rsidRPr="003966BE" w:rsidRDefault="00781D24" w:rsidP="00781D24">
            <w:pPr>
              <w:suppressAutoHyphens/>
              <w:autoSpaceDE w:val="0"/>
              <w:autoSpaceDN w:val="0"/>
              <w:textAlignment w:val="baseline"/>
              <w:rPr>
                <w:sz w:val="22"/>
                <w:szCs w:val="22"/>
              </w:rPr>
            </w:pPr>
            <w:r w:rsidRPr="003966BE">
              <w:rPr>
                <w:sz w:val="22"/>
                <w:szCs w:val="22"/>
              </w:rPr>
              <w:t>1.75 (1.55-1.97)</w:t>
            </w:r>
          </w:p>
        </w:tc>
      </w:tr>
      <w:tr w:rsidR="00781D24" w:rsidRPr="003966BE" w14:paraId="1CC430D7" w14:textId="77777777" w:rsidTr="000A5BFF">
        <w:trPr>
          <w:jc w:val="center"/>
        </w:trPr>
        <w:tc>
          <w:tcPr>
            <w:tcW w:w="5103" w:type="dxa"/>
            <w:shd w:val="clear" w:color="auto" w:fill="F2F2F2" w:themeFill="background1" w:themeFillShade="F2"/>
          </w:tcPr>
          <w:p w14:paraId="4170CC9B" w14:textId="368C6706" w:rsidR="00781D24" w:rsidRPr="003966BE" w:rsidRDefault="003A75F5" w:rsidP="00781D24">
            <w:pPr>
              <w:suppressAutoHyphens/>
              <w:autoSpaceDE w:val="0"/>
              <w:autoSpaceDN w:val="0"/>
              <w:textAlignment w:val="baseline"/>
              <w:rPr>
                <w:rFonts w:eastAsia="Times New Roman"/>
                <w:bCs/>
                <w:color w:val="000000"/>
                <w:sz w:val="22"/>
                <w:szCs w:val="22"/>
                <w:lang w:eastAsia="sv-SE"/>
              </w:rPr>
            </w:pPr>
            <w:r>
              <w:rPr>
                <w:rFonts w:eastAsia="Times New Roman"/>
                <w:bCs/>
                <w:color w:val="000000"/>
                <w:sz w:val="22"/>
                <w:szCs w:val="22"/>
                <w:lang w:eastAsia="sv-SE"/>
              </w:rPr>
              <w:t xml:space="preserve">Twin-sibling </w:t>
            </w:r>
            <w:r w:rsidR="00781D24" w:rsidRPr="003966BE">
              <w:rPr>
                <w:rFonts w:eastAsia="Times New Roman"/>
                <w:bCs/>
                <w:color w:val="000000"/>
                <w:sz w:val="22"/>
                <w:szCs w:val="22"/>
                <w:lang w:eastAsia="sv-SE"/>
              </w:rPr>
              <w:t xml:space="preserve">cohort </w:t>
            </w:r>
          </w:p>
        </w:tc>
        <w:tc>
          <w:tcPr>
            <w:tcW w:w="2261" w:type="dxa"/>
            <w:shd w:val="clear" w:color="auto" w:fill="F2F2F2" w:themeFill="background1" w:themeFillShade="F2"/>
          </w:tcPr>
          <w:p w14:paraId="1F66358B" w14:textId="77777777" w:rsidR="00781D24" w:rsidRPr="003966BE" w:rsidRDefault="00781D24" w:rsidP="00781D24">
            <w:pPr>
              <w:suppressAutoHyphens/>
              <w:autoSpaceDE w:val="0"/>
              <w:autoSpaceDN w:val="0"/>
              <w:textAlignment w:val="baseline"/>
              <w:rPr>
                <w:sz w:val="22"/>
                <w:szCs w:val="22"/>
              </w:rPr>
            </w:pPr>
            <w:r w:rsidRPr="003966BE">
              <w:rPr>
                <w:sz w:val="22"/>
                <w:szCs w:val="22"/>
              </w:rPr>
              <w:t>247(8.86)/288(5.44)</w:t>
            </w:r>
          </w:p>
        </w:tc>
        <w:tc>
          <w:tcPr>
            <w:tcW w:w="1763" w:type="dxa"/>
            <w:shd w:val="clear" w:color="auto" w:fill="F2F2F2" w:themeFill="background1" w:themeFillShade="F2"/>
          </w:tcPr>
          <w:p w14:paraId="2F20EA2B" w14:textId="77777777" w:rsidR="00781D24" w:rsidRPr="003966BE" w:rsidRDefault="00781D24" w:rsidP="00781D24">
            <w:pPr>
              <w:suppressAutoHyphens/>
              <w:autoSpaceDE w:val="0"/>
              <w:autoSpaceDN w:val="0"/>
              <w:textAlignment w:val="baseline"/>
              <w:rPr>
                <w:sz w:val="22"/>
                <w:szCs w:val="22"/>
              </w:rPr>
            </w:pPr>
            <w:r w:rsidRPr="003966BE">
              <w:rPr>
                <w:sz w:val="22"/>
                <w:szCs w:val="22"/>
              </w:rPr>
              <w:t>1.66 (1.37-2.01)</w:t>
            </w:r>
          </w:p>
        </w:tc>
      </w:tr>
      <w:tr w:rsidR="00781D24" w:rsidRPr="003966BE" w14:paraId="3D785022" w14:textId="77777777" w:rsidTr="000A5BFF">
        <w:trPr>
          <w:jc w:val="center"/>
        </w:trPr>
        <w:tc>
          <w:tcPr>
            <w:tcW w:w="5103" w:type="dxa"/>
            <w:shd w:val="clear" w:color="auto" w:fill="FFFFFF" w:themeFill="background1"/>
          </w:tcPr>
          <w:p w14:paraId="4D2F45F8" w14:textId="7B009879" w:rsidR="00781D24" w:rsidRPr="00781D24" w:rsidRDefault="00781D24" w:rsidP="00781D24">
            <w:pPr>
              <w:suppressAutoHyphens/>
              <w:autoSpaceDE w:val="0"/>
              <w:autoSpaceDN w:val="0"/>
              <w:textAlignment w:val="baseline"/>
              <w:rPr>
                <w:rFonts w:eastAsia="Times New Roman"/>
                <w:bCs/>
                <w:i/>
                <w:color w:val="000000"/>
                <w:sz w:val="22"/>
                <w:szCs w:val="22"/>
                <w:u w:val="single"/>
                <w:lang w:eastAsia="sv-SE"/>
              </w:rPr>
            </w:pPr>
            <w:r w:rsidRPr="00781D24">
              <w:rPr>
                <w:rFonts w:eastAsia="Times New Roman"/>
                <w:bCs/>
                <w:i/>
                <w:color w:val="000000"/>
                <w:sz w:val="22"/>
                <w:szCs w:val="22"/>
                <w:u w:val="single"/>
                <w:lang w:eastAsia="sv-SE"/>
              </w:rPr>
              <w:t>Only diagnosis from</w:t>
            </w:r>
            <w:r w:rsidR="000A5BFF" w:rsidRPr="00781D24">
              <w:rPr>
                <w:i/>
                <w:sz w:val="22"/>
                <w:szCs w:val="22"/>
                <w:u w:val="single"/>
              </w:rPr>
              <w:t xml:space="preserve"> National</w:t>
            </w:r>
            <w:r w:rsidRPr="00781D24">
              <w:rPr>
                <w:rFonts w:eastAsia="Times New Roman"/>
                <w:bCs/>
                <w:i/>
                <w:color w:val="000000"/>
                <w:sz w:val="22"/>
                <w:szCs w:val="22"/>
                <w:u w:val="single"/>
                <w:lang w:eastAsia="sv-SE"/>
              </w:rPr>
              <w:t xml:space="preserve"> </w:t>
            </w:r>
            <w:r w:rsidRPr="00547631">
              <w:rPr>
                <w:rFonts w:eastAsia="Times New Roman"/>
                <w:b/>
                <w:bCs/>
                <w:i/>
                <w:color w:val="000000"/>
                <w:sz w:val="22"/>
                <w:szCs w:val="22"/>
                <w:u w:val="single"/>
                <w:lang w:eastAsia="sv-SE"/>
              </w:rPr>
              <w:t>Inpatient</w:t>
            </w:r>
            <w:r w:rsidRPr="00781D24">
              <w:rPr>
                <w:rFonts w:eastAsia="Times New Roman"/>
                <w:bCs/>
                <w:i/>
                <w:color w:val="000000"/>
                <w:sz w:val="22"/>
                <w:szCs w:val="22"/>
                <w:u w:val="single"/>
                <w:lang w:eastAsia="sv-SE"/>
              </w:rPr>
              <w:t xml:space="preserve"> Register</w:t>
            </w:r>
          </w:p>
        </w:tc>
        <w:tc>
          <w:tcPr>
            <w:tcW w:w="2261" w:type="dxa"/>
            <w:shd w:val="clear" w:color="auto" w:fill="FFFFFF" w:themeFill="background1"/>
          </w:tcPr>
          <w:p w14:paraId="299C0DAB" w14:textId="77777777" w:rsidR="00781D24" w:rsidRPr="003966BE" w:rsidRDefault="00781D24" w:rsidP="00781D24">
            <w:pPr>
              <w:suppressAutoHyphens/>
              <w:autoSpaceDE w:val="0"/>
              <w:autoSpaceDN w:val="0"/>
              <w:textAlignment w:val="baseline"/>
              <w:rPr>
                <w:sz w:val="22"/>
                <w:szCs w:val="22"/>
              </w:rPr>
            </w:pPr>
          </w:p>
        </w:tc>
        <w:tc>
          <w:tcPr>
            <w:tcW w:w="1763" w:type="dxa"/>
            <w:shd w:val="clear" w:color="auto" w:fill="FFFFFF" w:themeFill="background1"/>
          </w:tcPr>
          <w:p w14:paraId="62C5130A" w14:textId="77777777" w:rsidR="00781D24" w:rsidRPr="003966BE" w:rsidRDefault="00781D24" w:rsidP="00781D24">
            <w:pPr>
              <w:suppressAutoHyphens/>
              <w:autoSpaceDE w:val="0"/>
              <w:autoSpaceDN w:val="0"/>
              <w:textAlignment w:val="baseline"/>
              <w:rPr>
                <w:sz w:val="22"/>
                <w:szCs w:val="22"/>
              </w:rPr>
            </w:pPr>
          </w:p>
        </w:tc>
      </w:tr>
      <w:tr w:rsidR="00781D24" w:rsidRPr="003966BE" w14:paraId="40A5B77D" w14:textId="77777777" w:rsidTr="000A5BFF">
        <w:trPr>
          <w:jc w:val="center"/>
        </w:trPr>
        <w:tc>
          <w:tcPr>
            <w:tcW w:w="5103" w:type="dxa"/>
            <w:shd w:val="clear" w:color="auto" w:fill="FFFFFF" w:themeFill="background1"/>
          </w:tcPr>
          <w:p w14:paraId="434455AD" w14:textId="71079C3E" w:rsidR="00781D24" w:rsidRDefault="00781D24" w:rsidP="00781D24">
            <w:pPr>
              <w:suppressAutoHyphens/>
              <w:autoSpaceDE w:val="0"/>
              <w:autoSpaceDN w:val="0"/>
              <w:textAlignment w:val="baseline"/>
              <w:rPr>
                <w:rFonts w:eastAsia="Times New Roman"/>
                <w:bCs/>
                <w:color w:val="000000"/>
                <w:sz w:val="22"/>
                <w:szCs w:val="22"/>
                <w:lang w:eastAsia="sv-SE"/>
              </w:rPr>
            </w:pPr>
            <w:r w:rsidRPr="003966BE">
              <w:rPr>
                <w:rFonts w:eastAsia="Times New Roman"/>
                <w:bCs/>
                <w:color w:val="000000"/>
                <w:sz w:val="22"/>
                <w:szCs w:val="22"/>
                <w:lang w:eastAsia="sv-SE"/>
              </w:rPr>
              <w:t xml:space="preserve">Matched </w:t>
            </w:r>
            <w:r>
              <w:rPr>
                <w:rFonts w:eastAsia="Times New Roman"/>
                <w:bCs/>
                <w:color w:val="000000"/>
                <w:sz w:val="22"/>
                <w:szCs w:val="22"/>
                <w:lang w:eastAsia="sv-SE"/>
              </w:rPr>
              <w:t>twin</w:t>
            </w:r>
            <w:r w:rsidRPr="003966BE">
              <w:rPr>
                <w:rFonts w:eastAsia="Times New Roman"/>
                <w:bCs/>
                <w:color w:val="000000"/>
                <w:sz w:val="22"/>
                <w:szCs w:val="22"/>
                <w:lang w:eastAsia="sv-SE"/>
              </w:rPr>
              <w:t xml:space="preserve"> cohort </w:t>
            </w:r>
          </w:p>
        </w:tc>
        <w:tc>
          <w:tcPr>
            <w:tcW w:w="2261" w:type="dxa"/>
            <w:shd w:val="clear" w:color="auto" w:fill="FFFFFF" w:themeFill="background1"/>
          </w:tcPr>
          <w:p w14:paraId="2F97B04E" w14:textId="1F2C31F4" w:rsidR="00781D24" w:rsidRPr="003966BE" w:rsidRDefault="00781D24" w:rsidP="00781D24">
            <w:pPr>
              <w:suppressAutoHyphens/>
              <w:autoSpaceDE w:val="0"/>
              <w:autoSpaceDN w:val="0"/>
              <w:textAlignment w:val="baseline"/>
              <w:rPr>
                <w:sz w:val="22"/>
                <w:szCs w:val="22"/>
              </w:rPr>
            </w:pPr>
            <w:r>
              <w:rPr>
                <w:sz w:val="22"/>
                <w:szCs w:val="22"/>
              </w:rPr>
              <w:t>320(7.28)/877(3.92</w:t>
            </w:r>
            <w:r w:rsidRPr="00781D24">
              <w:rPr>
                <w:sz w:val="22"/>
                <w:szCs w:val="22"/>
              </w:rPr>
              <w:t>)</w:t>
            </w:r>
          </w:p>
        </w:tc>
        <w:tc>
          <w:tcPr>
            <w:tcW w:w="1763" w:type="dxa"/>
            <w:shd w:val="clear" w:color="auto" w:fill="FFFFFF" w:themeFill="background1"/>
          </w:tcPr>
          <w:p w14:paraId="69536DBC" w14:textId="09F9EC5F" w:rsidR="00781D24" w:rsidRPr="003966BE" w:rsidRDefault="00781D24" w:rsidP="00781D24">
            <w:pPr>
              <w:suppressAutoHyphens/>
              <w:autoSpaceDE w:val="0"/>
              <w:autoSpaceDN w:val="0"/>
              <w:textAlignment w:val="baseline"/>
              <w:rPr>
                <w:sz w:val="22"/>
                <w:szCs w:val="22"/>
              </w:rPr>
            </w:pPr>
            <w:r w:rsidRPr="00781D24">
              <w:rPr>
                <w:sz w:val="22"/>
                <w:szCs w:val="22"/>
              </w:rPr>
              <w:t>1.73 (1.51-1.98)</w:t>
            </w:r>
          </w:p>
        </w:tc>
      </w:tr>
      <w:tr w:rsidR="00781D24" w:rsidRPr="003966BE" w14:paraId="7B5793A9" w14:textId="77777777" w:rsidTr="000A5BFF">
        <w:trPr>
          <w:jc w:val="center"/>
        </w:trPr>
        <w:tc>
          <w:tcPr>
            <w:tcW w:w="5103" w:type="dxa"/>
            <w:shd w:val="clear" w:color="auto" w:fill="FFFFFF" w:themeFill="background1"/>
          </w:tcPr>
          <w:p w14:paraId="2590C601" w14:textId="180AE3E4" w:rsidR="00781D24" w:rsidRPr="003966BE" w:rsidRDefault="003A75F5" w:rsidP="00781D24">
            <w:pPr>
              <w:suppressAutoHyphens/>
              <w:autoSpaceDE w:val="0"/>
              <w:autoSpaceDN w:val="0"/>
              <w:textAlignment w:val="baseline"/>
              <w:rPr>
                <w:rFonts w:eastAsia="Times New Roman"/>
                <w:bCs/>
                <w:color w:val="000000"/>
                <w:sz w:val="22"/>
                <w:szCs w:val="22"/>
                <w:lang w:eastAsia="sv-SE"/>
              </w:rPr>
            </w:pPr>
            <w:r>
              <w:rPr>
                <w:rFonts w:eastAsia="Times New Roman"/>
                <w:bCs/>
                <w:color w:val="000000"/>
                <w:sz w:val="22"/>
                <w:szCs w:val="22"/>
                <w:lang w:eastAsia="sv-SE"/>
              </w:rPr>
              <w:t xml:space="preserve">Twin-sibling </w:t>
            </w:r>
            <w:r w:rsidR="00781D24" w:rsidRPr="003966BE">
              <w:rPr>
                <w:rFonts w:eastAsia="Times New Roman"/>
                <w:bCs/>
                <w:color w:val="000000"/>
                <w:sz w:val="22"/>
                <w:szCs w:val="22"/>
                <w:lang w:eastAsia="sv-SE"/>
              </w:rPr>
              <w:t xml:space="preserve">cohort </w:t>
            </w:r>
          </w:p>
        </w:tc>
        <w:tc>
          <w:tcPr>
            <w:tcW w:w="2261" w:type="dxa"/>
            <w:shd w:val="clear" w:color="auto" w:fill="FFFFFF" w:themeFill="background1"/>
          </w:tcPr>
          <w:p w14:paraId="3E08E343" w14:textId="7DB6E95D" w:rsidR="00781D24" w:rsidRPr="003966BE" w:rsidRDefault="00781D24" w:rsidP="00781D24">
            <w:pPr>
              <w:suppressAutoHyphens/>
              <w:autoSpaceDE w:val="0"/>
              <w:autoSpaceDN w:val="0"/>
              <w:textAlignment w:val="baseline"/>
              <w:rPr>
                <w:sz w:val="22"/>
                <w:szCs w:val="22"/>
              </w:rPr>
            </w:pPr>
            <w:r>
              <w:rPr>
                <w:sz w:val="22"/>
                <w:szCs w:val="22"/>
              </w:rPr>
              <w:t>199(7.05</w:t>
            </w:r>
            <w:r w:rsidRPr="003966BE">
              <w:rPr>
                <w:sz w:val="22"/>
                <w:szCs w:val="22"/>
              </w:rPr>
              <w:t>)/2</w:t>
            </w:r>
            <w:r>
              <w:rPr>
                <w:sz w:val="22"/>
                <w:szCs w:val="22"/>
              </w:rPr>
              <w:t>5</w:t>
            </w:r>
            <w:r w:rsidRPr="003966BE">
              <w:rPr>
                <w:sz w:val="22"/>
                <w:szCs w:val="22"/>
              </w:rPr>
              <w:t>8(</w:t>
            </w:r>
            <w:r>
              <w:rPr>
                <w:sz w:val="22"/>
                <w:szCs w:val="22"/>
              </w:rPr>
              <w:t>4.84</w:t>
            </w:r>
            <w:r w:rsidRPr="003966BE">
              <w:rPr>
                <w:sz w:val="22"/>
                <w:szCs w:val="22"/>
              </w:rPr>
              <w:t>)</w:t>
            </w:r>
          </w:p>
        </w:tc>
        <w:tc>
          <w:tcPr>
            <w:tcW w:w="1763" w:type="dxa"/>
            <w:shd w:val="clear" w:color="auto" w:fill="FFFFFF" w:themeFill="background1"/>
          </w:tcPr>
          <w:p w14:paraId="76036571" w14:textId="38E842BF" w:rsidR="00781D24" w:rsidRPr="003966BE" w:rsidRDefault="00781D24" w:rsidP="00781D24">
            <w:pPr>
              <w:suppressAutoHyphens/>
              <w:autoSpaceDE w:val="0"/>
              <w:autoSpaceDN w:val="0"/>
              <w:textAlignment w:val="baseline"/>
              <w:rPr>
                <w:sz w:val="22"/>
                <w:szCs w:val="22"/>
              </w:rPr>
            </w:pPr>
            <w:r w:rsidRPr="003966BE">
              <w:rPr>
                <w:sz w:val="22"/>
                <w:szCs w:val="22"/>
              </w:rPr>
              <w:t>1.</w:t>
            </w:r>
            <w:r>
              <w:rPr>
                <w:sz w:val="22"/>
                <w:szCs w:val="22"/>
              </w:rPr>
              <w:t>51</w:t>
            </w:r>
            <w:r w:rsidRPr="003966BE">
              <w:rPr>
                <w:sz w:val="22"/>
                <w:szCs w:val="22"/>
              </w:rPr>
              <w:t xml:space="preserve"> (1.</w:t>
            </w:r>
            <w:r>
              <w:rPr>
                <w:sz w:val="22"/>
                <w:szCs w:val="22"/>
              </w:rPr>
              <w:t>23</w:t>
            </w:r>
            <w:r w:rsidRPr="003966BE">
              <w:rPr>
                <w:sz w:val="22"/>
                <w:szCs w:val="22"/>
              </w:rPr>
              <w:t>-</w:t>
            </w:r>
            <w:r>
              <w:rPr>
                <w:sz w:val="22"/>
                <w:szCs w:val="22"/>
              </w:rPr>
              <w:t>1.86</w:t>
            </w:r>
            <w:r w:rsidRPr="003966BE">
              <w:rPr>
                <w:sz w:val="22"/>
                <w:szCs w:val="22"/>
              </w:rPr>
              <w:t>)</w:t>
            </w:r>
          </w:p>
        </w:tc>
      </w:tr>
    </w:tbl>
    <w:p w14:paraId="2D926AF1" w14:textId="77777777" w:rsidR="00C20A16" w:rsidRDefault="00C20A16" w:rsidP="00C20A16">
      <w:pPr>
        <w:rPr>
          <w:b/>
          <w:sz w:val="20"/>
          <w:vertAlign w:val="superscript"/>
        </w:rPr>
      </w:pPr>
    </w:p>
    <w:p w14:paraId="651D7A49" w14:textId="57EA51B9" w:rsidR="00C20A16" w:rsidRPr="003966BE" w:rsidRDefault="00C20A16" w:rsidP="00C20A16">
      <w:pPr>
        <w:rPr>
          <w:rFonts w:eastAsia="Times New Roman"/>
          <w:sz w:val="22"/>
          <w:szCs w:val="22"/>
          <w:lang w:eastAsia="sv-SE"/>
        </w:rPr>
      </w:pPr>
      <w:r w:rsidRPr="003966BE">
        <w:rPr>
          <w:b/>
          <w:sz w:val="22"/>
          <w:szCs w:val="22"/>
          <w:vertAlign w:val="superscript"/>
        </w:rPr>
        <w:t>*</w:t>
      </w:r>
      <w:r w:rsidRPr="003966BE">
        <w:rPr>
          <w:rFonts w:eastAsia="Times New Roman"/>
          <w:sz w:val="22"/>
          <w:szCs w:val="22"/>
          <w:lang w:eastAsia="sv-SE"/>
        </w:rPr>
        <w:t xml:space="preserve"> Cox regression models were stratified by matching identifiers </w:t>
      </w:r>
      <w:r w:rsidR="000624F8" w:rsidRPr="008A7B02">
        <w:rPr>
          <w:rFonts w:eastAsia="Times New Roman"/>
          <w:sz w:val="22"/>
          <w:szCs w:val="22"/>
          <w:lang w:eastAsia="sv-SE"/>
        </w:rPr>
        <w:t>(birth year and sex</w:t>
      </w:r>
      <w:r w:rsidR="000624F8">
        <w:rPr>
          <w:rFonts w:eastAsia="Times New Roman"/>
          <w:sz w:val="22"/>
          <w:szCs w:val="22"/>
          <w:lang w:eastAsia="sv-SE"/>
        </w:rPr>
        <w:t xml:space="preserve">, in </w:t>
      </w:r>
      <w:r w:rsidR="000624F8" w:rsidRPr="008A7B02">
        <w:rPr>
          <w:rFonts w:eastAsia="Times New Roman"/>
          <w:bCs/>
          <w:color w:val="000000"/>
          <w:sz w:val="22"/>
          <w:szCs w:val="22"/>
          <w:lang w:eastAsia="sv-SE"/>
        </w:rPr>
        <w:t>matched twin loss-twin cohort</w:t>
      </w:r>
      <w:r w:rsidR="000624F8" w:rsidRPr="008A7B02">
        <w:rPr>
          <w:rFonts w:eastAsia="Times New Roman"/>
          <w:sz w:val="22"/>
          <w:szCs w:val="22"/>
          <w:lang w:eastAsia="sv-SE"/>
        </w:rPr>
        <w:t>) or family identifiers</w:t>
      </w:r>
      <w:r w:rsidR="000624F8">
        <w:rPr>
          <w:rFonts w:eastAsia="Times New Roman"/>
          <w:sz w:val="22"/>
          <w:szCs w:val="22"/>
          <w:lang w:eastAsia="sv-SE"/>
        </w:rPr>
        <w:t xml:space="preserve"> (in </w:t>
      </w:r>
      <w:r w:rsidR="00C13F3D">
        <w:rPr>
          <w:rFonts w:eastAsia="Times New Roman"/>
          <w:sz w:val="22"/>
          <w:szCs w:val="22"/>
          <w:lang w:eastAsia="sv-SE"/>
        </w:rPr>
        <w:t>twin-sibling cohort</w:t>
      </w:r>
      <w:r w:rsidR="000624F8">
        <w:rPr>
          <w:rFonts w:eastAsia="Times New Roman"/>
          <w:sz w:val="22"/>
          <w:szCs w:val="22"/>
          <w:lang w:eastAsia="sv-SE"/>
        </w:rPr>
        <w:t>)</w:t>
      </w:r>
      <w:r w:rsidRPr="003966BE">
        <w:rPr>
          <w:rFonts w:eastAsia="Times New Roman"/>
          <w:sz w:val="22"/>
          <w:szCs w:val="22"/>
          <w:lang w:eastAsia="sv-SE"/>
        </w:rPr>
        <w:t>, and adjusted for education level, family income, marital status, history of severe somatic diseases, and family history of psychiatric disorder</w:t>
      </w:r>
      <w:r w:rsidR="000624F8">
        <w:rPr>
          <w:rFonts w:eastAsia="Times New Roman"/>
          <w:sz w:val="22"/>
          <w:szCs w:val="22"/>
          <w:lang w:eastAsia="sv-SE"/>
        </w:rPr>
        <w:t>s</w:t>
      </w:r>
      <w:r w:rsidRPr="003966BE">
        <w:rPr>
          <w:rFonts w:eastAsia="Times New Roman"/>
          <w:sz w:val="22"/>
          <w:szCs w:val="22"/>
          <w:lang w:eastAsia="sv-SE"/>
        </w:rPr>
        <w:t>. Time since the index date was used as underlying time scale.</w:t>
      </w:r>
    </w:p>
    <w:p w14:paraId="36E94173" w14:textId="77777777" w:rsidR="00C20A16" w:rsidRDefault="00C20A16" w:rsidP="00C20A16"/>
    <w:p w14:paraId="10BF7DE9" w14:textId="77777777" w:rsidR="00B9440A" w:rsidRPr="00015F74" w:rsidRDefault="00B9440A" w:rsidP="00C20A16">
      <w:pPr>
        <w:pStyle w:val="SMcaption"/>
      </w:pPr>
    </w:p>
    <w:sectPr w:rsidR="00B9440A" w:rsidRPr="00015F74" w:rsidSect="00985E43">
      <w:headerReference w:type="default" r:id="rId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CAC16" w14:textId="77777777" w:rsidR="00C54699" w:rsidRDefault="00C54699">
      <w:r>
        <w:separator/>
      </w:r>
    </w:p>
  </w:endnote>
  <w:endnote w:type="continuationSeparator" w:id="0">
    <w:p w14:paraId="77EE34C4" w14:textId="77777777" w:rsidR="00C54699" w:rsidRDefault="00C5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EA3E" w14:textId="7C404C7B" w:rsidR="00F125EE" w:rsidRDefault="00114193">
    <w:pPr>
      <w:pStyle w:val="aff1"/>
      <w:jc w:val="right"/>
    </w:pPr>
    <w:r>
      <w:fldChar w:fldCharType="begin"/>
    </w:r>
    <w:r>
      <w:instrText xml:space="preserve"> PAGE   \* MERGEFORMAT </w:instrText>
    </w:r>
    <w:r>
      <w:fldChar w:fldCharType="separate"/>
    </w:r>
    <w:r w:rsidR="004350A1">
      <w:rPr>
        <w:noProof/>
      </w:rPr>
      <w:t>2</w:t>
    </w:r>
    <w:r>
      <w:fldChar w:fldCharType="end"/>
    </w:r>
  </w:p>
  <w:p w14:paraId="211F3547" w14:textId="77777777" w:rsidR="00F125EE" w:rsidRDefault="00F125E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6F4CB" w14:textId="77777777" w:rsidR="00C54699" w:rsidRDefault="00C54699">
      <w:r>
        <w:separator/>
      </w:r>
    </w:p>
  </w:footnote>
  <w:footnote w:type="continuationSeparator" w:id="0">
    <w:p w14:paraId="14124F6E" w14:textId="77777777" w:rsidR="00C54699" w:rsidRDefault="00C5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269BD"/>
    <w:rsid w:val="00050183"/>
    <w:rsid w:val="00052286"/>
    <w:rsid w:val="00056B40"/>
    <w:rsid w:val="000624F8"/>
    <w:rsid w:val="00064B00"/>
    <w:rsid w:val="00065EBD"/>
    <w:rsid w:val="00083B44"/>
    <w:rsid w:val="000850DC"/>
    <w:rsid w:val="000A5BFF"/>
    <w:rsid w:val="000C1A14"/>
    <w:rsid w:val="000C2771"/>
    <w:rsid w:val="000C3C8E"/>
    <w:rsid w:val="000C6866"/>
    <w:rsid w:val="000D46F4"/>
    <w:rsid w:val="000F0DCE"/>
    <w:rsid w:val="000F6BE3"/>
    <w:rsid w:val="000F7745"/>
    <w:rsid w:val="00112C5B"/>
    <w:rsid w:val="00114193"/>
    <w:rsid w:val="00115A38"/>
    <w:rsid w:val="0011687B"/>
    <w:rsid w:val="00124F82"/>
    <w:rsid w:val="0016337A"/>
    <w:rsid w:val="00164269"/>
    <w:rsid w:val="00184A4B"/>
    <w:rsid w:val="001A1BDE"/>
    <w:rsid w:val="001D07BB"/>
    <w:rsid w:val="001E0AC1"/>
    <w:rsid w:val="001F0876"/>
    <w:rsid w:val="001F167C"/>
    <w:rsid w:val="001F5E91"/>
    <w:rsid w:val="002077B9"/>
    <w:rsid w:val="00262D72"/>
    <w:rsid w:val="00294FBB"/>
    <w:rsid w:val="00296F8D"/>
    <w:rsid w:val="002B600A"/>
    <w:rsid w:val="002C030F"/>
    <w:rsid w:val="002E4B5B"/>
    <w:rsid w:val="00331D75"/>
    <w:rsid w:val="00355362"/>
    <w:rsid w:val="00363E44"/>
    <w:rsid w:val="00395E86"/>
    <w:rsid w:val="003A2FD8"/>
    <w:rsid w:val="003A75F5"/>
    <w:rsid w:val="003B40E6"/>
    <w:rsid w:val="003C5BE9"/>
    <w:rsid w:val="003E6FB9"/>
    <w:rsid w:val="003E74FB"/>
    <w:rsid w:val="003F6E14"/>
    <w:rsid w:val="00405336"/>
    <w:rsid w:val="004350A1"/>
    <w:rsid w:val="004571D5"/>
    <w:rsid w:val="00461D81"/>
    <w:rsid w:val="0046356B"/>
    <w:rsid w:val="00473206"/>
    <w:rsid w:val="0047348E"/>
    <w:rsid w:val="00477182"/>
    <w:rsid w:val="004779CB"/>
    <w:rsid w:val="0048581B"/>
    <w:rsid w:val="004A6E87"/>
    <w:rsid w:val="004E42D8"/>
    <w:rsid w:val="004E4744"/>
    <w:rsid w:val="004E7BA2"/>
    <w:rsid w:val="004F7EDF"/>
    <w:rsid w:val="005001AC"/>
    <w:rsid w:val="00527D71"/>
    <w:rsid w:val="00547631"/>
    <w:rsid w:val="005520A8"/>
    <w:rsid w:val="005607DD"/>
    <w:rsid w:val="00565A76"/>
    <w:rsid w:val="00576BC6"/>
    <w:rsid w:val="005A0CD4"/>
    <w:rsid w:val="005A558C"/>
    <w:rsid w:val="005C4385"/>
    <w:rsid w:val="005E05FD"/>
    <w:rsid w:val="005E28F8"/>
    <w:rsid w:val="005E6513"/>
    <w:rsid w:val="0064301F"/>
    <w:rsid w:val="00645966"/>
    <w:rsid w:val="00651114"/>
    <w:rsid w:val="00664560"/>
    <w:rsid w:val="00670299"/>
    <w:rsid w:val="00672F17"/>
    <w:rsid w:val="00691985"/>
    <w:rsid w:val="006A1B64"/>
    <w:rsid w:val="006B650F"/>
    <w:rsid w:val="00700F96"/>
    <w:rsid w:val="007108F5"/>
    <w:rsid w:val="00713E5B"/>
    <w:rsid w:val="00722A7A"/>
    <w:rsid w:val="007402FC"/>
    <w:rsid w:val="007411A1"/>
    <w:rsid w:val="00781D24"/>
    <w:rsid w:val="0078660A"/>
    <w:rsid w:val="00793072"/>
    <w:rsid w:val="007C3D8E"/>
    <w:rsid w:val="007C4A3C"/>
    <w:rsid w:val="007E777B"/>
    <w:rsid w:val="00807D35"/>
    <w:rsid w:val="008218C4"/>
    <w:rsid w:val="008230F4"/>
    <w:rsid w:val="00825512"/>
    <w:rsid w:val="00833AF8"/>
    <w:rsid w:val="0085797E"/>
    <w:rsid w:val="00867A98"/>
    <w:rsid w:val="00870867"/>
    <w:rsid w:val="00885C9B"/>
    <w:rsid w:val="008B199F"/>
    <w:rsid w:val="008D0DE9"/>
    <w:rsid w:val="008D5D2A"/>
    <w:rsid w:val="008E56CF"/>
    <w:rsid w:val="00914B63"/>
    <w:rsid w:val="00915DAC"/>
    <w:rsid w:val="009317F3"/>
    <w:rsid w:val="009354F3"/>
    <w:rsid w:val="009447DC"/>
    <w:rsid w:val="00955E26"/>
    <w:rsid w:val="00961BA5"/>
    <w:rsid w:val="009670C1"/>
    <w:rsid w:val="00970EF6"/>
    <w:rsid w:val="00972BB6"/>
    <w:rsid w:val="009743A9"/>
    <w:rsid w:val="00985E43"/>
    <w:rsid w:val="009A5287"/>
    <w:rsid w:val="009B2AC5"/>
    <w:rsid w:val="009B7984"/>
    <w:rsid w:val="009B7A7C"/>
    <w:rsid w:val="009C078D"/>
    <w:rsid w:val="009D319F"/>
    <w:rsid w:val="009F4BED"/>
    <w:rsid w:val="009F7D93"/>
    <w:rsid w:val="00A0015C"/>
    <w:rsid w:val="00A13BA0"/>
    <w:rsid w:val="00A3403B"/>
    <w:rsid w:val="00A51A12"/>
    <w:rsid w:val="00A627D4"/>
    <w:rsid w:val="00A675E1"/>
    <w:rsid w:val="00A74DA2"/>
    <w:rsid w:val="00A91CB2"/>
    <w:rsid w:val="00AB399E"/>
    <w:rsid w:val="00AB78D4"/>
    <w:rsid w:val="00AC0D30"/>
    <w:rsid w:val="00AC2F93"/>
    <w:rsid w:val="00AC59D0"/>
    <w:rsid w:val="00AD16B1"/>
    <w:rsid w:val="00AD499C"/>
    <w:rsid w:val="00AE2D38"/>
    <w:rsid w:val="00B36869"/>
    <w:rsid w:val="00B43B31"/>
    <w:rsid w:val="00B47CFA"/>
    <w:rsid w:val="00B47D0F"/>
    <w:rsid w:val="00B55B88"/>
    <w:rsid w:val="00B57F00"/>
    <w:rsid w:val="00B77B2A"/>
    <w:rsid w:val="00B80156"/>
    <w:rsid w:val="00B82C22"/>
    <w:rsid w:val="00B93DBA"/>
    <w:rsid w:val="00B9440A"/>
    <w:rsid w:val="00BB05C2"/>
    <w:rsid w:val="00BB2D2A"/>
    <w:rsid w:val="00BC3E04"/>
    <w:rsid w:val="00BD3FB7"/>
    <w:rsid w:val="00BD58CF"/>
    <w:rsid w:val="00BE6516"/>
    <w:rsid w:val="00BF0C92"/>
    <w:rsid w:val="00C04CC1"/>
    <w:rsid w:val="00C13F3D"/>
    <w:rsid w:val="00C1623E"/>
    <w:rsid w:val="00C16473"/>
    <w:rsid w:val="00C20A16"/>
    <w:rsid w:val="00C4096C"/>
    <w:rsid w:val="00C416F3"/>
    <w:rsid w:val="00C50C6D"/>
    <w:rsid w:val="00C53194"/>
    <w:rsid w:val="00C54699"/>
    <w:rsid w:val="00C600D9"/>
    <w:rsid w:val="00C602C1"/>
    <w:rsid w:val="00C84D86"/>
    <w:rsid w:val="00C92B22"/>
    <w:rsid w:val="00CB2928"/>
    <w:rsid w:val="00CC1384"/>
    <w:rsid w:val="00CD3720"/>
    <w:rsid w:val="00CD483F"/>
    <w:rsid w:val="00CF1848"/>
    <w:rsid w:val="00CF5C2F"/>
    <w:rsid w:val="00CF7965"/>
    <w:rsid w:val="00D04BCF"/>
    <w:rsid w:val="00D143D9"/>
    <w:rsid w:val="00D1731A"/>
    <w:rsid w:val="00D5511B"/>
    <w:rsid w:val="00D6369E"/>
    <w:rsid w:val="00D766F1"/>
    <w:rsid w:val="00DA1F13"/>
    <w:rsid w:val="00DA4F36"/>
    <w:rsid w:val="00DB0DD9"/>
    <w:rsid w:val="00DD4551"/>
    <w:rsid w:val="00DD48A4"/>
    <w:rsid w:val="00DD6EDE"/>
    <w:rsid w:val="00E257C8"/>
    <w:rsid w:val="00E35068"/>
    <w:rsid w:val="00E41512"/>
    <w:rsid w:val="00E4165E"/>
    <w:rsid w:val="00E41DF1"/>
    <w:rsid w:val="00E4519A"/>
    <w:rsid w:val="00E4698C"/>
    <w:rsid w:val="00E853D5"/>
    <w:rsid w:val="00E9773B"/>
    <w:rsid w:val="00EA6F42"/>
    <w:rsid w:val="00EC13A3"/>
    <w:rsid w:val="00EC7C85"/>
    <w:rsid w:val="00F06151"/>
    <w:rsid w:val="00F125EE"/>
    <w:rsid w:val="00F12E98"/>
    <w:rsid w:val="00F22029"/>
    <w:rsid w:val="00F30D8D"/>
    <w:rsid w:val="00F34E61"/>
    <w:rsid w:val="00F4208D"/>
    <w:rsid w:val="00F515FB"/>
    <w:rsid w:val="00F51871"/>
    <w:rsid w:val="00F630EA"/>
    <w:rsid w:val="00F7007E"/>
    <w:rsid w:val="00F73193"/>
    <w:rsid w:val="00F74F95"/>
    <w:rsid w:val="00F80705"/>
    <w:rsid w:val="00F817F6"/>
    <w:rsid w:val="00F8322C"/>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597622"/>
  <w15:docId w15:val="{543AEDEE-D5ED-40F7-BECF-746FA1F4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批注主题 字符"/>
    <w:link w:val="af5"/>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页脚 字符"/>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页眉 字符"/>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预设格式 字符"/>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uiPriority w:val="1"/>
    <w:semiHidden/>
    <w:qFormat/>
    <w:rsid w:val="00405336"/>
    <w:rPr>
      <w:sz w:val="24"/>
    </w:rPr>
  </w:style>
  <w:style w:type="paragraph" w:styleId="afff2">
    <w:name w:val="Normal (Web)"/>
    <w:basedOn w:val="a1"/>
    <w:semiHidden/>
    <w:rsid w:val="00405336"/>
    <w:rPr>
      <w:szCs w:val="24"/>
    </w:rPr>
  </w:style>
  <w:style w:type="paragraph" w:styleId="afff3">
    <w:name w:val="Normal Indent"/>
    <w:basedOn w:val="a1"/>
    <w:semiHidden/>
    <w:rsid w:val="00405336"/>
    <w:pPr>
      <w:ind w:left="720"/>
    </w:pPr>
  </w:style>
  <w:style w:type="paragraph" w:styleId="afff4">
    <w:name w:val="Note Heading"/>
    <w:basedOn w:val="a1"/>
    <w:next w:val="a1"/>
    <w:link w:val="afff5"/>
    <w:semiHidden/>
    <w:rsid w:val="00405336"/>
  </w:style>
  <w:style w:type="character" w:customStyle="1" w:styleId="afff5">
    <w:name w:val="注释标题 字符"/>
    <w:link w:val="afff4"/>
    <w:semiHidden/>
    <w:rsid w:val="00FF04E3"/>
    <w:rPr>
      <w:sz w:val="24"/>
    </w:rPr>
  </w:style>
  <w:style w:type="paragraph" w:styleId="afff6">
    <w:name w:val="Plain Text"/>
    <w:basedOn w:val="a1"/>
    <w:link w:val="afff7"/>
    <w:semiHidden/>
    <w:rsid w:val="00405336"/>
    <w:rPr>
      <w:rFonts w:ascii="Courier New" w:hAnsi="Courier New" w:cs="Courier New"/>
      <w:sz w:val="20"/>
    </w:rPr>
  </w:style>
  <w:style w:type="character" w:customStyle="1" w:styleId="afff7">
    <w:name w:val="纯文本 字符"/>
    <w:link w:val="afff6"/>
    <w:semiHidden/>
    <w:rsid w:val="00FF04E3"/>
    <w:rPr>
      <w:rFonts w:ascii="Courier New" w:hAnsi="Courier New" w:cs="Courier New"/>
    </w:rPr>
  </w:style>
  <w:style w:type="paragraph" w:styleId="afff8">
    <w:name w:val="Quote"/>
    <w:basedOn w:val="a1"/>
    <w:next w:val="a1"/>
    <w:link w:val="afff9"/>
    <w:uiPriority w:val="29"/>
    <w:semiHidden/>
    <w:qFormat/>
    <w:rsid w:val="00405336"/>
    <w:rPr>
      <w:i/>
      <w:iCs/>
      <w:color w:val="000000"/>
    </w:rPr>
  </w:style>
  <w:style w:type="character" w:customStyle="1" w:styleId="afff9">
    <w:name w:val="引用 字符"/>
    <w:link w:val="afff8"/>
    <w:uiPriority w:val="29"/>
    <w:semiHidden/>
    <w:rsid w:val="00FF04E3"/>
    <w:rPr>
      <w:i/>
      <w:iCs/>
      <w:color w:val="000000"/>
      <w:sz w:val="24"/>
    </w:rPr>
  </w:style>
  <w:style w:type="paragraph" w:styleId="afffa">
    <w:name w:val="Salutation"/>
    <w:basedOn w:val="a1"/>
    <w:next w:val="a1"/>
    <w:link w:val="afffb"/>
    <w:semiHidden/>
    <w:rsid w:val="00405336"/>
  </w:style>
  <w:style w:type="character" w:customStyle="1" w:styleId="afffb">
    <w:name w:val="称呼 字符"/>
    <w:link w:val="afffa"/>
    <w:semiHidden/>
    <w:rsid w:val="00FF04E3"/>
    <w:rPr>
      <w:sz w:val="24"/>
    </w:rPr>
  </w:style>
  <w:style w:type="paragraph" w:styleId="afffc">
    <w:name w:val="Signature"/>
    <w:basedOn w:val="a1"/>
    <w:link w:val="afffd"/>
    <w:semiHidden/>
    <w:rsid w:val="00405336"/>
    <w:pPr>
      <w:ind w:left="4320"/>
    </w:pPr>
  </w:style>
  <w:style w:type="character" w:customStyle="1" w:styleId="afffd">
    <w:name w:val="签名 字符"/>
    <w:link w:val="afffc"/>
    <w:semiHidden/>
    <w:rsid w:val="00FF04E3"/>
    <w:rPr>
      <w:sz w:val="24"/>
    </w:rPr>
  </w:style>
  <w:style w:type="paragraph" w:styleId="afffe">
    <w:name w:val="Subtitle"/>
    <w:basedOn w:val="a1"/>
    <w:next w:val="a1"/>
    <w:link w:val="affff"/>
    <w:semiHidden/>
    <w:qFormat/>
    <w:rsid w:val="00405336"/>
    <w:pPr>
      <w:spacing w:after="60"/>
      <w:jc w:val="center"/>
      <w:outlineLvl w:val="1"/>
    </w:pPr>
    <w:rPr>
      <w:rFonts w:ascii="Cambria" w:hAnsi="Cambria"/>
      <w:szCs w:val="24"/>
    </w:rPr>
  </w:style>
  <w:style w:type="character" w:customStyle="1" w:styleId="affff">
    <w:name w:val="副标题 字符"/>
    <w:link w:val="afffe"/>
    <w:semiHidden/>
    <w:rsid w:val="00FF04E3"/>
    <w:rPr>
      <w:rFonts w:ascii="Cambria" w:hAnsi="Cambria"/>
      <w:sz w:val="24"/>
      <w:szCs w:val="24"/>
    </w:rPr>
  </w:style>
  <w:style w:type="paragraph" w:styleId="affff0">
    <w:name w:val="table of authorities"/>
    <w:basedOn w:val="a1"/>
    <w:next w:val="a1"/>
    <w:semiHidden/>
    <w:rsid w:val="00405336"/>
    <w:pPr>
      <w:ind w:left="240" w:hanging="240"/>
    </w:pPr>
  </w:style>
  <w:style w:type="paragraph" w:styleId="affff1">
    <w:name w:val="table of figures"/>
    <w:basedOn w:val="a1"/>
    <w:next w:val="a1"/>
    <w:semiHidden/>
    <w:rsid w:val="00405336"/>
  </w:style>
  <w:style w:type="paragraph" w:styleId="affff2">
    <w:name w:val="Title"/>
    <w:basedOn w:val="a1"/>
    <w:next w:val="a1"/>
    <w:link w:val="affff3"/>
    <w:semiHidden/>
    <w:qFormat/>
    <w:rsid w:val="00405336"/>
    <w:pPr>
      <w:spacing w:before="240" w:after="60"/>
      <w:jc w:val="center"/>
      <w:outlineLvl w:val="0"/>
    </w:pPr>
    <w:rPr>
      <w:rFonts w:ascii="Cambria" w:hAnsi="Cambria"/>
      <w:b/>
      <w:bCs/>
      <w:kern w:val="28"/>
      <w:sz w:val="32"/>
      <w:szCs w:val="32"/>
    </w:rPr>
  </w:style>
  <w:style w:type="character" w:customStyle="1" w:styleId="affff3">
    <w:name w:val="标题 字符"/>
    <w:link w:val="affff2"/>
    <w:semiHidden/>
    <w:rsid w:val="00FF04E3"/>
    <w:rPr>
      <w:rFonts w:ascii="Cambria" w:hAnsi="Cambria"/>
      <w:b/>
      <w:bCs/>
      <w:kern w:val="28"/>
      <w:sz w:val="32"/>
      <w:szCs w:val="32"/>
    </w:rPr>
  </w:style>
  <w:style w:type="paragraph" w:styleId="affff4">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5">
    <w:name w:val="Hyperlink"/>
    <w:semiHidden/>
    <w:rsid w:val="007402FC"/>
    <w:rPr>
      <w:color w:val="0000FF"/>
      <w:u w:val="single"/>
    </w:rPr>
  </w:style>
  <w:style w:type="character" w:styleId="affff6">
    <w:name w:val="FollowedHyperlink"/>
    <w:semiHidden/>
    <w:unhideWhenUsed/>
    <w:rsid w:val="00793072"/>
    <w:rPr>
      <w:color w:val="800080"/>
      <w:u w:val="single"/>
    </w:rPr>
  </w:style>
  <w:style w:type="character" w:styleId="affff7">
    <w:name w:val="annotation reference"/>
    <w:unhideWhenUsed/>
    <w:rsid w:val="00793072"/>
    <w:rPr>
      <w:sz w:val="16"/>
      <w:szCs w:val="16"/>
    </w:rPr>
  </w:style>
  <w:style w:type="character" w:customStyle="1" w:styleId="12">
    <w:name w:val="未处理的提及1"/>
    <w:basedOn w:val="a2"/>
    <w:uiPriority w:val="99"/>
    <w:semiHidden/>
    <w:unhideWhenUsed/>
    <w:rsid w:val="008218C4"/>
    <w:rPr>
      <w:color w:val="808080"/>
      <w:shd w:val="clear" w:color="auto" w:fill="E6E6E6"/>
    </w:rPr>
  </w:style>
  <w:style w:type="paragraph" w:customStyle="1" w:styleId="Authors">
    <w:name w:val="Authors"/>
    <w:basedOn w:val="a1"/>
    <w:rsid w:val="00AE2D38"/>
    <w:pPr>
      <w:spacing w:before="120" w:after="360"/>
      <w:jc w:val="center"/>
    </w:pPr>
    <w:rPr>
      <w:rFonts w:eastAsia="Times New Roman"/>
      <w:szCs w:val="24"/>
    </w:rPr>
  </w:style>
  <w:style w:type="character" w:customStyle="1" w:styleId="2c">
    <w:name w:val="未处理的提及2"/>
    <w:basedOn w:val="a2"/>
    <w:uiPriority w:val="99"/>
    <w:semiHidden/>
    <w:unhideWhenUsed/>
    <w:rsid w:val="00AE2D38"/>
    <w:rPr>
      <w:color w:val="605E5C"/>
      <w:shd w:val="clear" w:color="auto" w:fill="E1DFDD"/>
    </w:rPr>
  </w:style>
  <w:style w:type="table" w:styleId="affff8">
    <w:name w:val="Table Grid"/>
    <w:basedOn w:val="a3"/>
    <w:uiPriority w:val="39"/>
    <w:rsid w:val="00C20A16"/>
    <w:rPr>
      <w:rFonts w:asciiTheme="minorHAnsi" w:eastAsiaTheme="minorEastAsia"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DB0DD9"/>
    <w:pPr>
      <w:spacing w:before="120"/>
      <w:ind w:firstLine="720"/>
    </w:pPr>
    <w:rPr>
      <w:rFonts w:eastAsia="Times New Roman"/>
      <w:szCs w:val="24"/>
    </w:rPr>
  </w:style>
  <w:style w:type="paragraph" w:customStyle="1" w:styleId="Head">
    <w:name w:val="Head"/>
    <w:basedOn w:val="a1"/>
    <w:rsid w:val="00B80156"/>
    <w:pPr>
      <w:keepNext/>
      <w:spacing w:before="120" w:after="120"/>
      <w:jc w:val="center"/>
      <w:outlineLvl w:val="0"/>
    </w:pPr>
    <w:rPr>
      <w:rFonts w:eastAsia="Times New Roman"/>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6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5DA9-8D86-4CEA-BCE2-E6C03F45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4999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Huan Song</cp:lastModifiedBy>
  <cp:revision>3</cp:revision>
  <cp:lastPrinted>2020-05-22T09:21:00Z</cp:lastPrinted>
  <dcterms:created xsi:type="dcterms:W3CDTF">2020-05-22T09:21:00Z</dcterms:created>
  <dcterms:modified xsi:type="dcterms:W3CDTF">2020-05-22T09:28:00Z</dcterms:modified>
</cp:coreProperties>
</file>