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13DBDF3E" w14:textId="05F9E106" w:rsidR="00313F24" w:rsidRPr="00125190" w:rsidRDefault="00313F24" w:rsidP="00313F2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 were determined a priori based on published studies indicating number of mice needed to account for variability and effect size. Efforts were made to reduce the number of animals used for this study.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1EE5AC4" w:rsidR="00B330BD" w:rsidRPr="00125190" w:rsidRDefault="00313F2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number of biological replicates </w:t>
      </w:r>
      <w:r w:rsidR="005D17C6">
        <w:rPr>
          <w:rFonts w:asciiTheme="minorHAnsi" w:hAnsiTheme="minorHAnsi"/>
        </w:rPr>
        <w:t>is</w:t>
      </w:r>
      <w:r>
        <w:rPr>
          <w:rFonts w:asciiTheme="minorHAnsi" w:hAnsiTheme="minorHAnsi"/>
        </w:rPr>
        <w:t xml:space="preserve"> listed in the materials and methods section. Technical replicates were not used for this study.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56F4517" w:rsidR="0015519A" w:rsidRPr="00505C51" w:rsidRDefault="00C1614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tests are reported in the materials and methods section.  A </w:t>
      </w:r>
      <w:r w:rsidRPr="00C16148">
        <w:rPr>
          <w:rFonts w:asciiTheme="minorHAnsi" w:hAnsiTheme="minorHAnsi"/>
          <w:sz w:val="22"/>
          <w:szCs w:val="22"/>
        </w:rPr>
        <w:t>one-way ANOVA</w:t>
      </w:r>
      <w:r>
        <w:rPr>
          <w:rFonts w:asciiTheme="minorHAnsi" w:hAnsiTheme="minorHAnsi"/>
          <w:sz w:val="22"/>
          <w:szCs w:val="22"/>
        </w:rPr>
        <w:t xml:space="preserve">  with</w:t>
      </w:r>
      <w:r w:rsidRPr="00C16148">
        <w:rPr>
          <w:rFonts w:asciiTheme="minorHAnsi" w:hAnsiTheme="minorHAnsi"/>
          <w:sz w:val="22"/>
          <w:szCs w:val="22"/>
        </w:rPr>
        <w:t xml:space="preserve"> Bonferroni post-hoc test </w:t>
      </w:r>
      <w:r>
        <w:rPr>
          <w:rFonts w:asciiTheme="minorHAnsi" w:hAnsiTheme="minorHAnsi"/>
          <w:sz w:val="22"/>
          <w:szCs w:val="22"/>
        </w:rPr>
        <w:t xml:space="preserve">was used for Figures 2D, and </w:t>
      </w:r>
      <w:r w:rsidR="002B382F">
        <w:rPr>
          <w:rFonts w:asciiTheme="minorHAnsi" w:hAnsiTheme="minorHAnsi"/>
          <w:sz w:val="22"/>
          <w:szCs w:val="22"/>
        </w:rPr>
        <w:t>3D</w:t>
      </w:r>
      <w:r>
        <w:rPr>
          <w:rFonts w:asciiTheme="minorHAnsi" w:hAnsiTheme="minorHAnsi"/>
          <w:sz w:val="22"/>
          <w:szCs w:val="22"/>
        </w:rPr>
        <w:t xml:space="preserve">. An unpaired T-test, assuming equal variances, was used for Figure </w:t>
      </w:r>
      <w:r w:rsidR="002B382F">
        <w:rPr>
          <w:rFonts w:asciiTheme="minorHAnsi" w:hAnsiTheme="minorHAnsi"/>
          <w:sz w:val="22"/>
          <w:szCs w:val="22"/>
        </w:rPr>
        <w:t>2C</w:t>
      </w:r>
      <w:r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DDCE9B3" w14:textId="0F7C6583" w:rsidR="0036775D" w:rsidRPr="00505C51" w:rsidRDefault="0036775D" w:rsidP="0036775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Groups were assigned by genotype (Figure</w:t>
      </w:r>
      <w:r w:rsidR="005D17C6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1</w:t>
      </w:r>
      <w:r w:rsidR="005D17C6">
        <w:rPr>
          <w:rFonts w:asciiTheme="minorHAnsi" w:hAnsiTheme="minorHAnsi"/>
          <w:sz w:val="22"/>
          <w:szCs w:val="22"/>
        </w:rPr>
        <w:t xml:space="preserve"> and 2</w:t>
      </w:r>
      <w:r>
        <w:rPr>
          <w:rFonts w:asciiTheme="minorHAnsi" w:hAnsiTheme="minorHAnsi"/>
          <w:sz w:val="22"/>
          <w:szCs w:val="22"/>
        </w:rPr>
        <w:t xml:space="preserve">), age (Figure </w:t>
      </w:r>
      <w:r w:rsidR="005D17C6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), or type of cell sorted (Figure </w:t>
      </w:r>
      <w:r w:rsidR="002B382F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); as described in the results section.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B03C6E0" w:rsidR="00BC3CCE" w:rsidRPr="00505C51" w:rsidRDefault="005D17C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None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AB46F" w14:textId="77777777" w:rsidR="00C612FB" w:rsidRDefault="00C612FB" w:rsidP="004215FE">
      <w:r>
        <w:separator/>
      </w:r>
    </w:p>
  </w:endnote>
  <w:endnote w:type="continuationSeparator" w:id="0">
    <w:p w14:paraId="265D1004" w14:textId="77777777" w:rsidR="00C612FB" w:rsidRDefault="00C612F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398AE" w14:textId="77777777" w:rsidR="00C612FB" w:rsidRDefault="00C612FB" w:rsidP="004215FE">
      <w:r>
        <w:separator/>
      </w:r>
    </w:p>
  </w:footnote>
  <w:footnote w:type="continuationSeparator" w:id="0">
    <w:p w14:paraId="0991E7BF" w14:textId="77777777" w:rsidR="00C612FB" w:rsidRDefault="00C612F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55FB6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B382F"/>
    <w:rsid w:val="00307F5D"/>
    <w:rsid w:val="00313F24"/>
    <w:rsid w:val="00317E7F"/>
    <w:rsid w:val="003248ED"/>
    <w:rsid w:val="0036775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D17C6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16148"/>
    <w:rsid w:val="00C21D14"/>
    <w:rsid w:val="00C24CF7"/>
    <w:rsid w:val="00C42ECB"/>
    <w:rsid w:val="00C52A77"/>
    <w:rsid w:val="00C612FB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85C3D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36F9809-1AC9-434A-9816-D01C85E4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63AD30-4935-4F18-8B56-7067D517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Sara Taetzsch</cp:lastModifiedBy>
  <cp:revision>3</cp:revision>
  <dcterms:created xsi:type="dcterms:W3CDTF">2020-06-02T18:18:00Z</dcterms:created>
  <dcterms:modified xsi:type="dcterms:W3CDTF">2020-06-02T18:29:00Z</dcterms:modified>
</cp:coreProperties>
</file>