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Normal"/>
        <w:pBdr/>
        <w:rPr/>
        <w:framePr w:w="7817" w:h="1088" w:x="1858" w:y="1" w:wrap="auto" w:vAnchor="text" w:hAnchor="page" w:hRule="exact"/>
      </w:pPr>
      <w:r>
        <w:rPr>
          <w:rFonts w:ascii="Calibri" w:hAnsi="Calibri" w:asciiTheme="minorHAnsi" w:hAnsiTheme="minorHAnsi"/>
        </w:rPr>
        <w:t>Post-mortem MRI dataset (N=10) is from Morosan et al. 2001 and used within JuBrain Cytoarchitectonic Atlas. This dataset is the largest sample size for the auditory cytoarchitectonic areas. Previous in vivo MRI work by our group (Formisano et al. 2003; Moerel et al. 2013) reliably elicited auditory functional MRI responses for each participant (n = 5 or 6). We used a similarly high-powered within-subject design and increased sample size to 10.</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Normal"/>
        <w:pBdr/>
        <w:rPr/>
        <w:framePr w:w="7817" w:h="1088" w:x="1858" w:y="1" w:wrap="auto" w:vAnchor="text" w:hAnchor="page" w:hRule="exact"/>
      </w:pPr>
      <w:r>
        <w:rPr>
          <w:rFonts w:ascii="Calibri" w:hAnsi="Calibri" w:asciiTheme="minorHAnsi" w:hAnsiTheme="minorHAnsi"/>
        </w:rPr>
        <w:t>This information does not apply to our submission as we do not use biological replicates in our study.</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pBdr/>
        <w:rPr/>
        <w:framePr w:w="7817" w:h="1088" w:x="1904" w:y="21" w:wrap="auto" w:vAnchor="text" w:hAnchor="page" w:hRule="exact"/>
      </w:pPr>
      <w:r>
        <w:rPr>
          <w:rFonts w:ascii="Calibri" w:hAnsi="Calibri" w:asciiTheme="minorHAnsi" w:hAnsiTheme="minorHAnsi"/>
          <w:sz w:val="22"/>
          <w:szCs w:val="22"/>
        </w:rPr>
        <w:t>Statistics are limited in this publication as we are generally not testing hypotheses. Individual brain hemisphere cytoarchitectonic areas can be seen in Figure 13 and 14. Similar individual brain surface models for in-vivo MRI data can be seen in Figure 15. Number of samples are described in Methods (10 post-mortem brain samples and a different set of 10 in vivo brain samples).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Normal"/>
        <w:pBdr/>
        <w:rPr/>
        <w:framePr w:w="7817" w:h="1088" w:x="1904" w:y="1" w:wrap="auto" w:vAnchor="text" w:hAnchor="page" w:hRule="exact"/>
      </w:pPr>
      <w:r>
        <w:rPr>
          <w:rFonts w:ascii="Calibri" w:hAnsi="Calibri" w:asciiTheme="minorHAnsi" w:hAnsiTheme="minorHAnsi"/>
          <w:sz w:val="22"/>
          <w:szCs w:val="22"/>
        </w:rPr>
        <w:t>No across-group analysis was conducted in this study.</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088" w:x="1904" w:y="1" w:wrap="auto" w:vAnchor="text" w:hAnchor="page" w:hRule="exact"/>
      </w:pPr>
      <w:r>
        <w:rPr>
          <w:rFonts w:ascii="Calibri" w:hAnsi="Calibri" w:asciiTheme="minorHAnsi" w:hAnsiTheme="minorHAnsi"/>
          <w:sz w:val="22"/>
          <w:szCs w:val="22"/>
        </w:rPr>
        <w:t xml:space="preserve">Post-mortem dataset is provided within Human Brain Project system: </w:t>
      </w:r>
      <w:hyperlink r:id="rId6">
        <w:r>
          <w:rPr>
            <w:rStyle w:val="InternetLink"/>
            <w:rFonts w:ascii="Calibri" w:hAnsi="Calibri" w:asciiTheme="minorHAnsi" w:hAnsiTheme="minorHAnsi"/>
            <w:sz w:val="22"/>
            <w:szCs w:val="22"/>
          </w:rPr>
          <w:t>https://kg.ebrains.eu/search/instances/Dataset/ff71a4d1-ea14-4ed6-898e-b92d95b3c446</w:t>
        </w:r>
      </w:hyperlink>
      <w:r>
        <w:rPr>
          <w:rFonts w:ascii="Calibri" w:hAnsi="Calibri" w:asciiTheme="minorHAnsi" w:hAnsiTheme="minorHAnsi"/>
          <w:sz w:val="22"/>
          <w:szCs w:val="22"/>
        </w:rPr>
        <w:t xml:space="preserve"> . In vivo dataset is previously published in: </w:t>
      </w:r>
      <w:hyperlink r:id="rId7">
        <w:r>
          <w:rPr>
            <w:rStyle w:val="InternetLink"/>
            <w:rFonts w:ascii="Calibri" w:hAnsi="Calibri" w:asciiTheme="minorHAnsi" w:hAnsiTheme="minorHAnsi"/>
            <w:sz w:val="22"/>
            <w:szCs w:val="22"/>
          </w:rPr>
          <w:t>https://openneuro.org/datasets/ds001942/versions/1.2.0</w:t>
        </w:r>
      </w:hyperlink>
      <w:r>
        <w:rPr>
          <w:rFonts w:ascii="Calibri" w:hAnsi="Calibri" w:asciiTheme="minorHAnsi" w:hAnsiTheme="minorHAnsi"/>
          <w:sz w:val="22"/>
          <w:szCs w:val="22"/>
        </w:rPr>
        <w:t xml:space="preserve">  https://openneuro.org/datasets/ds001942/versions/1.2.0</w:t>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r>
    </w:p>
    <w:p>
      <w:pPr>
        <w:pStyle w:val="Normal"/>
        <w:pBdr/>
        <w:rPr/>
        <w:framePr w:w="7817" w:h="1088" w:x="1904" w:y="1" w:wrap="auto" w:vAnchor="text" w:hAnchor="page" w:hRule="exact"/>
      </w:pPr>
      <w:r>
        <w:rPr>
          <w:rFonts w:ascii="Calibri" w:hAnsi="Calibri" w:asciiTheme="minorHAnsi" w:hAnsiTheme="minorHAnsi"/>
          <w:sz w:val="22"/>
          <w:szCs w:val="22"/>
        </w:rPr>
        <w:t>In</w:t>
      </w:r>
    </w:p>
    <w:sectPr>
      <w:headerReference w:type="default" r:id="rId8"/>
      <w:footerReference w:type="default" r:id="rId9"/>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3">
              <wp:simplePos x="0" y="0"/>
              <wp:positionH relativeFrom="page">
                <wp:posOffset>6313805</wp:posOffset>
              </wp:positionH>
              <wp:positionV relativeFrom="paragraph">
                <wp:posOffset>123825</wp:posOffset>
              </wp:positionV>
              <wp:extent cx="66040" cy="154305"/>
              <wp:effectExtent l="0" t="0" r="0" b="0"/>
              <wp:wrapSquare wrapText="largest"/>
              <wp:docPr id="2" name="Frame6"/>
              <a:graphic xmlns:a="http://schemas.openxmlformats.org/drawingml/2006/main">
                <a:graphicData uri="http://schemas.microsoft.com/office/word/2010/wordprocessingShape">
                  <wps:wsp>
                    <wps:cNvSpPr/>
                    <wps:spPr>
                      <a:xfrm>
                        <a:off x="0" y="0"/>
                        <a:ext cx="6552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stroked="f" style="position:absolute;margin-left:497.15pt;margin-top:9.75pt;width:5.1pt;height:12.05pt;mso-position-horizontal-relative:page">
              <w10:wrap type="square"/>
              <v:fill o:detectmouseclick="t" on="false"/>
              <v:stroke color="#3465a4" joinstyle="round" endcap="flat"/>
              <v:textbo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character" w:styleId="ListLabel6">
    <w:name w:val="ListLabel 6"/>
    <w:qFormat/>
    <w:rPr>
      <w:rFonts w:ascii="Calibri" w:hAnsi="Calibri"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Calibri" w:hAnsi="Calibri" w:cs="Symbol"/>
      <w:sz w:val="22"/>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Calibri" w:hAnsi="Calibri" w:cs="Symbol"/>
      <w:b/>
      <w:sz w:val="22"/>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Calibri" w:hAnsi="Calibri" w:cs="Symbol"/>
      <w:sz w:val="22"/>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Calibri" w:hAnsi="Calibri" w:cs="Symbol"/>
      <w:sz w:val="22"/>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Calibri" w:hAnsi="Calibri" w:asciiTheme="minorHAnsi" w:hAnsiTheme="minorHAnsi"/>
      <w:bCs/>
      <w:sz w:val="22"/>
      <w:szCs w:val="22"/>
      <w:lang w:val="en-GB"/>
    </w:rPr>
  </w:style>
  <w:style w:type="character" w:styleId="ListLabel52">
    <w:name w:val="ListLabel 52"/>
    <w:qFormat/>
    <w:rPr>
      <w:rFonts w:ascii="Calibri" w:hAnsi="Calibri" w:asciiTheme="minorHAnsi" w:hAnsiTheme="minorHAnsi"/>
      <w:bCs/>
      <w:sz w:val="22"/>
      <w:szCs w:val="22"/>
    </w:rPr>
  </w:style>
  <w:style w:type="character" w:styleId="ListLabel53">
    <w:name w:val="ListLabel 53"/>
    <w:qFormat/>
    <w:rPr>
      <w:rFonts w:ascii="Calibri" w:hAnsi="Calibri" w:cs="Symbol"/>
      <w:sz w:val="22"/>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Calibri" w:hAnsi="Calibri" w:cs="Symbol"/>
      <w:sz w:val="22"/>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ascii="Calibri" w:hAnsi="Calibri" w:cs="Symbol"/>
      <w:b/>
      <w:sz w:val="22"/>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ascii="Calibri" w:hAnsi="Calibri" w:cs="Symbol"/>
      <w:sz w:val="22"/>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ascii="Calibri" w:hAnsi="Calibri" w:cs="Symbol"/>
      <w:sz w:val="22"/>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ascii="Calibri" w:hAnsi="Calibri" w:asciiTheme="minorHAnsi" w:hAnsiTheme="minorHAnsi"/>
      <w:bCs/>
      <w:sz w:val="22"/>
      <w:szCs w:val="22"/>
      <w:lang w:val="en-GB"/>
    </w:rPr>
  </w:style>
  <w:style w:type="character" w:styleId="ListLabel99">
    <w:name w:val="ListLabel 99"/>
    <w:qFormat/>
    <w:rPr>
      <w:rFonts w:ascii="Calibri" w:hAnsi="Calibri" w:asciiTheme="minorHAnsi" w:hAnsiTheme="minorHAnsi"/>
      <w:bCs/>
      <w:sz w:val="22"/>
      <w:szCs w:val="22"/>
    </w:rPr>
  </w:style>
  <w:style w:type="character" w:styleId="ListLabel100">
    <w:name w:val="ListLabel 100"/>
    <w:qFormat/>
    <w:rPr>
      <w:rFonts w:ascii="Calibri" w:hAnsi="Calibri" w:asciiTheme="minorHAnsi" w:hAnsiTheme="minorHAnsi"/>
      <w:sz w:val="22"/>
      <w:szCs w:val="22"/>
    </w:rPr>
  </w:style>
  <w:style w:type="paragraph" w:styleId="Heading">
    <w:name w:val="Heading"/>
    <w:basedOn w:val="Normal"/>
    <w:next w:val="TextBody"/>
    <w:qFormat/>
    <w:pPr>
      <w:keepNext w:val="true"/>
      <w:spacing w:before="240" w:after="120"/>
    </w:pPr>
    <w:rPr>
      <w:rFonts w:ascii="Liberation Sans" w:hAnsi="Liberation Sans" w:eastAsia="AR PL KaitiM GB"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kg.ebrains.eu/search/instances/Dataset/ff71a4d1-ea14-4ed6-898e-b92d95b3c446" TargetMode="External"/><Relationship Id="rId7" Type="http://schemas.openxmlformats.org/officeDocument/2006/relationships/hyperlink" Target="https://openneuro.org/datasets/ds001942/versions/1.2.0"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Application>LibreOffice/6.1.5.2$Linux_X86_64 LibreOffice_project/10$Build-2</Application>
  <Pages>2</Pages>
  <Words>871</Words>
  <Characters>4961</Characters>
  <CharactersWithSpaces>5772</CharactersWithSpaces>
  <Paragraphs>43</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2020-03-27T11:47:25Z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