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27E5" w:rsidRPr="008E4BB0" w:rsidRDefault="00DF27E5" w:rsidP="00DF27E5">
      <w:pPr>
        <w:pStyle w:val="Beschriftung"/>
        <w:keepNext/>
        <w:rPr>
          <w:rFonts w:cs="Arial"/>
          <w:b/>
          <w:bCs w:val="0"/>
          <w:lang w:val="en-US"/>
        </w:rPr>
      </w:pPr>
      <w:r w:rsidRPr="0087347C">
        <w:rPr>
          <w:rFonts w:cs="Arial"/>
          <w:b/>
          <w:bCs w:val="0"/>
          <w:lang w:val="en-US"/>
        </w:rPr>
        <w:t xml:space="preserve">Supplementary File </w:t>
      </w:r>
      <w:r w:rsidRPr="0087347C">
        <w:rPr>
          <w:rFonts w:cs="Arial"/>
          <w:b/>
          <w:bCs w:val="0"/>
        </w:rPr>
        <w:fldChar w:fldCharType="begin"/>
      </w:r>
      <w:r w:rsidRPr="0087347C">
        <w:rPr>
          <w:rFonts w:cs="Arial"/>
          <w:b/>
          <w:bCs w:val="0"/>
          <w:lang w:val="en-US"/>
        </w:rPr>
        <w:instrText xml:space="preserve"> SEQ Supplemental_Table \* ARABIC </w:instrText>
      </w:r>
      <w:r w:rsidRPr="0087347C">
        <w:rPr>
          <w:rFonts w:cs="Arial"/>
          <w:b/>
          <w:bCs w:val="0"/>
        </w:rPr>
        <w:fldChar w:fldCharType="separate"/>
      </w:r>
      <w:r w:rsidRPr="0087347C">
        <w:rPr>
          <w:rFonts w:cs="Arial"/>
          <w:b/>
          <w:bCs w:val="0"/>
          <w:noProof/>
          <w:lang w:val="en-US"/>
        </w:rPr>
        <w:t>1</w:t>
      </w:r>
      <w:r w:rsidRPr="0087347C">
        <w:rPr>
          <w:rFonts w:cs="Arial"/>
          <w:b/>
          <w:bCs w:val="0"/>
        </w:rPr>
        <w:fldChar w:fldCharType="end"/>
      </w:r>
      <w:r w:rsidRPr="0087347C">
        <w:rPr>
          <w:rFonts w:cs="Arial"/>
          <w:b/>
          <w:bCs w:val="0"/>
          <w:lang w:val="en-US"/>
        </w:rPr>
        <w:t>:</w:t>
      </w:r>
      <w:r w:rsidRPr="008E4BB0">
        <w:rPr>
          <w:rFonts w:cs="Arial"/>
          <w:lang w:val="en-US"/>
        </w:rPr>
        <w:t xml:space="preserve"> </w:t>
      </w:r>
      <w:r w:rsidRPr="008E4BB0">
        <w:rPr>
          <w:rFonts w:cs="Arial"/>
          <w:bCs w:val="0"/>
          <w:lang w:val="en-US"/>
        </w:rPr>
        <w:t>Top 45 upregulated genes in lesional psoriatic skin compared to non-lesional skin at baseline from 15 patients with psoriasis (P&lt;0.05, fold change &gt;1.5).</w:t>
      </w:r>
    </w:p>
    <w:tbl>
      <w:tblPr>
        <w:tblW w:w="8931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76"/>
        <w:gridCol w:w="4895"/>
        <w:gridCol w:w="1560"/>
      </w:tblGrid>
      <w:tr w:rsidR="00DF27E5" w:rsidRPr="0087347C" w:rsidTr="004B1653">
        <w:trPr>
          <w:trHeight w:val="59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 xml:space="preserve">Probe </w:t>
            </w:r>
            <w:proofErr w:type="spellStart"/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set</w:t>
            </w:r>
            <w:proofErr w:type="spellEnd"/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 xml:space="preserve"> ID</w:t>
            </w:r>
          </w:p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Gene Symbol</w:t>
            </w:r>
          </w:p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Gene title</w:t>
            </w:r>
          </w:p>
          <w:p w:rsidR="00DF27E5" w:rsidRPr="0059344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bCs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bCs/>
                <w:color w:val="000000"/>
                <w:sz w:val="16"/>
                <w:szCs w:val="16"/>
                <w:lang w:val="en-US"/>
              </w:rPr>
              <w:t>Lesional skin vs. Non-lesional skin (fold change)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16693375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SPRR2F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Small proline-rich protein 2F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144,52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16671144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S100A7A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S100 calcium binding protein A7A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133,99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17074361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DEFB4B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Defensin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4B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113,44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16738803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TCN1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Transcobalamin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I (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vitamin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B12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binding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R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binder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family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83,47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16730157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HEPHL1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Hephaestin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-like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60,80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16693409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S100A12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S100 calcium binding protein A12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59,88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SPRR2C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Small proline-rich protein 2C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52,74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16671139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S100A9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S100 calcium binding protein A9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52,11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16976438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TMPRSS11D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Transmembrane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serine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11D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36,11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16884602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IL36A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Interleukin 36,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alpha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32,83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16967771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CXCL8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>Chemokine (C-X-C motif) ligand 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29,59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LCE3A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Late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cornified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envelope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3A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28,89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16693331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LCE3E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Late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cornified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envelope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3E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23,31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16813112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RHCG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Rh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family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C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glycoprotein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22,97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16773260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ATP12A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ATPase, H+/K+ transporting, </w:t>
            </w:r>
            <w:proofErr w:type="spellStart"/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>nongastric</w:t>
            </w:r>
            <w:proofErr w:type="spellEnd"/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, alpha polypeptide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20,70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16693414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S100 calcium binding protein A8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20,61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17051827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AKR1B10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>Aldo-keto reductase family 1, member B10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16,23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16807797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PLA2G4D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Phospholipase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A2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16,15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17089525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LCN2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Lipocalin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15,90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16967831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EPGN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Epithelial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mitogen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15,74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16979444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TNIP3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TNFAIP3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interacting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15,69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16861914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PAPL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Iron/zinc purple acid phosphatase-like protein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15,67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16886174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KYNU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Kynureninase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15,26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16777185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GJB2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Gap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junction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2, 26kDa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15,00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17085829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GDA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Guanine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deaminase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14,82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17065453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DEFB103A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Defensin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103A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14,62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16844817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KRT16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Keratin 16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13,41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17106398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SLC6A14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Solute carrier family 6 (amino acid transporter), member 14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13,15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16977052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CXCL10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Chemokine (C-X-C motif) ligand 10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11,82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17083357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CD274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CD274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molecule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10,67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17023716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VNN3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Vanin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9,51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16777190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GJB6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Gap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junction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8,77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17066961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ADAMDEC1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ADAM-like,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decysin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8,04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16901986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IL1B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Interleukin 1,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7,64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16668622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CHI3L2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Chitinase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3-like 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7,64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16799739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CHAC1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Cation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transport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regulator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homolog 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6,78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16896196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XDH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Xanthine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dehydrogenase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6,73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16666943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GBP6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Guanylate binding protein family, member 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6,58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16731773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TMPRSS4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Transmembrane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protease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serine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6,56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16863419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IGFL1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IGF-like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family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member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6,49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16693357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SPRR2A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Small proline-rich protein 2A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6,28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17065458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DEFB4A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Defensin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beta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4A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6,10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16675301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RGS1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Regulator of G-protein signaling 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5,57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lastRenderedPageBreak/>
              <w:t>17059771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SAMD9</w:t>
            </w:r>
          </w:p>
        </w:tc>
        <w:tc>
          <w:tcPr>
            <w:tcW w:w="489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8E4BB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 w:cs="Helvetica"/>
                <w:color w:val="000000"/>
                <w:sz w:val="16"/>
                <w:szCs w:val="16"/>
                <w:lang w:val="en-US"/>
              </w:rPr>
              <w:t xml:space="preserve">Sterile alpha motif domain containing 9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5,53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16860418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CCNE1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>Cyclin</w:t>
            </w:r>
            <w:proofErr w:type="spellEnd"/>
            <w:r w:rsidRPr="00593440"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E1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  <w:t>5,41</w:t>
            </w:r>
          </w:p>
        </w:tc>
      </w:tr>
      <w:tr w:rsidR="00DF27E5" w:rsidRPr="00593440" w:rsidTr="004B165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DF27E5" w:rsidRPr="00593440" w:rsidRDefault="00DF27E5" w:rsidP="004B1653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DF27E5" w:rsidRPr="00593440" w:rsidRDefault="00DF27E5" w:rsidP="004B1653">
            <w:pPr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DF27E5" w:rsidRPr="00593440" w:rsidRDefault="00DF27E5" w:rsidP="004B1653">
            <w:pPr>
              <w:jc w:val="center"/>
              <w:rPr>
                <w:rFonts w:ascii="Helvetica" w:hAnsi="Helvetica" w:cs="Helvetica"/>
                <w:bCs/>
                <w:color w:val="000000"/>
                <w:sz w:val="16"/>
                <w:szCs w:val="16"/>
              </w:rPr>
            </w:pPr>
          </w:p>
        </w:tc>
      </w:tr>
    </w:tbl>
    <w:p w:rsidR="00DF27E5" w:rsidRPr="00593440" w:rsidRDefault="00DF27E5" w:rsidP="00DF27E5"/>
    <w:p w:rsidR="00DF27E5" w:rsidRDefault="00DF27E5" w:rsidP="00DF27E5">
      <w:pPr>
        <w:pStyle w:val="SMHeading"/>
        <w:rPr>
          <w:rFonts w:ascii="Arial" w:hAnsi="Arial" w:cs="Arial"/>
          <w:sz w:val="20"/>
          <w:szCs w:val="20"/>
        </w:rPr>
      </w:pPr>
    </w:p>
    <w:p w:rsidR="00DF27E5" w:rsidRPr="00840BB2" w:rsidRDefault="00DF27E5" w:rsidP="00DF27E5">
      <w:pPr>
        <w:pStyle w:val="SMHeading"/>
        <w:rPr>
          <w:rFonts w:ascii="Arial" w:hAnsi="Arial" w:cs="Arial"/>
          <w:sz w:val="20"/>
          <w:szCs w:val="20"/>
        </w:rPr>
      </w:pPr>
    </w:p>
    <w:p w:rsidR="00F74672" w:rsidRPr="00DF27E5" w:rsidRDefault="00F74672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F74672" w:rsidRPr="00DF27E5" w:rsidSect="00BD06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E5"/>
    <w:rsid w:val="00BD06C1"/>
    <w:rsid w:val="00D93C3A"/>
    <w:rsid w:val="00DF27E5"/>
    <w:rsid w:val="00EE3126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FB38C"/>
  <w15:chartTrackingRefBased/>
  <w15:docId w15:val="{59A59636-7995-2E4A-8CA3-38897BD2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7E5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27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DF27E5"/>
    <w:pPr>
      <w:spacing w:after="200"/>
      <w:jc w:val="both"/>
    </w:pPr>
    <w:rPr>
      <w:rFonts w:ascii="Arial" w:eastAsiaTheme="minorEastAsia" w:hAnsi="Arial" w:cstheme="minorBidi"/>
      <w:bCs/>
      <w:sz w:val="18"/>
      <w:szCs w:val="18"/>
    </w:rPr>
  </w:style>
  <w:style w:type="paragraph" w:customStyle="1" w:styleId="SMHeading">
    <w:name w:val="SM Heading"/>
    <w:basedOn w:val="berschrift1"/>
    <w:qFormat/>
    <w:rsid w:val="00DF27E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27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osbenezedt</dc:creator>
  <cp:keywords/>
  <dc:description/>
  <cp:lastModifiedBy>osbenezedt</cp:lastModifiedBy>
  <cp:revision>1</cp:revision>
  <dcterms:created xsi:type="dcterms:W3CDTF">2020-05-13T08:26:00Z</dcterms:created>
  <dcterms:modified xsi:type="dcterms:W3CDTF">2020-05-13T08:26:00Z</dcterms:modified>
</cp:coreProperties>
</file>