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D30CA" w:rsidRPr="00121051" w:rsidRDefault="000D30CA" w:rsidP="000D30CA">
      <w:pPr>
        <w:pStyle w:val="Beschriftung"/>
        <w:keepNext/>
        <w:rPr>
          <w:rFonts w:cs="Arial"/>
          <w:b/>
          <w:lang w:val="en-US"/>
        </w:rPr>
      </w:pPr>
      <w:r w:rsidRPr="005F6B0D">
        <w:rPr>
          <w:rFonts w:cs="Arial"/>
          <w:b/>
          <w:lang w:val="en-US"/>
        </w:rPr>
        <w:t>Supplementa</w:t>
      </w:r>
      <w:r>
        <w:rPr>
          <w:rFonts w:cs="Arial"/>
          <w:b/>
          <w:lang w:val="en-US"/>
        </w:rPr>
        <w:t>ry</w:t>
      </w:r>
      <w:r w:rsidRPr="005F6B0D">
        <w:rPr>
          <w:rFonts w:cs="Arial"/>
          <w:b/>
          <w:lang w:val="en-US"/>
        </w:rPr>
        <w:t xml:space="preserve"> </w:t>
      </w:r>
      <w:r>
        <w:rPr>
          <w:rFonts w:cs="Arial"/>
          <w:b/>
          <w:lang w:val="en-US"/>
        </w:rPr>
        <w:t>File</w:t>
      </w:r>
      <w:r w:rsidRPr="005F6B0D">
        <w:rPr>
          <w:rFonts w:cs="Arial"/>
          <w:b/>
          <w:lang w:val="en-US"/>
        </w:rPr>
        <w:t xml:space="preserve"> </w:t>
      </w:r>
      <w:r w:rsidRPr="005F6B0D">
        <w:rPr>
          <w:rFonts w:cs="Arial"/>
          <w:b/>
        </w:rPr>
        <w:fldChar w:fldCharType="begin"/>
      </w:r>
      <w:r w:rsidRPr="005F6B0D">
        <w:rPr>
          <w:rFonts w:cs="Arial"/>
          <w:b/>
          <w:lang w:val="en-US"/>
        </w:rPr>
        <w:instrText xml:space="preserve"> SEQ Supplemental_Table \* ARABIC </w:instrText>
      </w:r>
      <w:r w:rsidRPr="005F6B0D">
        <w:rPr>
          <w:rFonts w:cs="Arial"/>
          <w:b/>
        </w:rPr>
        <w:fldChar w:fldCharType="separate"/>
      </w:r>
      <w:r w:rsidRPr="005F6B0D">
        <w:rPr>
          <w:rFonts w:cs="Arial"/>
          <w:b/>
          <w:noProof/>
          <w:lang w:val="en-US"/>
        </w:rPr>
        <w:t>3</w:t>
      </w:r>
      <w:r w:rsidRPr="005F6B0D">
        <w:rPr>
          <w:rFonts w:cs="Arial"/>
          <w:b/>
        </w:rPr>
        <w:fldChar w:fldCharType="end"/>
      </w:r>
      <w:r w:rsidRPr="005F6B0D">
        <w:rPr>
          <w:rFonts w:cs="Arial"/>
          <w:b/>
          <w:lang w:val="en-US"/>
        </w:rPr>
        <w:t>:</w:t>
      </w:r>
      <w:r w:rsidRPr="00121051">
        <w:rPr>
          <w:rFonts w:cs="Arial"/>
          <w:lang w:val="en-US"/>
        </w:rPr>
        <w:t xml:space="preserve"> Top 20 significantly enriched pathways as determined by Gene Ontology (GO) enrichment analysis in histological responders compared to non-</w:t>
      </w:r>
      <w:r w:rsidRPr="000D30CA">
        <w:rPr>
          <w:rFonts w:cs="Arial"/>
          <w:lang w:val="en-US"/>
        </w:rPr>
        <w:t>responders in the psoriasis patient cohort</w:t>
      </w:r>
      <w:r w:rsidRPr="00121051">
        <w:rPr>
          <w:rFonts w:cs="Arial"/>
          <w:lang w:val="en-US"/>
        </w:rPr>
        <w:t xml:space="preserve"> (GO was done using </w:t>
      </w:r>
      <w:proofErr w:type="spellStart"/>
      <w:r w:rsidRPr="00121051">
        <w:rPr>
          <w:rFonts w:cs="Arial"/>
          <w:lang w:val="en-US"/>
        </w:rPr>
        <w:t>Cytoscape</w:t>
      </w:r>
      <w:proofErr w:type="spellEnd"/>
      <w:r w:rsidRPr="00121051">
        <w:rPr>
          <w:rFonts w:cs="Arial"/>
          <w:lang w:val="en-US"/>
        </w:rPr>
        <w:t xml:space="preserve"> software; </w:t>
      </w:r>
      <w:r w:rsidRPr="005333A1">
        <w:rPr>
          <w:rFonts w:cs="Arial"/>
          <w:b/>
        </w:rPr>
        <w:fldChar w:fldCharType="begin" w:fldLock="1"/>
      </w:r>
      <w:r>
        <w:rPr>
          <w:rFonts w:cs="Arial"/>
          <w:lang w:val="en-US"/>
        </w:rPr>
        <w:instrText>ADDIN CSL_CITATION {"citationItems":[{"id":"ITEM-1","itemData":{"DOI":"10.1093/bioinformatics/btp101","ISBN":"1367-4811 (Electronic)\\r1367-4803 (Linking)","ISSN":"13674803","PMID":"19237447","abstract":"We have developed ClueGO, an easy to use Cytoscape plug-in that strongly improves biological interpretation of large lists of genes. ClueGO integrates Gene Ontology (GO) terms as well as KEGG/BioCarta pathways and creates a functionally organized GO/pathway term network. It can analyze one or compare two lists of genes and comprehensively visualizes functionally grouped terms. A one-click update option allows ClueGO to automatically download the most recent GO/KEGG release at any time. ClueGO provides an intuitive representation of the analysis results and can be optionally used in conjunction with the GOlorize plug-in.","author":[{"dropping-particle":"","family":"Bindea","given":"Gabriela","non-dropping-particle":"","parse-names":false,"suffix":""},{"dropping-particle":"","family":"Mlecnik","given":"Bernhard","non-dropping-particle":"","parse-names":false,"suffix":""},{"dropping-particle":"","family":"Hackl","given":"Hubert","non-dropping-particle":"","parse-names":false,"suffix":""},{"dropping-particle":"","family":"Charoentong","given":"Pornpimol","non-dropping-particle":"","parse-names":false,"suffix":""},{"dropping-particle":"","family":"Tosolini","given":"Marie","non-dropping-particle":"","parse-names":false,"suffix":""},{"dropping-particle":"","family":"Kirilovsky","given":"Amos","non-dropping-particle":"","parse-names":false,"suffix":""},{"dropping-particle":"","family":"Fridman","given":"Wolf Herman","non-dropping-particle":"","parse-names":false,"suffix":""},{"dropping-particle":"","family":"Pagès","given":"Franck","non-dropping-particle":"","parse-names":false,"suffix":""},{"dropping-particle":"","family":"Trajanoski","given":"Zlatko","non-dropping-particle":"","parse-names":false,"suffix":""},{"dropping-particle":"","family":"Galon","given":"Jérôme","non-dropping-particle":"","parse-names":false,"suffix":""}],"container-title":"Bioinformatics","id":"ITEM-1","issue":"8","issued":{"date-parts":[["2009"]]},"page":"1091-1093","title":"ClueGO: A Cytoscape plug-in to decipher functionally grouped gene ontology and pathway annotation networks","type":"article-journal","volume":"25"},"uris":["http://www.mendeley.com/documents/?uuid=397043b9-62ef-4d1f-bee5-0431fcbe714e"]},{"id":"ITEM-2","itemData":{"DOI":"10.1101/gr.1239303.metabolite","ISBN":"1088-9051 (Print) 1088-9051 (Linking)","ISSN":"1088-9051","PMID":"14597658","abstract":"Cytoscape is an open source software project for integrating biomolecular interaction networks with high-throughput expression data and other molecular states into a unified conceptual framework. Although applicable to any system of molecular components and interactions, Cytoscape is most powerful when used in conjunction withlarge databases of protein–protein, protein–DNA, and genetic interactions that are increasingly available for humans and model organisms. Cytoscape’s software Core provides basic functionality to layout and query the network; to visually integrate the network with expression profiles, phenotypes, and other molecular states; and to link the network to databases of functional annotations. The Core is extensible through a straightforward plug-in architecture, allowing rapid development of additional computational analyses and features. Several case studies of Cytoscape plug-ins are surveyed, including a searchfor interaction pathways correlating with changes in gene expression, a study of protein complexes involved in cellular recovery to DNA damage, inference of a combined physical/functional interaction network for Halobacterium, and an interface to detailed stochastic/kinetic gene regulatory models.","author":[{"dropping-particle":"","family":"Shannon","given":"Paul","non-dropping-particle":"","parse-names":false,"suffix":""},{"dropping-particle":"","family":"Markiel","given":"Andrew","non-dropping-particle":"","parse-names":false,"suffix":""},{"dropping-particle":"","family":"Ozier","given":"Owen","non-dropping-particle":"","parse-names":false,"suffix":""},{"dropping-particle":"","family":"Baliga","given":"Nitin S.","non-dropping-particle":"","parse-names":false,"suffix":""},{"dropping-particle":"","family":"Wang","given":"Jonathan T.","non-dropping-particle":"","parse-names":false,"suffix":""},{"dropping-particle":"","family":"Ramage","given":"Daniel","non-dropping-particle":"","parse-names":false,"suffix":""},{"dropping-particle":"","family":"Amin","given":"Nada","non-dropping-particle":"","parse-names":false,"suffix":""},{"dropping-particle":"","family":"Schwikowski","given":"Benno","non-dropping-particle":"","parse-names":false,"suffix":""},{"dropping-particle":"","family":"Ideker","given":"Trey","non-dropping-particle":"","parse-names":false,"suffix":""}],"container-title":"Genome Research","id":"ITEM-2","issued":{"date-parts":[["2003"]]},"page":"2498-2504","title":"Cytoscape: A Software Environment for Integrated Models","type":"article-journal","volume":"13"},"uris":["http://www.mendeley.com/documents/?uuid=e5d5c972-f5d5-4c44-b3c9-d9a8c4c04597"]}],"mendeley":{"formattedCitation":"(Bindea et al., 2009; Shannon et al., 2003)","plainTextFormattedCitation":"(Bindea et al., 2009; Shannon et al., 2003)","previouslyFormattedCitation":"(Bindea et al., 2009; Shannon et al., 2003)"},"properties":{"noteIndex":0},"schema":"https://github.com/citation-style-language/schema/raw/master/csl-citation.json"}</w:instrText>
      </w:r>
      <w:r w:rsidRPr="005333A1">
        <w:rPr>
          <w:rFonts w:cs="Arial"/>
          <w:b/>
        </w:rPr>
        <w:fldChar w:fldCharType="separate"/>
      </w:r>
      <w:r w:rsidRPr="00BE2963">
        <w:rPr>
          <w:rFonts w:cs="Arial"/>
          <w:noProof/>
          <w:lang w:val="en-US"/>
        </w:rPr>
        <w:t>(Bindea et al., 2009; Shannon et al., 2003)</w:t>
      </w:r>
      <w:r w:rsidRPr="005333A1">
        <w:rPr>
          <w:rFonts w:cs="Arial"/>
          <w:b/>
        </w:rPr>
        <w:fldChar w:fldCharType="end"/>
      </w:r>
      <w:r w:rsidRPr="00121051">
        <w:rPr>
          <w:rFonts w:cs="Arial"/>
          <w:lang w:val="en-US"/>
        </w:rPr>
        <w:t xml:space="preserve"> </w:t>
      </w:r>
      <w:proofErr w:type="spellStart"/>
      <w:r w:rsidRPr="00121051">
        <w:rPr>
          <w:rFonts w:cs="Arial"/>
          <w:lang w:val="en-US"/>
        </w:rPr>
        <w:t>a.o.</w:t>
      </w:r>
      <w:proofErr w:type="spellEnd"/>
      <w:r w:rsidRPr="00121051">
        <w:rPr>
          <w:rFonts w:cs="Arial"/>
          <w:lang w:val="en-US"/>
        </w:rPr>
        <w:t xml:space="preserve"> = among others)</w:t>
      </w:r>
      <w:bookmarkStart w:id="0" w:name="_GoBack"/>
      <w:bookmarkEnd w:id="0"/>
    </w:p>
    <w:p w:rsidR="000D30CA" w:rsidRPr="00121051" w:rsidRDefault="000D30CA" w:rsidP="000D30CA">
      <w:pPr>
        <w:rPr>
          <w:lang w:val="en-US"/>
        </w:rPr>
      </w:pPr>
    </w:p>
    <w:tbl>
      <w:tblPr>
        <w:tblStyle w:val="Tabellenraster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3"/>
        <w:gridCol w:w="2661"/>
        <w:gridCol w:w="1013"/>
        <w:gridCol w:w="1491"/>
        <w:gridCol w:w="3166"/>
      </w:tblGrid>
      <w:tr w:rsidR="000D30CA" w:rsidRPr="0087347C" w:rsidTr="004B1653">
        <w:trPr>
          <w:trHeight w:val="597"/>
        </w:trPr>
        <w:tc>
          <w:tcPr>
            <w:tcW w:w="1133" w:type="dxa"/>
            <w:tcBorders>
              <w:bottom w:val="single" w:sz="4" w:space="0" w:color="auto"/>
            </w:tcBorders>
            <w:shd w:val="clear" w:color="auto" w:fill="D9D9D9" w:themeFill="background1" w:themeFillShade="D9"/>
            <w:noWrap/>
            <w:vAlign w:val="center"/>
            <w:hideMark/>
          </w:tcPr>
          <w:p w:rsidR="000D30CA" w:rsidRPr="00121051" w:rsidRDefault="000D30CA" w:rsidP="004B1653">
            <w:pPr>
              <w:spacing w:line="276" w:lineRule="auto"/>
              <w:rPr>
                <w:rFonts w:ascii="Helvetica" w:hAnsi="Helvetica" w:cs="Arial"/>
                <w:b/>
                <w:bCs/>
                <w:sz w:val="16"/>
                <w:szCs w:val="16"/>
              </w:rPr>
            </w:pPr>
            <w:r w:rsidRPr="00121051">
              <w:rPr>
                <w:rFonts w:ascii="Helvetica" w:hAnsi="Helvetica" w:cs="Arial"/>
                <w:b/>
                <w:bCs/>
                <w:sz w:val="16"/>
                <w:szCs w:val="16"/>
              </w:rPr>
              <w:t>GO ID</w:t>
            </w:r>
          </w:p>
        </w:tc>
        <w:tc>
          <w:tcPr>
            <w:tcW w:w="2661" w:type="dxa"/>
            <w:tcBorders>
              <w:bottom w:val="single" w:sz="4" w:space="0" w:color="auto"/>
            </w:tcBorders>
            <w:shd w:val="clear" w:color="auto" w:fill="D9D9D9" w:themeFill="background1" w:themeFillShade="D9"/>
            <w:noWrap/>
            <w:vAlign w:val="center"/>
            <w:hideMark/>
          </w:tcPr>
          <w:p w:rsidR="000D30CA" w:rsidRPr="00121051" w:rsidRDefault="000D30CA" w:rsidP="004B1653">
            <w:pPr>
              <w:spacing w:line="276" w:lineRule="auto"/>
              <w:rPr>
                <w:rFonts w:ascii="Helvetica" w:hAnsi="Helvetica" w:cs="Arial"/>
                <w:b/>
                <w:bCs/>
                <w:sz w:val="16"/>
                <w:szCs w:val="16"/>
              </w:rPr>
            </w:pPr>
            <w:r w:rsidRPr="00121051">
              <w:rPr>
                <w:rFonts w:ascii="Helvetica" w:hAnsi="Helvetica" w:cs="Arial"/>
                <w:b/>
                <w:bCs/>
                <w:sz w:val="16"/>
                <w:szCs w:val="16"/>
              </w:rPr>
              <w:t>GO Term</w:t>
            </w:r>
          </w:p>
        </w:tc>
        <w:tc>
          <w:tcPr>
            <w:tcW w:w="1013" w:type="dxa"/>
            <w:tcBorders>
              <w:bottom w:val="single" w:sz="4" w:space="0" w:color="auto"/>
            </w:tcBorders>
            <w:shd w:val="clear" w:color="auto" w:fill="D9D9D9" w:themeFill="background1" w:themeFillShade="D9"/>
            <w:noWrap/>
            <w:vAlign w:val="center"/>
            <w:hideMark/>
          </w:tcPr>
          <w:p w:rsidR="000D30CA" w:rsidRPr="00121051" w:rsidRDefault="000D30CA" w:rsidP="004B1653">
            <w:pPr>
              <w:spacing w:line="276" w:lineRule="auto"/>
              <w:rPr>
                <w:rFonts w:ascii="Helvetica" w:hAnsi="Helvetica" w:cs="Arial"/>
                <w:b/>
                <w:bCs/>
                <w:sz w:val="16"/>
                <w:szCs w:val="16"/>
              </w:rPr>
            </w:pPr>
            <w:r w:rsidRPr="00121051">
              <w:rPr>
                <w:rFonts w:ascii="Helvetica" w:hAnsi="Helvetica" w:cs="Arial"/>
                <w:b/>
                <w:bCs/>
                <w:sz w:val="16"/>
                <w:szCs w:val="16"/>
              </w:rPr>
              <w:t>P-Value</w:t>
            </w:r>
          </w:p>
        </w:tc>
        <w:tc>
          <w:tcPr>
            <w:tcW w:w="1491" w:type="dxa"/>
            <w:tcBorders>
              <w:bottom w:val="single" w:sz="4" w:space="0" w:color="auto"/>
            </w:tcBorders>
            <w:shd w:val="clear" w:color="auto" w:fill="D9D9D9" w:themeFill="background1" w:themeFillShade="D9"/>
            <w:noWrap/>
            <w:vAlign w:val="center"/>
            <w:hideMark/>
          </w:tcPr>
          <w:p w:rsidR="000D30CA" w:rsidRPr="00121051" w:rsidRDefault="000D30CA" w:rsidP="004B1653">
            <w:pPr>
              <w:spacing w:line="276" w:lineRule="auto"/>
              <w:rPr>
                <w:rFonts w:ascii="Helvetica" w:hAnsi="Helvetica" w:cs="Arial"/>
                <w:b/>
                <w:bCs/>
                <w:sz w:val="16"/>
                <w:szCs w:val="16"/>
              </w:rPr>
            </w:pPr>
            <w:r w:rsidRPr="00121051">
              <w:rPr>
                <w:rFonts w:ascii="Helvetica" w:hAnsi="Helvetica" w:cs="Arial"/>
                <w:b/>
                <w:bCs/>
                <w:sz w:val="16"/>
                <w:szCs w:val="16"/>
              </w:rPr>
              <w:t>% Associated Genes</w:t>
            </w:r>
          </w:p>
        </w:tc>
        <w:tc>
          <w:tcPr>
            <w:tcW w:w="3166" w:type="dxa"/>
            <w:tcBorders>
              <w:bottom w:val="single" w:sz="4" w:space="0" w:color="auto"/>
            </w:tcBorders>
            <w:shd w:val="clear" w:color="auto" w:fill="D9D9D9" w:themeFill="background1" w:themeFillShade="D9"/>
            <w:noWrap/>
            <w:vAlign w:val="center"/>
            <w:hideMark/>
          </w:tcPr>
          <w:p w:rsidR="000D30CA" w:rsidRPr="00121051" w:rsidRDefault="000D30CA" w:rsidP="004B1653">
            <w:pPr>
              <w:spacing w:line="276" w:lineRule="auto"/>
              <w:rPr>
                <w:rFonts w:ascii="Helvetica" w:hAnsi="Helvetica" w:cs="Arial"/>
                <w:b/>
                <w:bCs/>
                <w:sz w:val="16"/>
                <w:szCs w:val="16"/>
              </w:rPr>
            </w:pPr>
            <w:r w:rsidRPr="00121051">
              <w:rPr>
                <w:rFonts w:ascii="Helvetica" w:hAnsi="Helvetica" w:cs="Arial"/>
                <w:b/>
                <w:bCs/>
                <w:sz w:val="16"/>
                <w:szCs w:val="16"/>
              </w:rPr>
              <w:t>Associated Genes Found</w:t>
            </w:r>
          </w:p>
        </w:tc>
      </w:tr>
      <w:tr w:rsidR="000D30CA" w:rsidRPr="0087347C" w:rsidTr="004B1653">
        <w:trPr>
          <w:trHeight w:val="320"/>
        </w:trPr>
        <w:tc>
          <w:tcPr>
            <w:tcW w:w="1133" w:type="dxa"/>
            <w:tcBorders>
              <w:top w:val="single" w:sz="4" w:space="0" w:color="auto"/>
            </w:tcBorders>
            <w:shd w:val="clear" w:color="auto" w:fill="D9D9D9" w:themeFill="background1" w:themeFillShade="D9"/>
            <w:noWrap/>
            <w:hideMark/>
          </w:tcPr>
          <w:p w:rsidR="000D30CA" w:rsidRPr="00121051" w:rsidRDefault="000D30CA" w:rsidP="004B1653">
            <w:pPr>
              <w:spacing w:line="276" w:lineRule="auto"/>
              <w:rPr>
                <w:rFonts w:ascii="Helvetica" w:hAnsi="Helvetica"/>
                <w:color w:val="000000"/>
                <w:sz w:val="16"/>
                <w:szCs w:val="16"/>
              </w:rPr>
            </w:pPr>
            <w:r w:rsidRPr="00121051">
              <w:rPr>
                <w:rFonts w:ascii="Helvetica" w:hAnsi="Helvetica"/>
                <w:color w:val="000000"/>
                <w:sz w:val="16"/>
                <w:szCs w:val="16"/>
              </w:rPr>
              <w:t>GO:0030216</w:t>
            </w:r>
          </w:p>
        </w:tc>
        <w:tc>
          <w:tcPr>
            <w:tcW w:w="2661" w:type="dxa"/>
            <w:tcBorders>
              <w:top w:val="single" w:sz="4" w:space="0" w:color="auto"/>
            </w:tcBorders>
            <w:shd w:val="clear" w:color="auto" w:fill="D9D9D9" w:themeFill="background1" w:themeFillShade="D9"/>
            <w:noWrap/>
            <w:hideMark/>
          </w:tcPr>
          <w:p w:rsidR="000D30CA" w:rsidRPr="00121051" w:rsidRDefault="000D30CA" w:rsidP="004B1653">
            <w:pPr>
              <w:spacing w:line="276" w:lineRule="auto"/>
              <w:rPr>
                <w:rFonts w:ascii="Helvetica" w:hAnsi="Helvetica"/>
                <w:color w:val="000000"/>
                <w:sz w:val="16"/>
                <w:szCs w:val="16"/>
              </w:rPr>
            </w:pPr>
            <w:r w:rsidRPr="00121051">
              <w:rPr>
                <w:rFonts w:ascii="Helvetica" w:hAnsi="Helvetica"/>
                <w:color w:val="000000"/>
                <w:sz w:val="16"/>
                <w:szCs w:val="16"/>
              </w:rPr>
              <w:t>Keratinocyte differentiation</w:t>
            </w:r>
          </w:p>
        </w:tc>
        <w:tc>
          <w:tcPr>
            <w:tcW w:w="1013" w:type="dxa"/>
            <w:tcBorders>
              <w:top w:val="single" w:sz="4" w:space="0" w:color="auto"/>
            </w:tcBorders>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89,0E-33</w:t>
            </w:r>
          </w:p>
        </w:tc>
        <w:tc>
          <w:tcPr>
            <w:tcW w:w="1491" w:type="dxa"/>
            <w:tcBorders>
              <w:top w:val="single" w:sz="4" w:space="0" w:color="auto"/>
            </w:tcBorders>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8,05</w:t>
            </w:r>
          </w:p>
        </w:tc>
        <w:tc>
          <w:tcPr>
            <w:tcW w:w="3166" w:type="dxa"/>
            <w:tcBorders>
              <w:top w:val="single" w:sz="4" w:space="0" w:color="auto"/>
            </w:tcBorders>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 xml:space="preserve">DSG4, KRT16, KRT23, KRT32, KRT33A, LCE2B, LCE2C, LCE5A, WNT5A, </w:t>
            </w:r>
            <w:proofErr w:type="spellStart"/>
            <w:r w:rsidRPr="00121051">
              <w:rPr>
                <w:rFonts w:ascii="Helvetica" w:hAnsi="Helvetica" w:cs="Arial"/>
                <w:sz w:val="16"/>
                <w:szCs w:val="16"/>
              </w:rPr>
              <w:t>a.o.</w:t>
            </w:r>
            <w:proofErr w:type="spellEnd"/>
            <w:r w:rsidRPr="00121051">
              <w:rPr>
                <w:rFonts w:ascii="Helvetica" w:hAnsi="Helvetica" w:cs="Arial"/>
                <w:sz w:val="16"/>
                <w:szCs w:val="16"/>
              </w:rPr>
              <w:t xml:space="preserve"> </w:t>
            </w:r>
          </w:p>
        </w:tc>
      </w:tr>
      <w:tr w:rsidR="000D30CA" w:rsidRPr="0087347C" w:rsidTr="004B1653">
        <w:trPr>
          <w:trHeight w:val="320"/>
        </w:trPr>
        <w:tc>
          <w:tcPr>
            <w:tcW w:w="1133" w:type="dxa"/>
            <w:shd w:val="clear" w:color="auto" w:fill="D9D9D9" w:themeFill="background1" w:themeFillShade="D9"/>
            <w:noWrap/>
            <w:hideMark/>
          </w:tcPr>
          <w:p w:rsidR="000D30CA" w:rsidRPr="00121051" w:rsidRDefault="000D30CA" w:rsidP="004B1653">
            <w:pPr>
              <w:spacing w:line="276" w:lineRule="auto"/>
              <w:rPr>
                <w:rFonts w:ascii="Helvetica" w:hAnsi="Helvetica"/>
                <w:color w:val="000000"/>
                <w:sz w:val="16"/>
                <w:szCs w:val="16"/>
              </w:rPr>
            </w:pPr>
            <w:r w:rsidRPr="00121051">
              <w:rPr>
                <w:rFonts w:ascii="Helvetica" w:hAnsi="Helvetica"/>
                <w:color w:val="000000"/>
                <w:sz w:val="16"/>
                <w:szCs w:val="16"/>
              </w:rPr>
              <w:t>GO:0005882</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olor w:val="000000"/>
                <w:sz w:val="16"/>
                <w:szCs w:val="16"/>
              </w:rPr>
            </w:pPr>
            <w:r w:rsidRPr="00121051">
              <w:rPr>
                <w:rFonts w:ascii="Helvetica" w:hAnsi="Helvetica"/>
                <w:color w:val="000000"/>
                <w:sz w:val="16"/>
                <w:szCs w:val="16"/>
              </w:rPr>
              <w:t>Intermediate filament</w:t>
            </w:r>
          </w:p>
        </w:tc>
        <w:tc>
          <w:tcPr>
            <w:tcW w:w="1013"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400,0E-30</w:t>
            </w:r>
          </w:p>
        </w:tc>
        <w:tc>
          <w:tcPr>
            <w:tcW w:w="1491"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9,57</w:t>
            </w:r>
          </w:p>
        </w:tc>
        <w:tc>
          <w:tcPr>
            <w:tcW w:w="3166"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 xml:space="preserve">KRT16, KRT82, KRTAP19-1, KRTAP19-5, KRTAP2-4, KRTAP29-1, </w:t>
            </w:r>
            <w:proofErr w:type="spellStart"/>
            <w:r w:rsidRPr="00121051">
              <w:rPr>
                <w:rFonts w:ascii="Helvetica" w:hAnsi="Helvetica" w:cs="Arial"/>
                <w:sz w:val="16"/>
                <w:szCs w:val="16"/>
              </w:rPr>
              <w:t>a.o.</w:t>
            </w:r>
            <w:proofErr w:type="spellEnd"/>
            <w:r w:rsidRPr="00121051">
              <w:rPr>
                <w:rFonts w:ascii="Helvetica" w:hAnsi="Helvetica" w:cs="Arial"/>
                <w:sz w:val="16"/>
                <w:szCs w:val="16"/>
              </w:rPr>
              <w:t xml:space="preserve"> </w:t>
            </w:r>
          </w:p>
        </w:tc>
      </w:tr>
      <w:tr w:rsidR="000D30CA" w:rsidRPr="0087347C" w:rsidTr="004B1653">
        <w:trPr>
          <w:trHeight w:val="320"/>
        </w:trPr>
        <w:tc>
          <w:tcPr>
            <w:tcW w:w="1133"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GO:0007925</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 xml:space="preserve">Formation of hair keratin </w:t>
            </w:r>
            <w:proofErr w:type="spellStart"/>
            <w:r w:rsidRPr="00121051">
              <w:rPr>
                <w:rFonts w:ascii="Helvetica" w:hAnsi="Helvetica" w:cs="Arial"/>
                <w:sz w:val="16"/>
                <w:szCs w:val="16"/>
              </w:rPr>
              <w:t>fibres</w:t>
            </w:r>
            <w:proofErr w:type="spellEnd"/>
          </w:p>
        </w:tc>
        <w:tc>
          <w:tcPr>
            <w:tcW w:w="1013"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2,4E-27</w:t>
            </w:r>
          </w:p>
        </w:tc>
        <w:tc>
          <w:tcPr>
            <w:tcW w:w="1491"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12,16</w:t>
            </w:r>
          </w:p>
        </w:tc>
        <w:tc>
          <w:tcPr>
            <w:tcW w:w="3166"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KRT23, KRT32, KRT33A, KRT</w:t>
            </w:r>
            <w:proofErr w:type="gramStart"/>
            <w:r w:rsidRPr="00121051">
              <w:rPr>
                <w:rFonts w:ascii="Helvetica" w:hAnsi="Helvetica" w:cs="Arial"/>
                <w:sz w:val="16"/>
                <w:szCs w:val="16"/>
              </w:rPr>
              <w:t>35,  KRTAP</w:t>
            </w:r>
            <w:proofErr w:type="gramEnd"/>
            <w:r w:rsidRPr="00121051">
              <w:rPr>
                <w:rFonts w:ascii="Helvetica" w:hAnsi="Helvetica" w:cs="Arial"/>
                <w:sz w:val="16"/>
                <w:szCs w:val="16"/>
              </w:rPr>
              <w:t xml:space="preserve">2-4, KRTAP29-1, KRTAP3-3, </w:t>
            </w:r>
            <w:proofErr w:type="spellStart"/>
            <w:r w:rsidRPr="00121051">
              <w:rPr>
                <w:rFonts w:ascii="Helvetica" w:hAnsi="Helvetica" w:cs="Arial"/>
                <w:sz w:val="16"/>
                <w:szCs w:val="16"/>
              </w:rPr>
              <w:t>a.o.</w:t>
            </w:r>
            <w:proofErr w:type="spellEnd"/>
            <w:r w:rsidRPr="00121051">
              <w:rPr>
                <w:rFonts w:ascii="Helvetica" w:hAnsi="Helvetica" w:cs="Arial"/>
                <w:sz w:val="16"/>
                <w:szCs w:val="16"/>
              </w:rPr>
              <w:t xml:space="preserve"> </w:t>
            </w:r>
          </w:p>
        </w:tc>
      </w:tr>
      <w:tr w:rsidR="000D30CA" w:rsidRPr="0087347C" w:rsidTr="004B1653">
        <w:trPr>
          <w:trHeight w:val="320"/>
        </w:trPr>
        <w:tc>
          <w:tcPr>
            <w:tcW w:w="1133"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GO:0045095</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Keratin filament</w:t>
            </w:r>
          </w:p>
        </w:tc>
        <w:tc>
          <w:tcPr>
            <w:tcW w:w="1013"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1,8E-18</w:t>
            </w:r>
          </w:p>
        </w:tc>
        <w:tc>
          <w:tcPr>
            <w:tcW w:w="1491"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11,88</w:t>
            </w:r>
          </w:p>
        </w:tc>
        <w:tc>
          <w:tcPr>
            <w:tcW w:w="3166"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 xml:space="preserve">KRT82, KRTAP2-4, KRTAP29-1, KRTAP3-3, KRTAP4-1, KRTAP4-12, </w:t>
            </w:r>
            <w:proofErr w:type="spellStart"/>
            <w:r w:rsidRPr="00121051">
              <w:rPr>
                <w:rFonts w:ascii="Helvetica" w:hAnsi="Helvetica" w:cs="Arial"/>
                <w:sz w:val="16"/>
                <w:szCs w:val="16"/>
              </w:rPr>
              <w:t>a.o.</w:t>
            </w:r>
            <w:proofErr w:type="spellEnd"/>
          </w:p>
        </w:tc>
      </w:tr>
      <w:tr w:rsidR="000D30CA" w:rsidRPr="0087347C" w:rsidTr="004B1653">
        <w:trPr>
          <w:trHeight w:val="320"/>
        </w:trPr>
        <w:tc>
          <w:tcPr>
            <w:tcW w:w="1133"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GO:0007874</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Keratin filament formation</w:t>
            </w:r>
          </w:p>
        </w:tc>
        <w:tc>
          <w:tcPr>
            <w:tcW w:w="1013"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950,0E-12</w:t>
            </w:r>
          </w:p>
        </w:tc>
        <w:tc>
          <w:tcPr>
            <w:tcW w:w="1491"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7,29</w:t>
            </w:r>
          </w:p>
        </w:tc>
        <w:tc>
          <w:tcPr>
            <w:tcW w:w="3166" w:type="dxa"/>
            <w:shd w:val="clear" w:color="auto" w:fill="D9D9D9" w:themeFill="background1" w:themeFillShade="D9"/>
            <w:noWrap/>
            <w:hideMark/>
          </w:tcPr>
          <w:p w:rsidR="000D30CA" w:rsidRPr="0087347C" w:rsidRDefault="000D30CA" w:rsidP="004B1653">
            <w:pPr>
              <w:spacing w:line="276" w:lineRule="auto"/>
              <w:rPr>
                <w:rFonts w:ascii="Helvetica" w:hAnsi="Helvetica" w:cs="Arial"/>
                <w:sz w:val="16"/>
                <w:szCs w:val="16"/>
              </w:rPr>
            </w:pPr>
            <w:r w:rsidRPr="0087347C">
              <w:rPr>
                <w:rFonts w:ascii="Helvetica" w:hAnsi="Helvetica" w:cs="Arial"/>
                <w:sz w:val="16"/>
                <w:szCs w:val="16"/>
              </w:rPr>
              <w:t>DSG4, KRT16, KRT23, KRT32, KRT33A, KRT35, KRT82</w:t>
            </w:r>
          </w:p>
        </w:tc>
      </w:tr>
      <w:tr w:rsidR="000D30CA" w:rsidRPr="0087347C" w:rsidTr="004B1653">
        <w:trPr>
          <w:trHeight w:val="320"/>
        </w:trPr>
        <w:tc>
          <w:tcPr>
            <w:tcW w:w="1133"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GO:0007875</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Keratin tetramers bind to form unit length filaments</w:t>
            </w:r>
          </w:p>
        </w:tc>
        <w:tc>
          <w:tcPr>
            <w:tcW w:w="1013"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950,0E-12</w:t>
            </w:r>
          </w:p>
        </w:tc>
        <w:tc>
          <w:tcPr>
            <w:tcW w:w="1491"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7,29</w:t>
            </w:r>
          </w:p>
        </w:tc>
        <w:tc>
          <w:tcPr>
            <w:tcW w:w="3166" w:type="dxa"/>
            <w:shd w:val="clear" w:color="auto" w:fill="D9D9D9" w:themeFill="background1" w:themeFillShade="D9"/>
            <w:noWrap/>
            <w:hideMark/>
          </w:tcPr>
          <w:p w:rsidR="000D30CA" w:rsidRPr="0087347C" w:rsidRDefault="000D30CA" w:rsidP="004B1653">
            <w:pPr>
              <w:spacing w:line="276" w:lineRule="auto"/>
              <w:rPr>
                <w:rFonts w:ascii="Helvetica" w:hAnsi="Helvetica" w:cs="Arial"/>
                <w:sz w:val="16"/>
                <w:szCs w:val="16"/>
              </w:rPr>
            </w:pPr>
            <w:r w:rsidRPr="0087347C">
              <w:rPr>
                <w:rFonts w:ascii="Helvetica" w:hAnsi="Helvetica" w:cs="Arial"/>
                <w:sz w:val="16"/>
                <w:szCs w:val="16"/>
              </w:rPr>
              <w:t>DSG4, KRT16, KRT23, KRT32, KRT33A, KRT35, KRT82</w:t>
            </w:r>
          </w:p>
        </w:tc>
      </w:tr>
      <w:tr w:rsidR="000D30CA" w:rsidRPr="0087347C" w:rsidTr="004B1653">
        <w:trPr>
          <w:trHeight w:val="320"/>
        </w:trPr>
        <w:tc>
          <w:tcPr>
            <w:tcW w:w="1133"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GO:0007876</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Formation of tonofilament bundles</w:t>
            </w:r>
          </w:p>
        </w:tc>
        <w:tc>
          <w:tcPr>
            <w:tcW w:w="1013"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950,0E-12</w:t>
            </w:r>
          </w:p>
        </w:tc>
        <w:tc>
          <w:tcPr>
            <w:tcW w:w="1491"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7,29</w:t>
            </w:r>
          </w:p>
        </w:tc>
        <w:tc>
          <w:tcPr>
            <w:tcW w:w="3166" w:type="dxa"/>
            <w:shd w:val="clear" w:color="auto" w:fill="D9D9D9" w:themeFill="background1" w:themeFillShade="D9"/>
            <w:noWrap/>
            <w:hideMark/>
          </w:tcPr>
          <w:p w:rsidR="000D30CA" w:rsidRPr="0087347C" w:rsidRDefault="000D30CA" w:rsidP="004B1653">
            <w:pPr>
              <w:spacing w:line="276" w:lineRule="auto"/>
              <w:rPr>
                <w:rFonts w:ascii="Helvetica" w:hAnsi="Helvetica" w:cs="Arial"/>
                <w:sz w:val="16"/>
                <w:szCs w:val="16"/>
              </w:rPr>
            </w:pPr>
            <w:r w:rsidRPr="0087347C">
              <w:rPr>
                <w:rFonts w:ascii="Helvetica" w:hAnsi="Helvetica" w:cs="Arial"/>
                <w:sz w:val="16"/>
                <w:szCs w:val="16"/>
              </w:rPr>
              <w:t>DSG4, KRT16, KRT23, KRT32, KRT33A, KRT35, KRT82</w:t>
            </w:r>
          </w:p>
        </w:tc>
      </w:tr>
      <w:tr w:rsidR="000D30CA" w:rsidRPr="0087347C" w:rsidTr="004B1653">
        <w:trPr>
          <w:trHeight w:val="320"/>
        </w:trPr>
        <w:tc>
          <w:tcPr>
            <w:tcW w:w="1133"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GO:0007923</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Keratin filaments bind cell-cell adhesion complexes</w:t>
            </w:r>
          </w:p>
        </w:tc>
        <w:tc>
          <w:tcPr>
            <w:tcW w:w="1013"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950,0E-12</w:t>
            </w:r>
          </w:p>
        </w:tc>
        <w:tc>
          <w:tcPr>
            <w:tcW w:w="1491"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7,29</w:t>
            </w:r>
          </w:p>
        </w:tc>
        <w:tc>
          <w:tcPr>
            <w:tcW w:w="3166" w:type="dxa"/>
            <w:shd w:val="clear" w:color="auto" w:fill="D9D9D9" w:themeFill="background1" w:themeFillShade="D9"/>
            <w:noWrap/>
            <w:hideMark/>
          </w:tcPr>
          <w:p w:rsidR="000D30CA" w:rsidRPr="0087347C" w:rsidRDefault="000D30CA" w:rsidP="004B1653">
            <w:pPr>
              <w:spacing w:line="276" w:lineRule="auto"/>
              <w:rPr>
                <w:rFonts w:ascii="Helvetica" w:hAnsi="Helvetica" w:cs="Arial"/>
                <w:sz w:val="16"/>
                <w:szCs w:val="16"/>
              </w:rPr>
            </w:pPr>
            <w:r w:rsidRPr="0087347C">
              <w:rPr>
                <w:rFonts w:ascii="Helvetica" w:hAnsi="Helvetica" w:cs="Arial"/>
                <w:sz w:val="16"/>
                <w:szCs w:val="16"/>
              </w:rPr>
              <w:t>DSG4, KRT16, KRT23, KRT32, KRT33A, KRT35, KRT82</w:t>
            </w:r>
          </w:p>
        </w:tc>
      </w:tr>
      <w:tr w:rsidR="000D30CA" w:rsidRPr="0087347C" w:rsidTr="004B1653">
        <w:trPr>
          <w:trHeight w:val="320"/>
        </w:trPr>
        <w:tc>
          <w:tcPr>
            <w:tcW w:w="1133"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GO:0007950</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Lamellar bodies bind the early cornified envelope</w:t>
            </w:r>
          </w:p>
        </w:tc>
        <w:tc>
          <w:tcPr>
            <w:tcW w:w="1013"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950,0E-12</w:t>
            </w:r>
          </w:p>
        </w:tc>
        <w:tc>
          <w:tcPr>
            <w:tcW w:w="1491"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7,29</w:t>
            </w:r>
          </w:p>
        </w:tc>
        <w:tc>
          <w:tcPr>
            <w:tcW w:w="3166" w:type="dxa"/>
            <w:shd w:val="clear" w:color="auto" w:fill="D9D9D9" w:themeFill="background1" w:themeFillShade="D9"/>
            <w:noWrap/>
            <w:hideMark/>
          </w:tcPr>
          <w:p w:rsidR="000D30CA" w:rsidRPr="0087347C" w:rsidRDefault="000D30CA" w:rsidP="004B1653">
            <w:pPr>
              <w:spacing w:line="276" w:lineRule="auto"/>
              <w:rPr>
                <w:rFonts w:ascii="Helvetica" w:hAnsi="Helvetica" w:cs="Arial"/>
                <w:sz w:val="16"/>
                <w:szCs w:val="16"/>
              </w:rPr>
            </w:pPr>
            <w:r w:rsidRPr="0087347C">
              <w:rPr>
                <w:rFonts w:ascii="Helvetica" w:hAnsi="Helvetica" w:cs="Arial"/>
                <w:sz w:val="16"/>
                <w:szCs w:val="16"/>
              </w:rPr>
              <w:t>DSG4, KRT16, KRT23, KRT32, KRT33A, KRT35, KRT82</w:t>
            </w:r>
          </w:p>
        </w:tc>
      </w:tr>
      <w:tr w:rsidR="000D30CA" w:rsidRPr="0087347C" w:rsidTr="004B1653">
        <w:trPr>
          <w:trHeight w:val="320"/>
        </w:trPr>
        <w:tc>
          <w:tcPr>
            <w:tcW w:w="1133"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GO:0007972</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Reinforcement of the Cornified Envelope</w:t>
            </w:r>
          </w:p>
        </w:tc>
        <w:tc>
          <w:tcPr>
            <w:tcW w:w="1013"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950,0E-12</w:t>
            </w:r>
          </w:p>
        </w:tc>
        <w:tc>
          <w:tcPr>
            <w:tcW w:w="1491"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7,29</w:t>
            </w:r>
          </w:p>
        </w:tc>
        <w:tc>
          <w:tcPr>
            <w:tcW w:w="3166" w:type="dxa"/>
            <w:shd w:val="clear" w:color="auto" w:fill="D9D9D9" w:themeFill="background1" w:themeFillShade="D9"/>
            <w:noWrap/>
            <w:hideMark/>
          </w:tcPr>
          <w:p w:rsidR="000D30CA" w:rsidRPr="0087347C" w:rsidRDefault="000D30CA" w:rsidP="004B1653">
            <w:pPr>
              <w:spacing w:line="276" w:lineRule="auto"/>
              <w:rPr>
                <w:rFonts w:ascii="Helvetica" w:hAnsi="Helvetica" w:cs="Arial"/>
                <w:sz w:val="16"/>
                <w:szCs w:val="16"/>
              </w:rPr>
            </w:pPr>
            <w:r w:rsidRPr="0087347C">
              <w:rPr>
                <w:rFonts w:ascii="Helvetica" w:hAnsi="Helvetica" w:cs="Arial"/>
                <w:sz w:val="16"/>
                <w:szCs w:val="16"/>
              </w:rPr>
              <w:t>DSG4, KRT16, KRT23, KRT32, KRT33A, KRT35, KRT82</w:t>
            </w:r>
          </w:p>
        </w:tc>
      </w:tr>
      <w:tr w:rsidR="000D30CA" w:rsidRPr="0087347C" w:rsidTr="004B1653">
        <w:trPr>
          <w:trHeight w:val="320"/>
        </w:trPr>
        <w:tc>
          <w:tcPr>
            <w:tcW w:w="1133"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GO:0008011</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CDSN binds the cornified envelope</w:t>
            </w:r>
          </w:p>
        </w:tc>
        <w:tc>
          <w:tcPr>
            <w:tcW w:w="1013"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950,0E-12</w:t>
            </w:r>
          </w:p>
        </w:tc>
        <w:tc>
          <w:tcPr>
            <w:tcW w:w="1491"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7,29</w:t>
            </w:r>
          </w:p>
        </w:tc>
        <w:tc>
          <w:tcPr>
            <w:tcW w:w="3166" w:type="dxa"/>
            <w:shd w:val="clear" w:color="auto" w:fill="D9D9D9" w:themeFill="background1" w:themeFillShade="D9"/>
            <w:noWrap/>
            <w:hideMark/>
          </w:tcPr>
          <w:p w:rsidR="000D30CA" w:rsidRPr="0087347C" w:rsidRDefault="000D30CA" w:rsidP="004B1653">
            <w:pPr>
              <w:spacing w:line="276" w:lineRule="auto"/>
              <w:rPr>
                <w:rFonts w:ascii="Helvetica" w:hAnsi="Helvetica" w:cs="Arial"/>
                <w:sz w:val="16"/>
                <w:szCs w:val="16"/>
              </w:rPr>
            </w:pPr>
            <w:r w:rsidRPr="0087347C">
              <w:rPr>
                <w:rFonts w:ascii="Helvetica" w:hAnsi="Helvetica" w:cs="Arial"/>
                <w:sz w:val="16"/>
                <w:szCs w:val="16"/>
              </w:rPr>
              <w:t>DSG4, KRT16, KRT23, KRT32, KRT33A, KRT35, KRT82</w:t>
            </w:r>
          </w:p>
        </w:tc>
      </w:tr>
      <w:tr w:rsidR="000D30CA" w:rsidRPr="00BE2963" w:rsidTr="004B1653">
        <w:trPr>
          <w:trHeight w:val="320"/>
        </w:trPr>
        <w:tc>
          <w:tcPr>
            <w:tcW w:w="1133"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GO:0009258</w:t>
            </w:r>
          </w:p>
        </w:tc>
        <w:tc>
          <w:tcPr>
            <w:tcW w:w="2661" w:type="dxa"/>
            <w:shd w:val="clear" w:color="auto" w:fill="D9D9D9" w:themeFill="background1" w:themeFillShade="D9"/>
            <w:noWrap/>
            <w:hideMark/>
          </w:tcPr>
          <w:p w:rsidR="000D30CA" w:rsidRPr="0087347C" w:rsidRDefault="000D30CA" w:rsidP="004B1653">
            <w:pPr>
              <w:spacing w:line="276" w:lineRule="auto"/>
              <w:rPr>
                <w:rFonts w:ascii="Helvetica" w:hAnsi="Helvetica" w:cs="Arial"/>
                <w:sz w:val="16"/>
                <w:szCs w:val="16"/>
              </w:rPr>
            </w:pPr>
            <w:r w:rsidRPr="0087347C">
              <w:rPr>
                <w:rFonts w:ascii="Helvetica" w:hAnsi="Helvetica" w:cs="Arial"/>
                <w:sz w:val="16"/>
                <w:szCs w:val="16"/>
              </w:rPr>
              <w:t xml:space="preserve">Filaggrin binds Keratin </w:t>
            </w:r>
            <w:proofErr w:type="spellStart"/>
            <w:proofErr w:type="gramStart"/>
            <w:r w:rsidRPr="0087347C">
              <w:rPr>
                <w:rFonts w:ascii="Helvetica" w:hAnsi="Helvetica" w:cs="Arial"/>
                <w:sz w:val="16"/>
                <w:szCs w:val="16"/>
              </w:rPr>
              <w:t>tonofilament:Desmosome</w:t>
            </w:r>
            <w:proofErr w:type="spellEnd"/>
            <w:proofErr w:type="gramEnd"/>
          </w:p>
        </w:tc>
        <w:tc>
          <w:tcPr>
            <w:tcW w:w="1013"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950,0E-12</w:t>
            </w:r>
          </w:p>
        </w:tc>
        <w:tc>
          <w:tcPr>
            <w:tcW w:w="1491" w:type="dxa"/>
            <w:shd w:val="clear" w:color="auto" w:fill="D9D9D9" w:themeFill="background1" w:themeFillShade="D9"/>
            <w:noWrap/>
            <w:hideMark/>
          </w:tcPr>
          <w:p w:rsidR="000D30CA" w:rsidRPr="00121051" w:rsidRDefault="000D30CA" w:rsidP="004B1653">
            <w:pPr>
              <w:spacing w:line="276" w:lineRule="auto"/>
              <w:jc w:val="right"/>
              <w:rPr>
                <w:rFonts w:ascii="Helvetica" w:hAnsi="Helvetica" w:cs="Arial"/>
                <w:sz w:val="16"/>
                <w:szCs w:val="16"/>
              </w:rPr>
            </w:pPr>
            <w:r w:rsidRPr="00121051">
              <w:rPr>
                <w:rFonts w:ascii="Helvetica" w:hAnsi="Helvetica" w:cs="Arial"/>
                <w:sz w:val="16"/>
                <w:szCs w:val="16"/>
              </w:rPr>
              <w:t>7,29</w:t>
            </w:r>
          </w:p>
        </w:tc>
        <w:tc>
          <w:tcPr>
            <w:tcW w:w="3166" w:type="dxa"/>
            <w:shd w:val="clear" w:color="auto" w:fill="D9D9D9" w:themeFill="background1" w:themeFillShade="D9"/>
            <w:noWrap/>
            <w:hideMark/>
          </w:tcPr>
          <w:p w:rsidR="000D30CA" w:rsidRPr="000D30CA" w:rsidRDefault="000D30CA" w:rsidP="004B1653">
            <w:pPr>
              <w:spacing w:line="276" w:lineRule="auto"/>
              <w:rPr>
                <w:rFonts w:ascii="Helvetica" w:hAnsi="Helvetica" w:cs="Arial"/>
                <w:sz w:val="16"/>
                <w:szCs w:val="16"/>
                <w:lang w:val="de-AT"/>
              </w:rPr>
            </w:pPr>
            <w:r w:rsidRPr="000D30CA">
              <w:rPr>
                <w:rFonts w:ascii="Helvetica" w:hAnsi="Helvetica" w:cs="Arial"/>
                <w:sz w:val="16"/>
                <w:szCs w:val="16"/>
                <w:lang w:val="de-AT"/>
              </w:rPr>
              <w:t>DSG4, KRT16, KRT23, KRT32, KRT33A, KRT35, KRT82</w:t>
            </w:r>
          </w:p>
        </w:tc>
      </w:tr>
      <w:tr w:rsidR="000D30CA" w:rsidRPr="005333A1" w:rsidTr="004B1653">
        <w:trPr>
          <w:trHeight w:val="320"/>
        </w:trPr>
        <w:tc>
          <w:tcPr>
            <w:tcW w:w="1133" w:type="dxa"/>
            <w:shd w:val="clear" w:color="auto" w:fill="D9D9D9" w:themeFill="background1" w:themeFillShade="D9"/>
            <w:noWrap/>
            <w:hideMark/>
          </w:tcPr>
          <w:p w:rsidR="000D30CA" w:rsidRPr="00D4455C" w:rsidRDefault="000D30CA" w:rsidP="004B1653">
            <w:pPr>
              <w:spacing w:line="276" w:lineRule="auto"/>
              <w:rPr>
                <w:rFonts w:ascii="Helvetica" w:hAnsi="Helvetica" w:cs="Arial"/>
                <w:sz w:val="16"/>
                <w:szCs w:val="16"/>
              </w:rPr>
            </w:pPr>
            <w:r w:rsidRPr="00D4455C">
              <w:rPr>
                <w:rFonts w:ascii="Helvetica" w:hAnsi="Helvetica" w:cs="Arial"/>
                <w:sz w:val="16"/>
                <w:szCs w:val="16"/>
              </w:rPr>
              <w:t>GO:0070268</w:t>
            </w:r>
          </w:p>
        </w:tc>
        <w:tc>
          <w:tcPr>
            <w:tcW w:w="2661" w:type="dxa"/>
            <w:shd w:val="clear" w:color="auto" w:fill="D9D9D9" w:themeFill="background1" w:themeFillShade="D9"/>
            <w:noWrap/>
            <w:hideMark/>
          </w:tcPr>
          <w:p w:rsidR="000D30CA" w:rsidRPr="00D4455C" w:rsidRDefault="000D30CA" w:rsidP="004B1653">
            <w:pPr>
              <w:spacing w:line="276" w:lineRule="auto"/>
              <w:rPr>
                <w:rFonts w:ascii="Helvetica" w:hAnsi="Helvetica" w:cs="Arial"/>
                <w:sz w:val="16"/>
                <w:szCs w:val="16"/>
              </w:rPr>
            </w:pPr>
            <w:r>
              <w:rPr>
                <w:rFonts w:ascii="Helvetica" w:hAnsi="Helvetica" w:cs="Arial"/>
                <w:sz w:val="16"/>
                <w:szCs w:val="16"/>
              </w:rPr>
              <w:t>C</w:t>
            </w:r>
            <w:r w:rsidRPr="00D4455C">
              <w:rPr>
                <w:rFonts w:ascii="Helvetica" w:hAnsi="Helvetica" w:cs="Arial"/>
                <w:sz w:val="16"/>
                <w:szCs w:val="16"/>
              </w:rPr>
              <w:t>ornification</w:t>
            </w:r>
          </w:p>
        </w:tc>
        <w:tc>
          <w:tcPr>
            <w:tcW w:w="1013"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2,9E-9</w:t>
            </w:r>
          </w:p>
        </w:tc>
        <w:tc>
          <w:tcPr>
            <w:tcW w:w="1491"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6,19</w:t>
            </w:r>
          </w:p>
        </w:tc>
        <w:tc>
          <w:tcPr>
            <w:tcW w:w="3166" w:type="dxa"/>
            <w:shd w:val="clear" w:color="auto" w:fill="D9D9D9" w:themeFill="background1" w:themeFillShade="D9"/>
            <w:noWrap/>
            <w:hideMark/>
          </w:tcPr>
          <w:p w:rsidR="000D30CA" w:rsidRPr="000D30CA" w:rsidRDefault="000D30CA" w:rsidP="004B1653">
            <w:pPr>
              <w:spacing w:line="276" w:lineRule="auto"/>
              <w:rPr>
                <w:rFonts w:ascii="Helvetica" w:hAnsi="Helvetica" w:cs="Arial"/>
                <w:sz w:val="16"/>
                <w:szCs w:val="16"/>
                <w:lang w:val="de-AT"/>
              </w:rPr>
            </w:pPr>
            <w:r w:rsidRPr="000D30CA">
              <w:rPr>
                <w:rFonts w:ascii="Helvetica" w:hAnsi="Helvetica" w:cs="Arial"/>
                <w:sz w:val="16"/>
                <w:szCs w:val="16"/>
                <w:lang w:val="de-AT"/>
              </w:rPr>
              <w:t>DSG4, KRT16, KRT23, KRT32, KRT33A, KRT35, KRT82</w:t>
            </w:r>
          </w:p>
        </w:tc>
      </w:tr>
      <w:tr w:rsidR="000D30CA" w:rsidRPr="0087347C" w:rsidTr="004B1653">
        <w:trPr>
          <w:trHeight w:val="320"/>
        </w:trPr>
        <w:tc>
          <w:tcPr>
            <w:tcW w:w="1133" w:type="dxa"/>
            <w:shd w:val="clear" w:color="auto" w:fill="D9D9D9" w:themeFill="background1" w:themeFillShade="D9"/>
            <w:noWrap/>
            <w:hideMark/>
          </w:tcPr>
          <w:p w:rsidR="000D30CA" w:rsidRPr="00D4455C" w:rsidRDefault="000D30CA" w:rsidP="004B1653">
            <w:pPr>
              <w:spacing w:line="276" w:lineRule="auto"/>
              <w:rPr>
                <w:rFonts w:ascii="Helvetica" w:hAnsi="Helvetica" w:cs="Arial"/>
                <w:sz w:val="16"/>
                <w:szCs w:val="16"/>
              </w:rPr>
            </w:pPr>
            <w:r w:rsidRPr="00D4455C">
              <w:rPr>
                <w:rFonts w:ascii="Helvetica" w:hAnsi="Helvetica" w:cs="Arial"/>
                <w:sz w:val="16"/>
                <w:szCs w:val="16"/>
              </w:rPr>
              <w:t>GO:0042633</w:t>
            </w:r>
          </w:p>
        </w:tc>
        <w:tc>
          <w:tcPr>
            <w:tcW w:w="2661" w:type="dxa"/>
            <w:shd w:val="clear" w:color="auto" w:fill="D9D9D9" w:themeFill="background1" w:themeFillShade="D9"/>
            <w:noWrap/>
            <w:hideMark/>
          </w:tcPr>
          <w:p w:rsidR="000D30CA" w:rsidRPr="00D4455C" w:rsidRDefault="000D30CA" w:rsidP="004B1653">
            <w:pPr>
              <w:spacing w:line="276" w:lineRule="auto"/>
              <w:rPr>
                <w:rFonts w:ascii="Helvetica" w:hAnsi="Helvetica" w:cs="Arial"/>
                <w:sz w:val="16"/>
                <w:szCs w:val="16"/>
              </w:rPr>
            </w:pPr>
            <w:r>
              <w:rPr>
                <w:rFonts w:ascii="Helvetica" w:hAnsi="Helvetica" w:cs="Arial"/>
                <w:sz w:val="16"/>
                <w:szCs w:val="16"/>
              </w:rPr>
              <w:t>H</w:t>
            </w:r>
            <w:r w:rsidRPr="00D4455C">
              <w:rPr>
                <w:rFonts w:ascii="Helvetica" w:hAnsi="Helvetica" w:cs="Arial"/>
                <w:sz w:val="16"/>
                <w:szCs w:val="16"/>
              </w:rPr>
              <w:t>air cycle</w:t>
            </w:r>
          </w:p>
        </w:tc>
        <w:tc>
          <w:tcPr>
            <w:tcW w:w="1013"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3,2E-6</w:t>
            </w:r>
          </w:p>
        </w:tc>
        <w:tc>
          <w:tcPr>
            <w:tcW w:w="1491"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4,39</w:t>
            </w:r>
          </w:p>
        </w:tc>
        <w:tc>
          <w:tcPr>
            <w:tcW w:w="3166"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DSG4, KRT16, KRTAP4-7, KRTAP4-8, WNT5A</w:t>
            </w:r>
          </w:p>
        </w:tc>
      </w:tr>
      <w:tr w:rsidR="000D30CA" w:rsidRPr="0087347C" w:rsidTr="004B1653">
        <w:trPr>
          <w:trHeight w:val="320"/>
        </w:trPr>
        <w:tc>
          <w:tcPr>
            <w:tcW w:w="1133" w:type="dxa"/>
            <w:shd w:val="clear" w:color="auto" w:fill="D9D9D9" w:themeFill="background1" w:themeFillShade="D9"/>
            <w:noWrap/>
            <w:hideMark/>
          </w:tcPr>
          <w:p w:rsidR="000D30CA" w:rsidRPr="00D4455C" w:rsidRDefault="000D30CA" w:rsidP="004B1653">
            <w:pPr>
              <w:spacing w:line="276" w:lineRule="auto"/>
              <w:rPr>
                <w:rFonts w:ascii="Helvetica" w:hAnsi="Helvetica" w:cs="Arial"/>
                <w:sz w:val="16"/>
                <w:szCs w:val="16"/>
              </w:rPr>
            </w:pPr>
            <w:r w:rsidRPr="00D4455C">
              <w:rPr>
                <w:rFonts w:ascii="Helvetica" w:hAnsi="Helvetica" w:cs="Arial"/>
                <w:sz w:val="16"/>
                <w:szCs w:val="16"/>
              </w:rPr>
              <w:t>GO:0000393</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 xml:space="preserve">Antigen processing by cathepsin S in </w:t>
            </w:r>
            <w:proofErr w:type="spellStart"/>
            <w:r w:rsidRPr="00121051">
              <w:rPr>
                <w:rFonts w:ascii="Helvetica" w:hAnsi="Helvetica" w:cs="Arial"/>
                <w:sz w:val="16"/>
                <w:szCs w:val="16"/>
              </w:rPr>
              <w:t>endosoytic</w:t>
            </w:r>
            <w:proofErr w:type="spellEnd"/>
            <w:r w:rsidRPr="00121051">
              <w:rPr>
                <w:rFonts w:ascii="Helvetica" w:hAnsi="Helvetica" w:cs="Arial"/>
                <w:sz w:val="16"/>
                <w:szCs w:val="16"/>
              </w:rPr>
              <w:t xml:space="preserve"> vesicle</w:t>
            </w:r>
          </w:p>
        </w:tc>
        <w:tc>
          <w:tcPr>
            <w:tcW w:w="1013"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290,0E-6</w:t>
            </w:r>
          </w:p>
        </w:tc>
        <w:tc>
          <w:tcPr>
            <w:tcW w:w="1491"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4,62</w:t>
            </w:r>
          </w:p>
        </w:tc>
        <w:tc>
          <w:tcPr>
            <w:tcW w:w="3166"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CTSH, HLA-B, HLA-DQB2</w:t>
            </w:r>
          </w:p>
        </w:tc>
      </w:tr>
      <w:tr w:rsidR="000D30CA" w:rsidRPr="0087347C" w:rsidTr="004B1653">
        <w:trPr>
          <w:trHeight w:val="320"/>
        </w:trPr>
        <w:tc>
          <w:tcPr>
            <w:tcW w:w="1133" w:type="dxa"/>
            <w:shd w:val="clear" w:color="auto" w:fill="D9D9D9" w:themeFill="background1" w:themeFillShade="D9"/>
            <w:noWrap/>
            <w:hideMark/>
          </w:tcPr>
          <w:p w:rsidR="000D30CA" w:rsidRPr="00D4455C" w:rsidRDefault="000D30CA" w:rsidP="004B1653">
            <w:pPr>
              <w:spacing w:line="276" w:lineRule="auto"/>
              <w:rPr>
                <w:rFonts w:ascii="Helvetica" w:hAnsi="Helvetica" w:cs="Arial"/>
                <w:sz w:val="16"/>
                <w:szCs w:val="16"/>
              </w:rPr>
            </w:pPr>
            <w:r w:rsidRPr="00D4455C">
              <w:rPr>
                <w:rFonts w:ascii="Helvetica" w:hAnsi="Helvetica" w:cs="Arial"/>
                <w:sz w:val="16"/>
                <w:szCs w:val="16"/>
              </w:rPr>
              <w:t>GO:0001372</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TLR9 processing at neutral pH</w:t>
            </w:r>
          </w:p>
        </w:tc>
        <w:tc>
          <w:tcPr>
            <w:tcW w:w="1013"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290,0E-6</w:t>
            </w:r>
          </w:p>
        </w:tc>
        <w:tc>
          <w:tcPr>
            <w:tcW w:w="1491"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4,62</w:t>
            </w:r>
          </w:p>
        </w:tc>
        <w:tc>
          <w:tcPr>
            <w:tcW w:w="3166"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CTSH, HLA-B, HLA-DQB2</w:t>
            </w:r>
          </w:p>
        </w:tc>
      </w:tr>
      <w:tr w:rsidR="000D30CA" w:rsidRPr="0087347C" w:rsidTr="004B1653">
        <w:trPr>
          <w:trHeight w:val="320"/>
        </w:trPr>
        <w:tc>
          <w:tcPr>
            <w:tcW w:w="1133" w:type="dxa"/>
            <w:shd w:val="clear" w:color="auto" w:fill="D9D9D9" w:themeFill="background1" w:themeFillShade="D9"/>
            <w:noWrap/>
            <w:hideMark/>
          </w:tcPr>
          <w:p w:rsidR="000D30CA" w:rsidRPr="00D4455C" w:rsidRDefault="000D30CA" w:rsidP="004B1653">
            <w:pPr>
              <w:spacing w:line="276" w:lineRule="auto"/>
              <w:rPr>
                <w:rFonts w:ascii="Helvetica" w:hAnsi="Helvetica" w:cs="Arial"/>
                <w:sz w:val="16"/>
                <w:szCs w:val="16"/>
              </w:rPr>
            </w:pPr>
            <w:r w:rsidRPr="00D4455C">
              <w:rPr>
                <w:rFonts w:ascii="Helvetica" w:hAnsi="Helvetica" w:cs="Arial"/>
                <w:sz w:val="16"/>
                <w:szCs w:val="16"/>
              </w:rPr>
              <w:t>GO:0002937</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Generation of CLIP from lip10</w:t>
            </w:r>
          </w:p>
        </w:tc>
        <w:tc>
          <w:tcPr>
            <w:tcW w:w="1013"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290,0E-6</w:t>
            </w:r>
          </w:p>
        </w:tc>
        <w:tc>
          <w:tcPr>
            <w:tcW w:w="1491"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4,62</w:t>
            </w:r>
          </w:p>
        </w:tc>
        <w:tc>
          <w:tcPr>
            <w:tcW w:w="3166"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CTSH, HLA-B, HLA-DQB2</w:t>
            </w:r>
          </w:p>
        </w:tc>
      </w:tr>
      <w:tr w:rsidR="000D30CA" w:rsidRPr="0087347C" w:rsidTr="004B1653">
        <w:trPr>
          <w:trHeight w:val="320"/>
        </w:trPr>
        <w:tc>
          <w:tcPr>
            <w:tcW w:w="1133" w:type="dxa"/>
            <w:shd w:val="clear" w:color="auto" w:fill="D9D9D9" w:themeFill="background1" w:themeFillShade="D9"/>
            <w:noWrap/>
            <w:hideMark/>
          </w:tcPr>
          <w:p w:rsidR="000D30CA" w:rsidRPr="00D4455C" w:rsidRDefault="000D30CA" w:rsidP="004B1653">
            <w:pPr>
              <w:spacing w:line="276" w:lineRule="auto"/>
              <w:rPr>
                <w:rFonts w:ascii="Helvetica" w:hAnsi="Helvetica" w:cs="Arial"/>
                <w:sz w:val="16"/>
                <w:szCs w:val="16"/>
              </w:rPr>
            </w:pPr>
            <w:r w:rsidRPr="00D4455C">
              <w:rPr>
                <w:rFonts w:ascii="Helvetica" w:hAnsi="Helvetica" w:cs="Arial"/>
                <w:sz w:val="16"/>
                <w:szCs w:val="16"/>
              </w:rPr>
              <w:t>GO:0002943</w:t>
            </w:r>
          </w:p>
        </w:tc>
        <w:tc>
          <w:tcPr>
            <w:tcW w:w="2661" w:type="dxa"/>
            <w:shd w:val="clear" w:color="auto" w:fill="D9D9D9" w:themeFill="background1" w:themeFillShade="D9"/>
            <w:noWrap/>
            <w:hideMark/>
          </w:tcPr>
          <w:p w:rsidR="000D30CA" w:rsidRPr="008E4BB0" w:rsidRDefault="000D30CA" w:rsidP="004B1653">
            <w:pPr>
              <w:spacing w:line="276" w:lineRule="auto"/>
              <w:rPr>
                <w:rFonts w:ascii="Helvetica" w:hAnsi="Helvetica" w:cs="Arial"/>
                <w:sz w:val="16"/>
                <w:szCs w:val="16"/>
              </w:rPr>
            </w:pPr>
            <w:r w:rsidRPr="008E4BB0">
              <w:rPr>
                <w:rFonts w:ascii="Helvetica" w:hAnsi="Helvetica" w:cs="Arial"/>
                <w:sz w:val="16"/>
                <w:szCs w:val="16"/>
              </w:rPr>
              <w:t>Cleavage of lip22 to lip10</w:t>
            </w:r>
          </w:p>
        </w:tc>
        <w:tc>
          <w:tcPr>
            <w:tcW w:w="1013"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290,0E-6</w:t>
            </w:r>
          </w:p>
        </w:tc>
        <w:tc>
          <w:tcPr>
            <w:tcW w:w="1491"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4,62</w:t>
            </w:r>
          </w:p>
        </w:tc>
        <w:tc>
          <w:tcPr>
            <w:tcW w:w="3166"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CTSH, HLA-B, HLA-DQB2</w:t>
            </w:r>
          </w:p>
        </w:tc>
      </w:tr>
      <w:tr w:rsidR="000D30CA" w:rsidRPr="0087347C" w:rsidTr="004B1653">
        <w:trPr>
          <w:trHeight w:val="320"/>
        </w:trPr>
        <w:tc>
          <w:tcPr>
            <w:tcW w:w="1133" w:type="dxa"/>
            <w:shd w:val="clear" w:color="auto" w:fill="D9D9D9" w:themeFill="background1" w:themeFillShade="D9"/>
            <w:noWrap/>
            <w:hideMark/>
          </w:tcPr>
          <w:p w:rsidR="000D30CA" w:rsidRPr="00D4455C" w:rsidRDefault="000D30CA" w:rsidP="004B1653">
            <w:pPr>
              <w:spacing w:line="276" w:lineRule="auto"/>
              <w:rPr>
                <w:rFonts w:ascii="Helvetica" w:hAnsi="Helvetica" w:cs="Arial"/>
                <w:sz w:val="16"/>
                <w:szCs w:val="16"/>
              </w:rPr>
            </w:pPr>
            <w:r w:rsidRPr="00D4455C">
              <w:rPr>
                <w:rFonts w:ascii="Helvetica" w:hAnsi="Helvetica" w:cs="Arial"/>
                <w:sz w:val="16"/>
                <w:szCs w:val="16"/>
              </w:rPr>
              <w:t>GO:0002947</w:t>
            </w:r>
          </w:p>
        </w:tc>
        <w:tc>
          <w:tcPr>
            <w:tcW w:w="2661"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MHC class II antigen processing</w:t>
            </w:r>
          </w:p>
        </w:tc>
        <w:tc>
          <w:tcPr>
            <w:tcW w:w="1013"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290,0E-6</w:t>
            </w:r>
          </w:p>
        </w:tc>
        <w:tc>
          <w:tcPr>
            <w:tcW w:w="1491" w:type="dxa"/>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4,62</w:t>
            </w:r>
          </w:p>
        </w:tc>
        <w:tc>
          <w:tcPr>
            <w:tcW w:w="3166" w:type="dxa"/>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CTSH, HLA-B, HLA-DQB2</w:t>
            </w:r>
          </w:p>
        </w:tc>
      </w:tr>
      <w:tr w:rsidR="000D30CA" w:rsidRPr="0087347C" w:rsidTr="004B1653">
        <w:trPr>
          <w:trHeight w:val="320"/>
        </w:trPr>
        <w:tc>
          <w:tcPr>
            <w:tcW w:w="1133" w:type="dxa"/>
            <w:tcBorders>
              <w:bottom w:val="single" w:sz="4" w:space="0" w:color="auto"/>
            </w:tcBorders>
            <w:shd w:val="clear" w:color="auto" w:fill="D9D9D9" w:themeFill="background1" w:themeFillShade="D9"/>
            <w:noWrap/>
            <w:hideMark/>
          </w:tcPr>
          <w:p w:rsidR="000D30CA" w:rsidRPr="00D4455C" w:rsidRDefault="000D30CA" w:rsidP="004B1653">
            <w:pPr>
              <w:spacing w:line="276" w:lineRule="auto"/>
              <w:rPr>
                <w:rFonts w:ascii="Helvetica" w:hAnsi="Helvetica" w:cs="Arial"/>
                <w:sz w:val="16"/>
                <w:szCs w:val="16"/>
              </w:rPr>
            </w:pPr>
            <w:r w:rsidRPr="00D4455C">
              <w:rPr>
                <w:rFonts w:ascii="Helvetica" w:hAnsi="Helvetica" w:cs="Arial"/>
                <w:sz w:val="16"/>
                <w:szCs w:val="16"/>
              </w:rPr>
              <w:t>GO:0003462</w:t>
            </w:r>
          </w:p>
        </w:tc>
        <w:tc>
          <w:tcPr>
            <w:tcW w:w="2661" w:type="dxa"/>
            <w:tcBorders>
              <w:bottom w:val="single" w:sz="4" w:space="0" w:color="auto"/>
            </w:tcBorders>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Fibrillin-1 degradation by MMP3, CTSK, CTSL2</w:t>
            </w:r>
          </w:p>
        </w:tc>
        <w:tc>
          <w:tcPr>
            <w:tcW w:w="1013" w:type="dxa"/>
            <w:tcBorders>
              <w:bottom w:val="single" w:sz="4" w:space="0" w:color="auto"/>
            </w:tcBorders>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290,0E-6</w:t>
            </w:r>
          </w:p>
        </w:tc>
        <w:tc>
          <w:tcPr>
            <w:tcW w:w="1491" w:type="dxa"/>
            <w:tcBorders>
              <w:bottom w:val="single" w:sz="4" w:space="0" w:color="auto"/>
            </w:tcBorders>
            <w:shd w:val="clear" w:color="auto" w:fill="D9D9D9" w:themeFill="background1" w:themeFillShade="D9"/>
            <w:noWrap/>
            <w:hideMark/>
          </w:tcPr>
          <w:p w:rsidR="000D30CA" w:rsidRPr="00D4455C" w:rsidRDefault="000D30CA" w:rsidP="004B1653">
            <w:pPr>
              <w:spacing w:line="276" w:lineRule="auto"/>
              <w:jc w:val="right"/>
              <w:rPr>
                <w:rFonts w:ascii="Helvetica" w:hAnsi="Helvetica" w:cs="Arial"/>
                <w:sz w:val="16"/>
                <w:szCs w:val="16"/>
              </w:rPr>
            </w:pPr>
            <w:r w:rsidRPr="00D4455C">
              <w:rPr>
                <w:rFonts w:ascii="Helvetica" w:hAnsi="Helvetica" w:cs="Arial"/>
                <w:sz w:val="16"/>
                <w:szCs w:val="16"/>
              </w:rPr>
              <w:t>4,62</w:t>
            </w:r>
          </w:p>
        </w:tc>
        <w:tc>
          <w:tcPr>
            <w:tcW w:w="3166" w:type="dxa"/>
            <w:tcBorders>
              <w:bottom w:val="single" w:sz="4" w:space="0" w:color="auto"/>
            </w:tcBorders>
            <w:shd w:val="clear" w:color="auto" w:fill="D9D9D9" w:themeFill="background1" w:themeFillShade="D9"/>
            <w:noWrap/>
            <w:hideMark/>
          </w:tcPr>
          <w:p w:rsidR="000D30CA" w:rsidRPr="00121051" w:rsidRDefault="000D30CA" w:rsidP="004B1653">
            <w:pPr>
              <w:spacing w:line="276" w:lineRule="auto"/>
              <w:rPr>
                <w:rFonts w:ascii="Helvetica" w:hAnsi="Helvetica" w:cs="Arial"/>
                <w:sz w:val="16"/>
                <w:szCs w:val="16"/>
              </w:rPr>
            </w:pPr>
            <w:r w:rsidRPr="00121051">
              <w:rPr>
                <w:rFonts w:ascii="Helvetica" w:hAnsi="Helvetica" w:cs="Arial"/>
                <w:sz w:val="16"/>
                <w:szCs w:val="16"/>
              </w:rPr>
              <w:t>CTSH, HLA-B, HLA-DQB2</w:t>
            </w:r>
          </w:p>
        </w:tc>
      </w:tr>
      <w:tr w:rsidR="000D30CA" w:rsidRPr="0087347C" w:rsidTr="004B1653">
        <w:trPr>
          <w:trHeight w:val="320"/>
        </w:trPr>
        <w:tc>
          <w:tcPr>
            <w:tcW w:w="1133" w:type="dxa"/>
            <w:tcBorders>
              <w:top w:val="single" w:sz="4" w:space="0" w:color="auto"/>
            </w:tcBorders>
            <w:shd w:val="clear" w:color="auto" w:fill="D9D9D9" w:themeFill="background1" w:themeFillShade="D9"/>
            <w:noWrap/>
          </w:tcPr>
          <w:p w:rsidR="000D30CA" w:rsidRPr="00121051" w:rsidRDefault="000D30CA" w:rsidP="004B1653">
            <w:pPr>
              <w:spacing w:line="276" w:lineRule="auto"/>
              <w:rPr>
                <w:rFonts w:ascii="Helvetica" w:hAnsi="Helvetica" w:cs="Arial"/>
                <w:sz w:val="16"/>
                <w:szCs w:val="16"/>
              </w:rPr>
            </w:pPr>
          </w:p>
        </w:tc>
        <w:tc>
          <w:tcPr>
            <w:tcW w:w="2661" w:type="dxa"/>
            <w:tcBorders>
              <w:top w:val="single" w:sz="4" w:space="0" w:color="auto"/>
            </w:tcBorders>
            <w:shd w:val="clear" w:color="auto" w:fill="D9D9D9" w:themeFill="background1" w:themeFillShade="D9"/>
            <w:noWrap/>
          </w:tcPr>
          <w:p w:rsidR="000D30CA" w:rsidRPr="00121051" w:rsidRDefault="000D30CA" w:rsidP="004B1653">
            <w:pPr>
              <w:spacing w:line="276" w:lineRule="auto"/>
              <w:rPr>
                <w:rFonts w:ascii="Helvetica" w:hAnsi="Helvetica" w:cs="Arial"/>
                <w:sz w:val="16"/>
                <w:szCs w:val="16"/>
              </w:rPr>
            </w:pPr>
          </w:p>
        </w:tc>
        <w:tc>
          <w:tcPr>
            <w:tcW w:w="1013" w:type="dxa"/>
            <w:tcBorders>
              <w:top w:val="single" w:sz="4" w:space="0" w:color="auto"/>
            </w:tcBorders>
            <w:shd w:val="clear" w:color="auto" w:fill="D9D9D9" w:themeFill="background1" w:themeFillShade="D9"/>
            <w:noWrap/>
          </w:tcPr>
          <w:p w:rsidR="000D30CA" w:rsidRPr="00121051" w:rsidRDefault="000D30CA" w:rsidP="004B1653">
            <w:pPr>
              <w:spacing w:line="276" w:lineRule="auto"/>
              <w:jc w:val="right"/>
              <w:rPr>
                <w:rFonts w:ascii="Helvetica" w:hAnsi="Helvetica" w:cs="Arial"/>
                <w:sz w:val="16"/>
                <w:szCs w:val="16"/>
              </w:rPr>
            </w:pPr>
          </w:p>
        </w:tc>
        <w:tc>
          <w:tcPr>
            <w:tcW w:w="1491" w:type="dxa"/>
            <w:tcBorders>
              <w:top w:val="single" w:sz="4" w:space="0" w:color="auto"/>
            </w:tcBorders>
            <w:shd w:val="clear" w:color="auto" w:fill="D9D9D9" w:themeFill="background1" w:themeFillShade="D9"/>
            <w:noWrap/>
          </w:tcPr>
          <w:p w:rsidR="000D30CA" w:rsidRPr="00121051" w:rsidRDefault="000D30CA" w:rsidP="004B1653">
            <w:pPr>
              <w:spacing w:line="276" w:lineRule="auto"/>
              <w:jc w:val="right"/>
              <w:rPr>
                <w:rFonts w:ascii="Helvetica" w:hAnsi="Helvetica" w:cs="Arial"/>
                <w:sz w:val="16"/>
                <w:szCs w:val="16"/>
              </w:rPr>
            </w:pPr>
          </w:p>
        </w:tc>
        <w:tc>
          <w:tcPr>
            <w:tcW w:w="3166" w:type="dxa"/>
            <w:tcBorders>
              <w:top w:val="single" w:sz="4" w:space="0" w:color="auto"/>
            </w:tcBorders>
            <w:shd w:val="clear" w:color="auto" w:fill="D9D9D9" w:themeFill="background1" w:themeFillShade="D9"/>
            <w:noWrap/>
          </w:tcPr>
          <w:p w:rsidR="000D30CA" w:rsidRPr="00121051" w:rsidRDefault="000D30CA" w:rsidP="004B1653">
            <w:pPr>
              <w:spacing w:line="276" w:lineRule="auto"/>
              <w:rPr>
                <w:rFonts w:ascii="Helvetica" w:hAnsi="Helvetica" w:cs="Arial"/>
                <w:sz w:val="16"/>
                <w:szCs w:val="16"/>
              </w:rPr>
            </w:pPr>
          </w:p>
        </w:tc>
      </w:tr>
    </w:tbl>
    <w:p w:rsidR="000D30CA" w:rsidRPr="00121051" w:rsidRDefault="000D30CA" w:rsidP="000D30CA">
      <w:pPr>
        <w:pStyle w:val="Beschriftung"/>
        <w:keepNext/>
        <w:rPr>
          <w:lang w:val="en-US"/>
        </w:rPr>
      </w:pPr>
    </w:p>
    <w:p w:rsidR="000D30CA" w:rsidRPr="00977C47" w:rsidRDefault="000D30CA" w:rsidP="000D30CA">
      <w:pPr>
        <w:pStyle w:val="Beschriftung"/>
        <w:keepNext/>
        <w:rPr>
          <w:lang w:val="en-US"/>
        </w:rPr>
      </w:pPr>
      <w:r w:rsidRPr="00977C47">
        <w:rPr>
          <w:lang w:val="en-US"/>
        </w:rPr>
        <w:t xml:space="preserve"> </w:t>
      </w:r>
    </w:p>
    <w:p w:rsidR="000D30CA" w:rsidRPr="00977C47" w:rsidRDefault="000D30CA" w:rsidP="000D30CA">
      <w:pPr>
        <w:pStyle w:val="berschrift2"/>
        <w:rPr>
          <w:lang w:val="en-US"/>
        </w:rPr>
      </w:pPr>
    </w:p>
    <w:p w:rsidR="000D30CA" w:rsidRPr="00977C47" w:rsidRDefault="000D30CA" w:rsidP="000D30CA">
      <w:pPr>
        <w:rPr>
          <w:rFonts w:asciiTheme="majorHAnsi" w:eastAsiaTheme="majorEastAsia" w:hAnsiTheme="majorHAnsi" w:cstheme="majorBidi"/>
          <w:b/>
          <w:bCs/>
          <w:color w:val="4472C4" w:themeColor="accent1"/>
          <w:sz w:val="26"/>
          <w:szCs w:val="26"/>
          <w:lang w:val="en-US"/>
        </w:rPr>
      </w:pPr>
    </w:p>
    <w:p w:rsidR="00F74672" w:rsidRPr="000D30CA" w:rsidRDefault="00F74672">
      <w:pPr>
        <w:rPr>
          <w:lang w:val="en-US"/>
        </w:rPr>
      </w:pPr>
    </w:p>
    <w:sectPr w:rsidR="00F74672" w:rsidRPr="000D30CA" w:rsidSect="00EA4BEB">
      <w:footerReference w:type="even" r:id="rId4"/>
      <w:footerReference w:type="default" r:id="rId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56C5" w:rsidRDefault="000D30CA" w:rsidP="008D549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E056C5" w:rsidRDefault="000D30CA" w:rsidP="008D54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56C5" w:rsidRPr="00EB17EE" w:rsidRDefault="000D30CA" w:rsidP="008D5497">
    <w:pPr>
      <w:pStyle w:val="Fuzeile"/>
      <w:framePr w:wrap="around" w:vAnchor="text" w:hAnchor="margin" w:xAlign="right" w:y="1"/>
      <w:rPr>
        <w:rStyle w:val="Seitenzahl"/>
        <w:rFonts w:ascii="Arial" w:hAnsi="Arial" w:cs="Arial"/>
      </w:rPr>
    </w:pPr>
    <w:r w:rsidRPr="00EB17EE">
      <w:rPr>
        <w:rStyle w:val="Seitenzahl"/>
        <w:rFonts w:ascii="Arial" w:hAnsi="Arial" w:cs="Arial"/>
      </w:rPr>
      <w:fldChar w:fldCharType="begin"/>
    </w:r>
    <w:r w:rsidRPr="00EB17EE">
      <w:rPr>
        <w:rStyle w:val="Seitenzahl"/>
        <w:rFonts w:ascii="Arial" w:hAnsi="Arial" w:cs="Arial"/>
      </w:rPr>
      <w:instrText xml:space="preserve">PAGE  </w:instrText>
    </w:r>
    <w:r w:rsidRPr="00EB17EE">
      <w:rPr>
        <w:rStyle w:val="Seitenzahl"/>
        <w:rFonts w:ascii="Arial" w:hAnsi="Arial" w:cs="Arial"/>
      </w:rPr>
      <w:fldChar w:fldCharType="separate"/>
    </w:r>
    <w:r w:rsidRPr="00EB17EE">
      <w:rPr>
        <w:rStyle w:val="Seitenzahl"/>
        <w:rFonts w:ascii="Arial" w:hAnsi="Arial" w:cs="Arial"/>
        <w:noProof/>
      </w:rPr>
      <w:t>13</w:t>
    </w:r>
    <w:r w:rsidRPr="00EB17EE">
      <w:rPr>
        <w:rStyle w:val="Seitenzahl"/>
        <w:rFonts w:ascii="Arial" w:hAnsi="Arial" w:cs="Arial"/>
      </w:rPr>
      <w:fldChar w:fldCharType="end"/>
    </w:r>
  </w:p>
  <w:p w:rsidR="00E056C5" w:rsidRDefault="000D30CA" w:rsidP="008D5497">
    <w:pPr>
      <w:pStyle w:val="Fuzeile"/>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0CA"/>
    <w:rsid w:val="000D30CA"/>
    <w:rsid w:val="00BD06C1"/>
    <w:rsid w:val="00D93C3A"/>
    <w:rsid w:val="00EE3126"/>
    <w:rsid w:val="00F7467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8AB9426-E30E-5C44-9D89-6B34D687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30CA"/>
    <w:rPr>
      <w:rFonts w:ascii="Times New Roman" w:eastAsia="Times New Roman" w:hAnsi="Times New Roman" w:cs="Times New Roman"/>
      <w:lang w:eastAsia="de-DE"/>
    </w:rPr>
  </w:style>
  <w:style w:type="paragraph" w:styleId="berschrift2">
    <w:name w:val="heading 2"/>
    <w:basedOn w:val="Standard"/>
    <w:next w:val="Standard"/>
    <w:link w:val="berschrift2Zchn"/>
    <w:uiPriority w:val="9"/>
    <w:unhideWhenUsed/>
    <w:qFormat/>
    <w:rsid w:val="000D30CA"/>
    <w:pPr>
      <w:keepNext/>
      <w:keepLines/>
      <w:spacing w:before="200" w:line="360" w:lineRule="auto"/>
      <w:jc w:val="both"/>
      <w:outlineLvl w:val="1"/>
    </w:pPr>
    <w:rPr>
      <w:rFonts w:asciiTheme="majorHAnsi" w:eastAsiaTheme="majorEastAsia" w:hAnsiTheme="majorHAnsi" w:cstheme="majorBidi"/>
      <w:b/>
      <w:bCs/>
      <w:color w:val="4472C4"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D30CA"/>
    <w:rPr>
      <w:rFonts w:asciiTheme="majorHAnsi" w:eastAsiaTheme="majorEastAsia" w:hAnsiTheme="majorHAnsi" w:cstheme="majorBidi"/>
      <w:b/>
      <w:bCs/>
      <w:color w:val="4472C4" w:themeColor="accent1"/>
      <w:sz w:val="26"/>
      <w:szCs w:val="26"/>
      <w:lang w:eastAsia="de-DE"/>
    </w:rPr>
  </w:style>
  <w:style w:type="paragraph" w:styleId="Beschriftung">
    <w:name w:val="caption"/>
    <w:basedOn w:val="Standard"/>
    <w:next w:val="Standard"/>
    <w:uiPriority w:val="35"/>
    <w:unhideWhenUsed/>
    <w:qFormat/>
    <w:rsid w:val="000D30CA"/>
    <w:pPr>
      <w:spacing w:after="200"/>
      <w:jc w:val="both"/>
    </w:pPr>
    <w:rPr>
      <w:rFonts w:ascii="Arial" w:eastAsiaTheme="minorEastAsia" w:hAnsi="Arial" w:cstheme="minorBidi"/>
      <w:bCs/>
      <w:sz w:val="18"/>
      <w:szCs w:val="18"/>
    </w:rPr>
  </w:style>
  <w:style w:type="paragraph" w:styleId="Fuzeile">
    <w:name w:val="footer"/>
    <w:basedOn w:val="Standard"/>
    <w:link w:val="FuzeileZchn"/>
    <w:uiPriority w:val="99"/>
    <w:unhideWhenUsed/>
    <w:rsid w:val="000D30CA"/>
    <w:pPr>
      <w:tabs>
        <w:tab w:val="center" w:pos="4536"/>
        <w:tab w:val="right" w:pos="9072"/>
      </w:tabs>
      <w:jc w:val="both"/>
    </w:pPr>
    <w:rPr>
      <w:rFonts w:asciiTheme="minorHAnsi" w:eastAsiaTheme="minorEastAsia" w:hAnsiTheme="minorHAnsi" w:cstheme="minorBidi"/>
    </w:rPr>
  </w:style>
  <w:style w:type="character" w:customStyle="1" w:styleId="FuzeileZchn">
    <w:name w:val="Fußzeile Zchn"/>
    <w:basedOn w:val="Absatz-Standardschriftart"/>
    <w:link w:val="Fuzeile"/>
    <w:uiPriority w:val="99"/>
    <w:rsid w:val="000D30CA"/>
    <w:rPr>
      <w:rFonts w:eastAsiaTheme="minorEastAsia"/>
      <w:lang w:eastAsia="de-DE"/>
    </w:rPr>
  </w:style>
  <w:style w:type="character" w:styleId="Seitenzahl">
    <w:name w:val="page number"/>
    <w:basedOn w:val="Absatz-Standardschriftart"/>
    <w:uiPriority w:val="99"/>
    <w:semiHidden/>
    <w:unhideWhenUsed/>
    <w:rsid w:val="000D30CA"/>
  </w:style>
  <w:style w:type="table" w:customStyle="1" w:styleId="Tabellenraster1">
    <w:name w:val="Tabellenraster1"/>
    <w:basedOn w:val="NormaleTabelle"/>
    <w:next w:val="Tabellenraster"/>
    <w:uiPriority w:val="59"/>
    <w:rsid w:val="000D30CA"/>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0D3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1102</Words>
  <Characters>6949</Characters>
  <Application>Microsoft Office Word</Application>
  <DocSecurity>0</DocSecurity>
  <Lines>57</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osbenezedt</dc:creator>
  <cp:keywords/>
  <dc:description/>
  <cp:lastModifiedBy>osbenezedt</cp:lastModifiedBy>
  <cp:revision>1</cp:revision>
  <dcterms:created xsi:type="dcterms:W3CDTF">2020-05-13T08:28:00Z</dcterms:created>
  <dcterms:modified xsi:type="dcterms:W3CDTF">2020-05-13T08:29:00Z</dcterms:modified>
</cp:coreProperties>
</file>