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301626">
        <w:rPr>
          <w:rStyle w:val="Hyperlink"/>
          <w:rFonts w:asciiTheme="minorHAnsi" w:hAnsiTheme="minorHAnsi"/>
          <w:bCs/>
          <w:sz w:val="22"/>
          <w:szCs w:val="22"/>
          <w:lang w:val="en-GB"/>
        </w:rPr>
        <w:fldChar w:fldCharType="begin"/>
      </w:r>
      <w:r w:rsidR="00301626">
        <w:rPr>
          <w:rStyle w:val="Hyperlink"/>
          <w:rFonts w:asciiTheme="minorHAnsi" w:hAnsiTheme="minorHAnsi"/>
          <w:bCs/>
          <w:sz w:val="22"/>
          <w:szCs w:val="22"/>
          <w:lang w:val="en-GB"/>
        </w:rPr>
        <w:instrText xml:space="preserve"> HYPERLINK "https://biosharing.org/" \t "_blank" </w:instrText>
      </w:r>
      <w:r w:rsidR="00301626">
        <w:rPr>
          <w:rStyle w:val="Hyperlink"/>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301626">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5221370" w:rsidR="00877644" w:rsidRPr="00125190" w:rsidRDefault="0031756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study was a detailed analysis of the nervous system of a single individual.  This was chosen as a larger group was not technically feasible.  Even this one sample took the efforts of more than 1</w:t>
      </w:r>
      <w:r w:rsidR="008A7CD2">
        <w:rPr>
          <w:rFonts w:asciiTheme="minorHAnsi" w:hAnsiTheme="minorHAnsi"/>
        </w:rPr>
        <w:t>00</w:t>
      </w:r>
      <w:r>
        <w:rPr>
          <w:rFonts w:asciiTheme="minorHAnsi" w:hAnsiTheme="minorHAnsi"/>
        </w:rPr>
        <w:t xml:space="preserve"> people over 2 years, as described in the section ‘Logistics and Management’.   That all the data comes from a single animal is clearly described in the ‘Introduction’.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BD2A617" w:rsidR="00B330BD" w:rsidRPr="00125190" w:rsidRDefault="00A821F7"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As above, we only performed this experiment once due to personnel, cost, and time constraints.  This is described in the ‘Introduction’.  There is some internal replication due to the symmetry of the brain, and the existence of cell types with multiple instances.  These are covered in ‘Introduction’ and ‘Cell type classification’</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437C53A" w:rsidR="0015519A" w:rsidRPr="00505C51" w:rsidRDefault="00BB66F6"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tests</w:t>
      </w:r>
      <w:r w:rsidR="00301626">
        <w:rPr>
          <w:rFonts w:asciiTheme="minorHAnsi" w:hAnsiTheme="minorHAnsi"/>
          <w:sz w:val="22"/>
          <w:szCs w:val="22"/>
        </w:rPr>
        <w:t xml:space="preserve">, and </w:t>
      </w:r>
      <w:proofErr w:type="spellStart"/>
      <w:r w:rsidR="00301626">
        <w:rPr>
          <w:rFonts w:asciiTheme="minorHAnsi" w:hAnsiTheme="minorHAnsi"/>
          <w:sz w:val="22"/>
          <w:szCs w:val="22"/>
        </w:rPr>
        <w:t>the</w:t>
      </w:r>
      <w:proofErr w:type="spellEnd"/>
      <w:r w:rsidR="00301626">
        <w:rPr>
          <w:rFonts w:asciiTheme="minorHAnsi" w:hAnsiTheme="minorHAnsi"/>
          <w:sz w:val="22"/>
          <w:szCs w:val="22"/>
        </w:rPr>
        <w:t xml:space="preserve"> data they are applied to,</w:t>
      </w:r>
      <w:r>
        <w:rPr>
          <w:rFonts w:asciiTheme="minorHAnsi" w:hAnsiTheme="minorHAnsi"/>
          <w:sz w:val="22"/>
          <w:szCs w:val="22"/>
        </w:rPr>
        <w:t xml:space="preserve"> are described in the sections where they are used, in sections ‘Assessing Synapse Accuracy’, ‘Assessing connection completeness’, and ‘Large motifs’, where the numbers, tests used, and assumptions are specified.</w:t>
      </w:r>
      <w:bookmarkStart w:id="0" w:name="_GoBack"/>
      <w:bookmarkEnd w:id="0"/>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55586C6" w:rsidR="00BC3CCE" w:rsidRPr="00505C51" w:rsidRDefault="00BB66F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relevant for this submission</w:t>
      </w:r>
      <w:r w:rsidR="00D43088">
        <w:rPr>
          <w:rFonts w:asciiTheme="minorHAnsi" w:hAnsiTheme="minorHAnsi"/>
          <w:sz w:val="22"/>
          <w:szCs w:val="22"/>
        </w:rPr>
        <w:t xml:space="preserve"> </w:t>
      </w:r>
      <w:proofErr w:type="gramStart"/>
      <w:r w:rsidR="00D43088">
        <w:rPr>
          <w:rFonts w:asciiTheme="minorHAnsi" w:hAnsiTheme="minorHAnsi"/>
          <w:sz w:val="22"/>
          <w:szCs w:val="22"/>
        </w:rPr>
        <w:t xml:space="preserve">- </w:t>
      </w:r>
      <w:r>
        <w:rPr>
          <w:rFonts w:asciiTheme="minorHAnsi" w:hAnsiTheme="minorHAnsi"/>
          <w:sz w:val="22"/>
          <w:szCs w:val="22"/>
        </w:rPr>
        <w:t xml:space="preserve"> we</w:t>
      </w:r>
      <w:proofErr w:type="gramEnd"/>
      <w:r>
        <w:rPr>
          <w:rFonts w:asciiTheme="minorHAnsi" w:hAnsiTheme="minorHAnsi"/>
          <w:sz w:val="22"/>
          <w:szCs w:val="22"/>
        </w:rPr>
        <w:t xml:space="preserve"> did not have enough samples to divide into groups.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04A66E9" w:rsidR="00BC3CCE" w:rsidRPr="00505C51" w:rsidRDefault="008A7CD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have provided source data for all the quantitative graphs and figures:   figures 5, 8, 11, 12, 15, 16, 20, 21, 25, 26, 27, 28, and 29.</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91234" w14:textId="77777777" w:rsidR="00BE0EFC" w:rsidRDefault="00BE0EFC" w:rsidP="004215FE">
      <w:r>
        <w:separator/>
      </w:r>
    </w:p>
  </w:endnote>
  <w:endnote w:type="continuationSeparator" w:id="0">
    <w:p w14:paraId="2A7A09FC" w14:textId="77777777" w:rsidR="00BE0EFC" w:rsidRDefault="00BE0EF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r w:rsidRPr="009D5D7F">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09082" w14:textId="77777777" w:rsidR="00BE0EFC" w:rsidRDefault="00BE0EFC" w:rsidP="004215FE">
      <w:r>
        <w:separator/>
      </w:r>
    </w:p>
  </w:footnote>
  <w:footnote w:type="continuationSeparator" w:id="0">
    <w:p w14:paraId="082E943A" w14:textId="77777777" w:rsidR="00BE0EFC" w:rsidRDefault="00BE0EFC"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1626"/>
    <w:rsid w:val="00307F5D"/>
    <w:rsid w:val="00317560"/>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A7CD2"/>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5368C"/>
    <w:rsid w:val="00A62B52"/>
    <w:rsid w:val="00A821F7"/>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B66F6"/>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43088"/>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29418-6D3B-4594-A265-F8C53F93B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Scheffer, Louis</cp:lastModifiedBy>
  <cp:revision>3</cp:revision>
  <dcterms:created xsi:type="dcterms:W3CDTF">2020-08-10T14:55:00Z</dcterms:created>
  <dcterms:modified xsi:type="dcterms:W3CDTF">2020-08-10T14:56:00Z</dcterms:modified>
</cp:coreProperties>
</file>