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DED71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7E3B0DF2" w14:textId="77777777" w:rsidR="009C24C8" w:rsidRDefault="009F627E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Supplementary Information for</w:t>
      </w:r>
    </w:p>
    <w:p w14:paraId="3A92ED88" w14:textId="77777777" w:rsidR="009C24C8" w:rsidRDefault="009C24C8">
      <w:pPr>
        <w:rPr>
          <w:rFonts w:ascii="Arial" w:eastAsia="Arial" w:hAnsi="Arial" w:cs="Arial"/>
          <w:color w:val="000000"/>
          <w:sz w:val="20"/>
          <w:szCs w:val="20"/>
        </w:rPr>
      </w:pPr>
    </w:p>
    <w:p w14:paraId="31AF548C" w14:textId="77777777" w:rsidR="009C24C8" w:rsidRDefault="009F627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G9a methyltransferase governs cell identity in the lung and is required for KRAS G12D lung tumor development and propagation.</w:t>
      </w:r>
    </w:p>
    <w:p w14:paraId="2E4B460B" w14:textId="77777777" w:rsidR="009C24C8" w:rsidRDefault="009C24C8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8CADCE7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398959A4" w14:textId="77777777" w:rsidR="009C24C8" w:rsidRDefault="009F627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Ariel Pribluda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, Anneleen Daemen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>, Anthony Lima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, Xi Wang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, Marc Hafner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Chungkee</w:t>
      </w:r>
      <w:proofErr w:type="spell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Poon</w:t>
      </w:r>
      <w:r>
        <w:rPr>
          <w:rFonts w:ascii="Arial" w:eastAsia="Arial" w:hAnsi="Arial" w:cs="Arial"/>
          <w:color w:val="222222"/>
          <w:sz w:val="20"/>
          <w:szCs w:val="20"/>
          <w:highlight w:val="white"/>
          <w:vertAlign w:val="superscript"/>
        </w:rPr>
        <w:t>3</w:t>
      </w:r>
      <w:r>
        <w:rPr>
          <w:rFonts w:ascii="Arial" w:eastAsia="Arial" w:hAnsi="Arial" w:cs="Arial"/>
          <w:sz w:val="20"/>
          <w:szCs w:val="20"/>
        </w:rPr>
        <w:t>, Zora Modrusan</w:t>
      </w:r>
      <w:r>
        <w:rPr>
          <w:rFonts w:ascii="Arial" w:eastAsia="Arial" w:hAnsi="Arial" w:cs="Arial"/>
          <w:sz w:val="20"/>
          <w:szCs w:val="20"/>
          <w:vertAlign w:val="superscript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Anand Kumar Katakam</w:t>
      </w:r>
      <w:r>
        <w:rPr>
          <w:rFonts w:ascii="Arial" w:eastAsia="Arial" w:hAnsi="Arial" w:cs="Arial"/>
          <w:sz w:val="20"/>
          <w:szCs w:val="20"/>
          <w:vertAlign w:val="superscript"/>
        </w:rPr>
        <w:t>5</w:t>
      </w:r>
      <w:r>
        <w:rPr>
          <w:rFonts w:ascii="Arial" w:eastAsia="Arial" w:hAnsi="Arial" w:cs="Arial"/>
          <w:sz w:val="20"/>
          <w:szCs w:val="20"/>
        </w:rPr>
        <w:t>, Oded Foreman</w:t>
      </w:r>
      <w:r>
        <w:rPr>
          <w:rFonts w:ascii="Arial" w:eastAsia="Arial" w:hAnsi="Arial" w:cs="Arial"/>
          <w:sz w:val="20"/>
          <w:szCs w:val="20"/>
          <w:vertAlign w:val="superscript"/>
        </w:rPr>
        <w:t>5</w:t>
      </w:r>
      <w:r>
        <w:rPr>
          <w:rFonts w:ascii="Arial" w:eastAsia="Arial" w:hAnsi="Arial" w:cs="Arial"/>
          <w:sz w:val="20"/>
          <w:szCs w:val="20"/>
        </w:rPr>
        <w:t>, Jeffrey Eastham</w:t>
      </w:r>
      <w:r>
        <w:rPr>
          <w:rFonts w:ascii="Arial" w:eastAsia="Arial" w:hAnsi="Arial" w:cs="Arial"/>
          <w:sz w:val="20"/>
          <w:szCs w:val="20"/>
          <w:vertAlign w:val="superscript"/>
        </w:rPr>
        <w:t>5</w:t>
      </w:r>
      <w:r>
        <w:rPr>
          <w:rFonts w:ascii="Arial" w:eastAsia="Arial" w:hAnsi="Arial" w:cs="Arial"/>
          <w:sz w:val="20"/>
          <w:szCs w:val="20"/>
        </w:rPr>
        <w:t>, Jefferey Hung</w:t>
      </w:r>
      <w:r>
        <w:rPr>
          <w:rFonts w:ascii="Arial" w:eastAsia="Arial" w:hAnsi="Arial" w:cs="Arial"/>
          <w:sz w:val="20"/>
          <w:szCs w:val="20"/>
          <w:vertAlign w:val="superscript"/>
        </w:rPr>
        <w:t>5</w:t>
      </w:r>
      <w:r>
        <w:rPr>
          <w:rFonts w:ascii="Arial" w:eastAsia="Arial" w:hAnsi="Arial" w:cs="Arial"/>
          <w:sz w:val="20"/>
          <w:szCs w:val="20"/>
        </w:rPr>
        <w:t>, Benjamin Haley</w:t>
      </w:r>
      <w:r>
        <w:rPr>
          <w:rFonts w:ascii="Arial" w:eastAsia="Arial" w:hAnsi="Arial" w:cs="Arial"/>
          <w:sz w:val="20"/>
          <w:szCs w:val="20"/>
          <w:vertAlign w:val="superscript"/>
        </w:rPr>
        <w:t>4</w:t>
      </w:r>
      <w:r>
        <w:rPr>
          <w:rFonts w:ascii="Arial" w:eastAsia="Arial" w:hAnsi="Arial" w:cs="Arial"/>
          <w:sz w:val="20"/>
          <w:szCs w:val="20"/>
        </w:rPr>
        <w:t>, Julia T Garcia</w:t>
      </w:r>
      <w:r>
        <w:rPr>
          <w:rFonts w:ascii="Arial" w:eastAsia="Arial" w:hAnsi="Arial" w:cs="Arial"/>
          <w:sz w:val="20"/>
          <w:szCs w:val="20"/>
          <w:vertAlign w:val="superscript"/>
        </w:rPr>
        <w:t>6</w:t>
      </w:r>
      <w:r>
        <w:rPr>
          <w:rFonts w:ascii="Arial" w:eastAsia="Arial" w:hAnsi="Arial" w:cs="Arial"/>
          <w:sz w:val="20"/>
          <w:szCs w:val="20"/>
        </w:rPr>
        <w:t>, Erica L. Jackson</w:t>
      </w:r>
      <w:r>
        <w:rPr>
          <w:rFonts w:ascii="Arial" w:eastAsia="Arial" w:hAnsi="Arial" w:cs="Arial"/>
          <w:sz w:val="20"/>
          <w:szCs w:val="20"/>
          <w:vertAlign w:val="superscript"/>
        </w:rPr>
        <w:t>7</w:t>
      </w:r>
      <w:r>
        <w:rPr>
          <w:rFonts w:ascii="Arial" w:eastAsia="Arial" w:hAnsi="Arial" w:cs="Arial"/>
          <w:sz w:val="20"/>
          <w:szCs w:val="20"/>
        </w:rPr>
        <w:t> and Melissa R. Junttila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14:paraId="6540CC9B" w14:textId="77777777" w:rsidR="009C24C8" w:rsidRDefault="009C24C8">
      <w:pPr>
        <w:spacing w:line="360" w:lineRule="auto"/>
        <w:jc w:val="both"/>
        <w:rPr>
          <w:rFonts w:ascii="Arial" w:eastAsia="Arial" w:hAnsi="Arial" w:cs="Arial"/>
        </w:rPr>
      </w:pPr>
    </w:p>
    <w:p w14:paraId="01F642F5" w14:textId="77777777" w:rsidR="009C24C8" w:rsidRDefault="009F627E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Departments of 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Translational Oncology, 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Bioinformatics &amp; Computational Biology, </w:t>
      </w:r>
    </w:p>
    <w:p w14:paraId="5F737304" w14:textId="77777777" w:rsidR="009C24C8" w:rsidRDefault="009F627E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Immunology, </w:t>
      </w:r>
      <w:r>
        <w:rPr>
          <w:rFonts w:ascii="Arial" w:eastAsia="Arial" w:hAnsi="Arial" w:cs="Arial"/>
          <w:sz w:val="20"/>
          <w:szCs w:val="20"/>
          <w:vertAlign w:val="superscript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Molecular Biology, </w:t>
      </w:r>
      <w:r>
        <w:rPr>
          <w:rFonts w:ascii="Arial" w:eastAsia="Arial" w:hAnsi="Arial" w:cs="Arial"/>
          <w:sz w:val="20"/>
          <w:szCs w:val="20"/>
          <w:vertAlign w:val="superscript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Pathology, Genentech, 1 DNA Way South San Francisco, CA 94080, USA. </w:t>
      </w:r>
      <w:r>
        <w:rPr>
          <w:rFonts w:ascii="Arial" w:eastAsia="Arial" w:hAnsi="Arial" w:cs="Arial"/>
          <w:sz w:val="20"/>
          <w:szCs w:val="20"/>
          <w:vertAlign w:val="superscript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Department of Genetics, Center of Personal Dynamic Regulomes, Stanford, CA, 94305, USA. </w:t>
      </w:r>
      <w:r>
        <w:rPr>
          <w:rFonts w:ascii="Arial" w:eastAsia="Arial" w:hAnsi="Arial" w:cs="Arial"/>
          <w:sz w:val="20"/>
          <w:szCs w:val="20"/>
          <w:vertAlign w:val="superscript"/>
        </w:rPr>
        <w:t>7</w:t>
      </w:r>
      <w:r>
        <w:rPr>
          <w:rFonts w:ascii="Arial" w:eastAsia="Arial" w:hAnsi="Arial" w:cs="Arial"/>
          <w:sz w:val="20"/>
          <w:szCs w:val="20"/>
        </w:rPr>
        <w:t>Scorpion Therapeutics, 2 Tower Place, 3rd floor, South San Francisco, CA 94080 USA.</w:t>
      </w:r>
    </w:p>
    <w:p w14:paraId="6B103B44" w14:textId="77777777" w:rsidR="009C24C8" w:rsidRDefault="009F627E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*Current affiliation: </w:t>
      </w:r>
      <w:proofErr w:type="spellStart"/>
      <w:r>
        <w:rPr>
          <w:rFonts w:ascii="Arial" w:eastAsia="Arial" w:hAnsi="Arial" w:cs="Arial"/>
          <w:sz w:val="20"/>
          <w:szCs w:val="20"/>
        </w:rPr>
        <w:t>Surrozen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171 Oyster point Blvd, #400, South San Francisco, CA, 94080 </w:t>
      </w:r>
    </w:p>
    <w:p w14:paraId="68BE963D" w14:textId="77777777" w:rsidR="009C24C8" w:rsidRDefault="009F627E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†Current affiliation: ORIC Pharmaceuticals 240 E. Grand Ave. South San Francisco, CA 94080</w:t>
      </w:r>
    </w:p>
    <w:p w14:paraId="729689C9" w14:textId="77777777" w:rsidR="009C24C8" w:rsidRDefault="009F627E">
      <w:pPr>
        <w:spacing w:line="48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Corresponding authors: melissa.junttila@oricpharma.com</w:t>
      </w:r>
      <w:r>
        <w:rPr>
          <w:rFonts w:ascii="Arial" w:eastAsia="Arial" w:hAnsi="Arial" w:cs="Arial"/>
          <w:color w:val="0000FF"/>
          <w:sz w:val="20"/>
          <w:szCs w:val="20"/>
          <w:u w:val="single"/>
        </w:rPr>
        <w:t>, ariel@surrozen.com</w:t>
      </w:r>
    </w:p>
    <w:p w14:paraId="1430C5E1" w14:textId="77777777" w:rsidR="009C24C8" w:rsidRDefault="009C24C8">
      <w:pPr>
        <w:rPr>
          <w:rFonts w:ascii="Arial" w:eastAsia="Arial" w:hAnsi="Arial" w:cs="Arial"/>
          <w:b/>
          <w:sz w:val="20"/>
          <w:szCs w:val="20"/>
        </w:rPr>
      </w:pPr>
    </w:p>
    <w:p w14:paraId="2E2404E8" w14:textId="77777777" w:rsidR="009C24C8" w:rsidRDefault="009C24C8">
      <w:pPr>
        <w:rPr>
          <w:rFonts w:ascii="Arial" w:eastAsia="Arial" w:hAnsi="Arial" w:cs="Arial"/>
          <w:b/>
          <w:sz w:val="20"/>
          <w:szCs w:val="20"/>
        </w:rPr>
      </w:pPr>
    </w:p>
    <w:p w14:paraId="36DD0CA7" w14:textId="77777777" w:rsidR="009C24C8" w:rsidRDefault="009F627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This file includes:</w:t>
      </w:r>
    </w:p>
    <w:p w14:paraId="593B2A60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1170EF68" w14:textId="16A9811D" w:rsidR="009C24C8" w:rsidRDefault="007A744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Supplementary File 1</w:t>
      </w:r>
    </w:p>
    <w:p w14:paraId="2B533200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31B1EB90" w14:textId="77777777" w:rsidR="009C24C8" w:rsidRDefault="009C24C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1A6CAAF" w14:textId="77777777" w:rsidR="009C24C8" w:rsidRDefault="009C24C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</w:p>
    <w:p w14:paraId="46BA471C" w14:textId="77777777" w:rsidR="009C24C8" w:rsidRDefault="009C24C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346C51A" w14:textId="77777777" w:rsidR="009C24C8" w:rsidRDefault="009C24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D045EAB" w14:textId="77777777" w:rsidR="009C24C8" w:rsidRDefault="009C24C8">
      <w:pPr>
        <w:jc w:val="both"/>
        <w:rPr>
          <w:rFonts w:ascii="Arial" w:eastAsia="Arial" w:hAnsi="Arial" w:cs="Arial"/>
          <w:b/>
          <w:color w:val="4472C4"/>
          <w:sz w:val="28"/>
          <w:szCs w:val="28"/>
          <w:highlight w:val="white"/>
        </w:rPr>
      </w:pPr>
    </w:p>
    <w:p w14:paraId="2BB0B970" w14:textId="77777777" w:rsidR="009C24C8" w:rsidRDefault="009C24C8">
      <w:pPr>
        <w:jc w:val="both"/>
        <w:rPr>
          <w:rFonts w:ascii="Arial" w:eastAsia="Arial" w:hAnsi="Arial" w:cs="Arial"/>
          <w:b/>
          <w:color w:val="4472C4"/>
          <w:sz w:val="20"/>
          <w:szCs w:val="20"/>
          <w:highlight w:val="white"/>
        </w:rPr>
      </w:pPr>
    </w:p>
    <w:p w14:paraId="35C6C625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25AC45B8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5CFB7A3C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368D3A32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62FE674E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54CDFEB1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7DB0A097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7C0DCE51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38B0F73B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78096B5F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1C690CA8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0517474D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69170646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33589933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68FA1756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5D5E27F7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003013E3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4F77A72F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3C558700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3828D375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1144FBC9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1E7BFE0D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15CDFCC3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1A66759F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36C4B9D2" w14:textId="77777777" w:rsidR="009C24C8" w:rsidRDefault="009C24C8">
      <w:pPr>
        <w:rPr>
          <w:rFonts w:ascii="Arial" w:eastAsia="Arial" w:hAnsi="Arial" w:cs="Arial"/>
          <w:highlight w:val="white"/>
        </w:rPr>
      </w:pPr>
    </w:p>
    <w:p w14:paraId="341976A5" w14:textId="77777777" w:rsidR="009C24C8" w:rsidRDefault="009C24C8">
      <w:pPr>
        <w:rPr>
          <w:rFonts w:ascii="Arial" w:eastAsia="Arial" w:hAnsi="Arial" w:cs="Arial"/>
          <w:sz w:val="20"/>
          <w:szCs w:val="20"/>
        </w:rPr>
      </w:pPr>
    </w:p>
    <w:p w14:paraId="4FE96B1C" w14:textId="77777777" w:rsidR="009C24C8" w:rsidRDefault="009F627E">
      <w:pPr>
        <w:jc w:val="both"/>
        <w:rPr>
          <w:rFonts w:ascii="Arial" w:eastAsia="Arial" w:hAnsi="Arial" w:cs="Arial"/>
          <w:b/>
          <w:color w:val="4472C4"/>
          <w:sz w:val="20"/>
          <w:szCs w:val="20"/>
        </w:rPr>
      </w:pPr>
      <w:r>
        <w:rPr>
          <w:rFonts w:ascii="Arial" w:eastAsia="Arial" w:hAnsi="Arial" w:cs="Arial"/>
          <w:b/>
          <w:noProof/>
          <w:color w:val="4472C4"/>
          <w:sz w:val="20"/>
          <w:szCs w:val="20"/>
        </w:rPr>
        <w:drawing>
          <wp:inline distT="0" distB="0" distL="0" distR="0" wp14:anchorId="2AC8730B" wp14:editId="66F242C9">
            <wp:extent cx="5943600" cy="5824220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BF02D6" w14:textId="77777777" w:rsidR="009C24C8" w:rsidRDefault="009C24C8">
      <w:pPr>
        <w:jc w:val="both"/>
        <w:rPr>
          <w:rFonts w:ascii="Arial" w:eastAsia="Arial" w:hAnsi="Arial" w:cs="Arial"/>
          <w:b/>
          <w:color w:val="4472C4"/>
          <w:sz w:val="20"/>
          <w:szCs w:val="20"/>
        </w:rPr>
      </w:pPr>
    </w:p>
    <w:p w14:paraId="3325FF1C" w14:textId="12900DC2" w:rsidR="009C24C8" w:rsidRPr="001D2299" w:rsidRDefault="009C24C8">
      <w:pPr>
        <w:rPr>
          <w:rFonts w:ascii="Arial" w:eastAsia="Arial" w:hAnsi="Arial" w:cs="Arial"/>
          <w:b/>
          <w:color w:val="4472C4"/>
          <w:sz w:val="20"/>
          <w:szCs w:val="20"/>
        </w:rPr>
      </w:pPr>
    </w:p>
    <w:sectPr w:rsidR="009C24C8" w:rsidRPr="001D229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B7C14" w14:textId="77777777" w:rsidR="00197A41" w:rsidRDefault="00197A41">
      <w:r>
        <w:separator/>
      </w:r>
    </w:p>
  </w:endnote>
  <w:endnote w:type="continuationSeparator" w:id="0">
    <w:p w14:paraId="6277A9E5" w14:textId="77777777" w:rsidR="00197A41" w:rsidRDefault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28B0A" w14:textId="77777777" w:rsidR="009C24C8" w:rsidRDefault="009F62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CD926" w14:textId="77777777" w:rsidR="009C24C8" w:rsidRDefault="009C24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C91E5" w14:textId="77777777" w:rsidR="009C24C8" w:rsidRDefault="009F62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rial" w:eastAsia="Arial" w:hAnsi="Arial" w:cs="Arial"/>
        <w:color w:val="4472C4"/>
        <w:sz w:val="20"/>
        <w:szCs w:val="20"/>
      </w:rPr>
    </w:pPr>
    <w:r>
      <w:rPr>
        <w:rFonts w:ascii="Arial" w:eastAsia="Arial" w:hAnsi="Arial" w:cs="Arial"/>
        <w:color w:val="4472C4"/>
        <w:sz w:val="20"/>
        <w:szCs w:val="20"/>
      </w:rPr>
      <w:t>Pribluda et al., Supplemental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0B3C8" w14:textId="77777777" w:rsidR="00197A41" w:rsidRDefault="00197A41">
      <w:r>
        <w:separator/>
      </w:r>
    </w:p>
  </w:footnote>
  <w:footnote w:type="continuationSeparator" w:id="0">
    <w:p w14:paraId="50D88040" w14:textId="77777777" w:rsidR="00197A41" w:rsidRDefault="0019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C8"/>
    <w:rsid w:val="00197A41"/>
    <w:rsid w:val="001D2299"/>
    <w:rsid w:val="00740883"/>
    <w:rsid w:val="007A7445"/>
    <w:rsid w:val="007B4B81"/>
    <w:rsid w:val="009C24C8"/>
    <w:rsid w:val="009D0B11"/>
    <w:rsid w:val="009F627E"/>
    <w:rsid w:val="00C332AC"/>
    <w:rsid w:val="00EE7221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3D75"/>
  <w15:docId w15:val="{06CF9C17-9785-406E-90A6-C96B541B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BEF"/>
  </w:style>
  <w:style w:type="paragraph" w:styleId="Heading1">
    <w:name w:val="heading 1"/>
    <w:basedOn w:val="Normal"/>
    <w:next w:val="Normal"/>
    <w:link w:val="Heading1Char"/>
    <w:uiPriority w:val="9"/>
    <w:qFormat/>
    <w:rsid w:val="00B07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DA1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BE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A1BEF"/>
  </w:style>
  <w:style w:type="paragraph" w:styleId="Header">
    <w:name w:val="header"/>
    <w:basedOn w:val="Normal"/>
    <w:link w:val="HeaderChar"/>
    <w:uiPriority w:val="99"/>
    <w:unhideWhenUsed/>
    <w:rsid w:val="00DA1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BE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95A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5A31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395A31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395A31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395A31"/>
  </w:style>
  <w:style w:type="character" w:customStyle="1" w:styleId="EndNoteBibliographyChar">
    <w:name w:val="EndNote Bibliography Char"/>
    <w:basedOn w:val="DefaultParagraphFont"/>
    <w:link w:val="EndNoteBibliography"/>
    <w:rsid w:val="00395A31"/>
    <w:rPr>
      <w:rFonts w:ascii="Times New Roman" w:eastAsia="Times New Roman" w:hAnsi="Times New Roman" w:cs="Times New Roman"/>
    </w:rPr>
  </w:style>
  <w:style w:type="paragraph" w:customStyle="1" w:styleId="SMHeading">
    <w:name w:val="SM Heading"/>
    <w:basedOn w:val="Heading1"/>
    <w:qFormat/>
    <w:rsid w:val="00B076DB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Text">
    <w:name w:val="SM Text"/>
    <w:basedOn w:val="Normal"/>
    <w:qFormat/>
    <w:rsid w:val="00B076DB"/>
    <w:pPr>
      <w:ind w:firstLine="480"/>
    </w:pPr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7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8C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CE"/>
    <w:rPr>
      <w:rFonts w:ascii="Times New Roman" w:eastAsia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/K4xPC67B9LShQeNG2AiPkybUQ==">AMUW2mUdV95PFiiB4CI+/y23yPMzH5A3tShmCUJMASlcvxeUnwNyZWqI7QBb+D7Nyrwd/uUiotFKx+RoCvgRzKvjJz/v8GTEBAKtUaO1hY/1PavqA0IskBUQQ3oIqYyHPe11qKZ56ZEiMN2MTGG/DMw2HJSrxx8Cog==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James Gilbert</cp:lastModifiedBy>
  <cp:revision>2</cp:revision>
  <dcterms:created xsi:type="dcterms:W3CDTF">2022-08-31T09:27:00Z</dcterms:created>
  <dcterms:modified xsi:type="dcterms:W3CDTF">2022-08-31T09:27:00Z</dcterms:modified>
</cp:coreProperties>
</file>