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DCA4A9" w:rsidR="00877644" w:rsidRPr="00125190" w:rsidRDefault="00E816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analysis described in the manuscript relies on data reproducibility and not sample size. </w:t>
      </w:r>
      <w:r>
        <w:rPr>
          <w:rFonts w:asciiTheme="minorHAnsi" w:hAnsiTheme="minorHAnsi"/>
        </w:rPr>
        <w:t>Initially, 9 different histone mutants were identified as termination-defective. Based on strength of phenotype, we chose two for detailed follow-up stud</w:t>
      </w:r>
      <w:r w:rsidR="00826F14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These </w:t>
      </w:r>
      <w:r>
        <w:rPr>
          <w:rFonts w:asciiTheme="minorHAnsi" w:hAnsiTheme="minorHAnsi"/>
        </w:rPr>
        <w:t xml:space="preserve">mutants </w:t>
      </w:r>
      <w:r>
        <w:rPr>
          <w:rFonts w:asciiTheme="minorHAnsi" w:hAnsiTheme="minorHAnsi"/>
        </w:rPr>
        <w:t xml:space="preserve">displayed </w:t>
      </w:r>
      <w:r>
        <w:rPr>
          <w:rFonts w:asciiTheme="minorHAnsi" w:hAnsiTheme="minorHAnsi"/>
        </w:rPr>
        <w:t xml:space="preserve">both shared and </w:t>
      </w:r>
      <w:r>
        <w:rPr>
          <w:rFonts w:asciiTheme="minorHAnsi" w:hAnsiTheme="minorHAnsi"/>
        </w:rPr>
        <w:t xml:space="preserve">unique </w:t>
      </w:r>
      <w:r>
        <w:rPr>
          <w:rFonts w:asciiTheme="minorHAnsi" w:hAnsiTheme="minorHAnsi"/>
        </w:rPr>
        <w:t>properties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D892C4" w:rsidR="00B330BD" w:rsidRPr="00125190" w:rsidRDefault="0043569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(minimum of 2) and technical replicates for each </w:t>
      </w:r>
      <w:r>
        <w:rPr>
          <w:rFonts w:asciiTheme="minorHAnsi" w:hAnsiTheme="minorHAnsi"/>
        </w:rPr>
        <w:t>experiment</w:t>
      </w:r>
      <w:r>
        <w:rPr>
          <w:rFonts w:asciiTheme="minorHAnsi" w:hAnsiTheme="minorHAnsi"/>
        </w:rPr>
        <w:t xml:space="preserve"> is stated in the </w:t>
      </w:r>
      <w:r w:rsidR="007A7CAC">
        <w:rPr>
          <w:rFonts w:asciiTheme="minorHAnsi" w:hAnsiTheme="minorHAnsi"/>
        </w:rPr>
        <w:t>Figure Legends and in a M</w:t>
      </w:r>
      <w:r>
        <w:rPr>
          <w:rFonts w:asciiTheme="minorHAnsi" w:hAnsiTheme="minorHAnsi"/>
        </w:rPr>
        <w:t>ethods section</w:t>
      </w:r>
      <w:r w:rsidR="00A1655A">
        <w:rPr>
          <w:rFonts w:asciiTheme="minorHAnsi" w:hAnsiTheme="minorHAnsi"/>
        </w:rPr>
        <w:t xml:space="preserve"> titled “Data reproducibility and statistical analysis”</w:t>
      </w:r>
      <w:r>
        <w:rPr>
          <w:rFonts w:asciiTheme="minorHAnsi" w:hAnsiTheme="minorHAnsi"/>
        </w:rPr>
        <w:t xml:space="preserve">. </w:t>
      </w:r>
      <w:r w:rsidR="006F4990">
        <w:rPr>
          <w:rFonts w:asciiTheme="minorHAnsi" w:hAnsiTheme="minorHAnsi"/>
        </w:rPr>
        <w:t>Agreement between genomic datasets was assessed by Pearson</w:t>
      </w:r>
      <w:r w:rsidR="00E3399E">
        <w:rPr>
          <w:rFonts w:asciiTheme="minorHAnsi" w:hAnsiTheme="minorHAnsi"/>
        </w:rPr>
        <w:t>’s c</w:t>
      </w:r>
      <w:r w:rsidR="006F4990">
        <w:rPr>
          <w:rFonts w:asciiTheme="minorHAnsi" w:hAnsiTheme="minorHAnsi"/>
        </w:rPr>
        <w:t xml:space="preserve">orrelation analysis and shown in </w:t>
      </w:r>
      <w:r w:rsidR="00E3399E">
        <w:rPr>
          <w:rFonts w:asciiTheme="minorHAnsi" w:hAnsiTheme="minorHAnsi"/>
        </w:rPr>
        <w:t xml:space="preserve">biplots in </w:t>
      </w:r>
      <w:r w:rsidR="006F4990">
        <w:rPr>
          <w:rFonts w:asciiTheme="minorHAnsi" w:hAnsiTheme="minorHAnsi"/>
        </w:rPr>
        <w:t>Figure Supplements. Genomic s</w:t>
      </w:r>
      <w:r>
        <w:rPr>
          <w:rFonts w:asciiTheme="minorHAnsi" w:hAnsiTheme="minorHAnsi"/>
        </w:rPr>
        <w:t>equencing data are available at GEO.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9DB17F" w:rsidR="0015519A" w:rsidRPr="00505C51" w:rsidRDefault="006F49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on statistical tests is provided in the Figure Legends and in the “Data reproducibility and statistical analysis”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2DAFD2" w:rsidR="00BC3CCE" w:rsidRPr="00505C51" w:rsidRDefault="00277C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241D597" w14:textId="4107CA0D" w:rsidR="00277C60" w:rsidRPr="00505C51" w:rsidRDefault="00277C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are provided to support the 3’-extention index calculations in Figure 2, the western analysis quantitation in Figure 5A, and the H2A </w:t>
      </w: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 xml:space="preserve"> in Figure 7C.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05393" w14:textId="77777777" w:rsidR="00303429" w:rsidRDefault="00303429" w:rsidP="004215FE">
      <w:r>
        <w:separator/>
      </w:r>
    </w:p>
  </w:endnote>
  <w:endnote w:type="continuationSeparator" w:id="0">
    <w:p w14:paraId="77D67A8D" w14:textId="77777777" w:rsidR="00303429" w:rsidRDefault="003034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331A" w14:textId="77777777" w:rsidR="00303429" w:rsidRDefault="00303429" w:rsidP="004215FE">
      <w:r>
        <w:separator/>
      </w:r>
    </w:p>
  </w:footnote>
  <w:footnote w:type="continuationSeparator" w:id="0">
    <w:p w14:paraId="15BB8E75" w14:textId="77777777" w:rsidR="00303429" w:rsidRDefault="003034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7C60"/>
    <w:rsid w:val="002A068D"/>
    <w:rsid w:val="002A0ED1"/>
    <w:rsid w:val="002A7487"/>
    <w:rsid w:val="0030342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5692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990"/>
    <w:rsid w:val="00700103"/>
    <w:rsid w:val="007137E1"/>
    <w:rsid w:val="00762B36"/>
    <w:rsid w:val="00763BA5"/>
    <w:rsid w:val="0076524F"/>
    <w:rsid w:val="00767B26"/>
    <w:rsid w:val="00795CED"/>
    <w:rsid w:val="007A7CA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F1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55A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058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99E"/>
    <w:rsid w:val="00E41364"/>
    <w:rsid w:val="00E61AB4"/>
    <w:rsid w:val="00E70517"/>
    <w:rsid w:val="00E816BB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7DC0B7-4F59-E84D-B480-C310EC86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Arndt, Karen M</cp:lastModifiedBy>
  <cp:revision>10</cp:revision>
  <dcterms:created xsi:type="dcterms:W3CDTF">2020-05-01T13:05:00Z</dcterms:created>
  <dcterms:modified xsi:type="dcterms:W3CDTF">2020-05-01T13:24:00Z</dcterms:modified>
</cp:coreProperties>
</file>