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2FDB4D8" w14:textId="77777777" w:rsidR="004435FB" w:rsidRDefault="004435FB" w:rsidP="004435FB">
      <w:pPr>
        <w:framePr w:w="7817" w:h="1088" w:hSpace="180" w:wrap="around" w:vAnchor="text" w:hAnchor="page" w:x="1858" w:y="79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We have in this study basic ex vivo and in vitro experiment and we aimed to assess the different aspects in a minimum of 5 different colorectal samples. Foremost all experiments were repeated with colorectal samples from more than 10 donors. </w:t>
      </w:r>
    </w:p>
    <w:p w14:paraId="0A0FBBC8" w14:textId="37A3920A" w:rsidR="004435FB" w:rsidRDefault="004435FB" w:rsidP="004435FB">
      <w:pPr>
        <w:framePr w:w="7817" w:h="1088" w:hSpace="180" w:wrap="around" w:vAnchor="text" w:hAnchor="page" w:x="1858" w:y="79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Overall colorectal samples </w:t>
      </w:r>
      <w:r w:rsidR="00D43FB4">
        <w:t xml:space="preserve">used for this study </w:t>
      </w:r>
      <w:r>
        <w:t>are added in the method section.</w:t>
      </w: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FF843C9" w14:textId="77777777" w:rsidR="0015519A" w:rsidRPr="004435FB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5610A859" w14:textId="77777777" w:rsidR="004435FB" w:rsidRDefault="004435FB" w:rsidP="004435FB">
      <w:pPr>
        <w:framePr w:w="7817" w:h="1088" w:hSpace="180" w:wrap="around" w:vAnchor="text" w:hAnchor="page" w:x="1846" w:y="76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Replicate of experiments (N values) are stated in all figure legends. </w:t>
      </w: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B300033" w14:textId="19265E01" w:rsidR="004435FB" w:rsidRDefault="004435FB" w:rsidP="004435F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The statistical analysis methods are described in the method section.</w:t>
      </w:r>
      <w:r w:rsidR="00D43FB4">
        <w:t xml:space="preserve"> </w:t>
      </w:r>
      <w:r>
        <w:t xml:space="preserve"> </w:t>
      </w:r>
    </w:p>
    <w:p w14:paraId="1B845B61" w14:textId="34CCF9E5" w:rsidR="004435FB" w:rsidRDefault="004435FB" w:rsidP="004435F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The N, and </w:t>
      </w:r>
      <w:r w:rsidR="00924430" w:rsidRPr="00377FD5">
        <w:rPr>
          <w:rFonts w:ascii="Times New Roman" w:hAnsi="Times New Roman"/>
        </w:rPr>
        <w:t>mean ± SEM</w:t>
      </w:r>
      <w:r w:rsidR="00924430">
        <w:rPr>
          <w:rFonts w:ascii="Times New Roman" w:hAnsi="Times New Roman"/>
        </w:rPr>
        <w:t>, when</w:t>
      </w:r>
      <w:r w:rsidR="00924430">
        <w:t xml:space="preserve"> relevant is </w:t>
      </w:r>
      <w:r>
        <w:t>stated in the figure legends</w:t>
      </w:r>
      <w:r w:rsidR="00924430">
        <w:t>.</w:t>
      </w:r>
      <w:r>
        <w:t xml:space="preserve"> </w:t>
      </w:r>
    </w:p>
    <w:p w14:paraId="09A2383D" w14:textId="77777777" w:rsidR="00924430" w:rsidRDefault="00924430" w:rsidP="004435F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</w:rPr>
      </w:pPr>
      <w:r w:rsidRPr="00880058">
        <w:rPr>
          <w:rFonts w:ascii="Times New Roman" w:hAnsi="Times New Roman"/>
        </w:rPr>
        <w:t xml:space="preserve">The data obtained by RNA sequencing of colorectal tissue was normalized and R/DeSeq2 used to determine differentially expressed genes. Analyses of pathways were done by Ingenuity Pathway Analysis (Qiagen), R analysis, custom gene lists, and by gene ontology (GO) analysis. </w:t>
      </w:r>
    </w:p>
    <w:p w14:paraId="614D6089" w14:textId="2F543BC7" w:rsidR="0015519A" w:rsidRPr="00924430" w:rsidRDefault="0092443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bCs/>
        </w:rPr>
      </w:pPr>
      <w:r w:rsidRPr="00880058">
        <w:rPr>
          <w:rFonts w:ascii="Times New Roman" w:hAnsi="Times New Roman"/>
        </w:rPr>
        <w:t xml:space="preserve">All other results were analyzed using GraphPad Prism 5 (GraphPad Software, CA, USA), with either two-sided paired t-test </w:t>
      </w:r>
      <w:bookmarkStart w:id="0" w:name="_Hlk641003"/>
      <w:r w:rsidRPr="00880058">
        <w:rPr>
          <w:rFonts w:ascii="Times New Roman" w:hAnsi="Times New Roman"/>
        </w:rPr>
        <w:t>or repeated measures of ANOVA followed by Tukey’s posttest.</w:t>
      </w:r>
      <w:bookmarkEnd w:id="0"/>
      <w:r w:rsidRPr="00880058">
        <w:rPr>
          <w:rFonts w:ascii="Times New Roman" w:hAnsi="Times New Roman"/>
        </w:rPr>
        <w:t xml:space="preserve"> p&lt;0.05 was considered statistically significant.</w:t>
      </w: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475CAFB" w14:textId="72B682F1" w:rsidR="00D43FB4" w:rsidRDefault="00D43FB4" w:rsidP="00D43FB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We use colorectal tissue from individuals undergoing colorectal surgery and divide the tissue/isolated colorectal mucosal immune cells into different groups, i.e. we use uninfected (mock), free HIV infection, complement opsonized HIV infection, and Complement antibody opsonized HIV infection.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26D3057B" w14:textId="77777777" w:rsidR="00D43FB4" w:rsidRDefault="00D43FB4" w:rsidP="00D43FB4">
      <w:pPr>
        <w:framePr w:w="7817" w:h="1088" w:hSpace="180" w:wrap="around" w:vAnchor="text" w:hAnchor="page" w:x="1936" w:y="29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lastRenderedPageBreak/>
        <w:t>No Additional data files (source data)</w:t>
      </w:r>
    </w:p>
    <w:p w14:paraId="79254B9F" w14:textId="77777777" w:rsidR="00D43FB4" w:rsidRPr="00505C51" w:rsidRDefault="00D43FB4" w:rsidP="00D43FB4">
      <w:pPr>
        <w:framePr w:w="7817" w:h="1088" w:hSpace="180" w:wrap="around" w:vAnchor="text" w:hAnchor="page" w:x="1936" w:y="29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0944F" w14:textId="77777777" w:rsidR="00C73890" w:rsidRDefault="00C73890" w:rsidP="004215FE">
      <w:r>
        <w:separator/>
      </w:r>
    </w:p>
  </w:endnote>
  <w:endnote w:type="continuationSeparator" w:id="0">
    <w:p w14:paraId="32FA031A" w14:textId="77777777" w:rsidR="00C73890" w:rsidRDefault="00C7389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6D052" w14:textId="77777777" w:rsidR="00C73890" w:rsidRDefault="00C73890" w:rsidP="004215FE">
      <w:r>
        <w:separator/>
      </w:r>
    </w:p>
  </w:footnote>
  <w:footnote w:type="continuationSeparator" w:id="0">
    <w:p w14:paraId="08DAC449" w14:textId="77777777" w:rsidR="00C73890" w:rsidRDefault="00C7389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3980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435FB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92FFF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51EE2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24430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73890"/>
    <w:rsid w:val="00C820B0"/>
    <w:rsid w:val="00CC6EF3"/>
    <w:rsid w:val="00CD6AEC"/>
    <w:rsid w:val="00CE6849"/>
    <w:rsid w:val="00CF4BBE"/>
    <w:rsid w:val="00CF6CB5"/>
    <w:rsid w:val="00D10224"/>
    <w:rsid w:val="00D43FB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B3FA2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C0F48386-2CB5-4A64-BB54-02C40CF1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A7DCBB-25AF-4686-AD91-23B5D8A84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925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Marie Larsson</cp:lastModifiedBy>
  <cp:revision>4</cp:revision>
  <cp:lastPrinted>2020-04-30T09:02:00Z</cp:lastPrinted>
  <dcterms:created xsi:type="dcterms:W3CDTF">2020-04-29T14:52:00Z</dcterms:created>
  <dcterms:modified xsi:type="dcterms:W3CDTF">2020-04-30T09:34:00Z</dcterms:modified>
</cp:coreProperties>
</file>