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D0AE" w14:textId="3EF0C586" w:rsidR="00A82753" w:rsidRPr="00A514DC" w:rsidRDefault="00366461" w:rsidP="008528B6">
      <w:pPr>
        <w:spacing w:line="480" w:lineRule="auto"/>
        <w:jc w:val="both"/>
        <w:rPr>
          <w:rFonts w:ascii="Arial" w:hAnsi="Arial" w:cs="Arial"/>
          <w:sz w:val="20"/>
          <w:szCs w:val="20"/>
        </w:rPr>
      </w:pPr>
      <w:bookmarkStart w:id="0" w:name="_GoBack"/>
      <w:r w:rsidRPr="00A514DC">
        <w:rPr>
          <w:rFonts w:ascii="Arial" w:hAnsi="Arial" w:cs="Arial"/>
          <w:b/>
          <w:bCs/>
          <w:sz w:val="20"/>
          <w:szCs w:val="20"/>
        </w:rPr>
        <w:t>A systematic review of population-based studies on Lipid profiles in Latin America and the Caribbean</w:t>
      </w:r>
    </w:p>
    <w:bookmarkEnd w:id="0"/>
    <w:p w14:paraId="55B79EB1" w14:textId="77777777" w:rsidR="000745F8" w:rsidRPr="000745F8" w:rsidRDefault="000745F8"/>
    <w:p w14:paraId="6CBD5C5E" w14:textId="1EFF2D5F" w:rsidR="000745F8" w:rsidRPr="000745F8" w:rsidRDefault="000745F8" w:rsidP="000745F8">
      <w:pPr>
        <w:pStyle w:val="NoSpacing"/>
        <w:jc w:val="both"/>
        <w:rPr>
          <w:lang w:val="en-GB"/>
        </w:rPr>
      </w:pPr>
      <w:r w:rsidRPr="000745F8">
        <w:rPr>
          <w:lang w:val="en-GB"/>
        </w:rPr>
        <w:t xml:space="preserve"> </w:t>
      </w:r>
    </w:p>
    <w:p w14:paraId="378D6A4D" w14:textId="77777777" w:rsidR="000745F8" w:rsidRPr="000745F8" w:rsidRDefault="000745F8">
      <w:r w:rsidRPr="000745F8">
        <w:br w:type="page"/>
      </w:r>
    </w:p>
    <w:sdt>
      <w:sdtPr>
        <w:rPr>
          <w:rFonts w:asciiTheme="minorHAnsi" w:eastAsiaTheme="minorHAnsi" w:hAnsiTheme="minorHAnsi" w:cstheme="minorBidi"/>
          <w:b/>
          <w:color w:val="auto"/>
          <w:sz w:val="22"/>
          <w:szCs w:val="22"/>
          <w:lang w:val="en-GB"/>
        </w:rPr>
        <w:id w:val="937555829"/>
        <w:docPartObj>
          <w:docPartGallery w:val="Table of Contents"/>
          <w:docPartUnique/>
        </w:docPartObj>
      </w:sdtPr>
      <w:sdtEndPr>
        <w:rPr>
          <w:b w:val="0"/>
          <w:bCs/>
          <w:noProof/>
        </w:rPr>
      </w:sdtEndPr>
      <w:sdtContent>
        <w:p w14:paraId="2A0D5061" w14:textId="381F2C9C" w:rsidR="00254ECF" w:rsidRPr="00A514DC" w:rsidRDefault="000745F8" w:rsidP="002E0267">
          <w:pPr>
            <w:pStyle w:val="TOCHeading"/>
            <w:spacing w:line="480" w:lineRule="auto"/>
            <w:jc w:val="center"/>
            <w:rPr>
              <w:rFonts w:ascii="Arial" w:hAnsi="Arial" w:cs="Arial"/>
              <w:b/>
              <w:bCs/>
              <w:color w:val="auto"/>
              <w:sz w:val="20"/>
              <w:szCs w:val="20"/>
            </w:rPr>
          </w:pPr>
          <w:r w:rsidRPr="00A514DC">
            <w:rPr>
              <w:rFonts w:ascii="Arial" w:hAnsi="Arial" w:cs="Arial"/>
              <w:b/>
              <w:bCs/>
              <w:color w:val="auto"/>
              <w:sz w:val="20"/>
              <w:szCs w:val="20"/>
            </w:rPr>
            <w:t>Contents</w:t>
          </w:r>
        </w:p>
        <w:p w14:paraId="178006D0" w14:textId="469F758A" w:rsidR="008528B6" w:rsidRPr="00A514DC" w:rsidRDefault="000745F8">
          <w:pPr>
            <w:pStyle w:val="TOC1"/>
            <w:tabs>
              <w:tab w:val="right" w:leader="dot" w:pos="9016"/>
            </w:tabs>
            <w:rPr>
              <w:rFonts w:ascii="Arial" w:eastAsiaTheme="minorEastAsia" w:hAnsi="Arial" w:cs="Arial"/>
              <w:noProof/>
              <w:sz w:val="20"/>
              <w:szCs w:val="20"/>
              <w:lang w:eastAsia="en-GB"/>
            </w:rPr>
          </w:pPr>
          <w:r w:rsidRPr="00A514DC">
            <w:rPr>
              <w:rFonts w:ascii="Arial" w:hAnsi="Arial" w:cs="Arial"/>
              <w:sz w:val="20"/>
              <w:szCs w:val="20"/>
            </w:rPr>
            <w:fldChar w:fldCharType="begin"/>
          </w:r>
          <w:r w:rsidRPr="00A514DC">
            <w:rPr>
              <w:rFonts w:ascii="Arial" w:hAnsi="Arial" w:cs="Arial"/>
              <w:sz w:val="20"/>
              <w:szCs w:val="20"/>
            </w:rPr>
            <w:instrText xml:space="preserve"> TOC \o "1-3" \h \z \u </w:instrText>
          </w:r>
          <w:r w:rsidRPr="00A514DC">
            <w:rPr>
              <w:rFonts w:ascii="Arial" w:hAnsi="Arial" w:cs="Arial"/>
              <w:sz w:val="20"/>
              <w:szCs w:val="20"/>
            </w:rPr>
            <w:fldChar w:fldCharType="separate"/>
          </w:r>
          <w:hyperlink w:anchor="_Toc42494716" w:history="1">
            <w:r w:rsidR="008528B6" w:rsidRPr="00A514DC">
              <w:rPr>
                <w:rStyle w:val="Hyperlink"/>
                <w:rFonts w:ascii="Arial" w:hAnsi="Arial" w:cs="Arial"/>
                <w:noProof/>
                <w:sz w:val="20"/>
                <w:szCs w:val="20"/>
              </w:rPr>
              <w:t>PRISMA 2009 Checklist</w:t>
            </w:r>
            <w:r w:rsidR="008528B6" w:rsidRPr="00A514DC">
              <w:rPr>
                <w:rFonts w:ascii="Arial" w:hAnsi="Arial" w:cs="Arial"/>
                <w:noProof/>
                <w:webHidden/>
                <w:sz w:val="20"/>
                <w:szCs w:val="20"/>
              </w:rPr>
              <w:tab/>
            </w:r>
            <w:r w:rsidR="008528B6" w:rsidRPr="00A514DC">
              <w:rPr>
                <w:rFonts w:ascii="Arial" w:hAnsi="Arial" w:cs="Arial"/>
                <w:noProof/>
                <w:webHidden/>
                <w:sz w:val="20"/>
                <w:szCs w:val="20"/>
              </w:rPr>
              <w:fldChar w:fldCharType="begin"/>
            </w:r>
            <w:r w:rsidR="008528B6" w:rsidRPr="00A514DC">
              <w:rPr>
                <w:rFonts w:ascii="Arial" w:hAnsi="Arial" w:cs="Arial"/>
                <w:noProof/>
                <w:webHidden/>
                <w:sz w:val="20"/>
                <w:szCs w:val="20"/>
              </w:rPr>
              <w:instrText xml:space="preserve"> PAGEREF _Toc42494716 \h </w:instrText>
            </w:r>
            <w:r w:rsidR="008528B6" w:rsidRPr="00A514DC">
              <w:rPr>
                <w:rFonts w:ascii="Arial" w:hAnsi="Arial" w:cs="Arial"/>
                <w:noProof/>
                <w:webHidden/>
                <w:sz w:val="20"/>
                <w:szCs w:val="20"/>
              </w:rPr>
            </w:r>
            <w:r w:rsidR="008528B6" w:rsidRPr="00A514DC">
              <w:rPr>
                <w:rFonts w:ascii="Arial" w:hAnsi="Arial" w:cs="Arial"/>
                <w:noProof/>
                <w:webHidden/>
                <w:sz w:val="20"/>
                <w:szCs w:val="20"/>
              </w:rPr>
              <w:fldChar w:fldCharType="separate"/>
            </w:r>
            <w:r w:rsidR="008528B6" w:rsidRPr="00A514DC">
              <w:rPr>
                <w:rFonts w:ascii="Arial" w:hAnsi="Arial" w:cs="Arial"/>
                <w:noProof/>
                <w:webHidden/>
                <w:sz w:val="20"/>
                <w:szCs w:val="20"/>
              </w:rPr>
              <w:t>3</w:t>
            </w:r>
            <w:r w:rsidR="008528B6" w:rsidRPr="00A514DC">
              <w:rPr>
                <w:rFonts w:ascii="Arial" w:hAnsi="Arial" w:cs="Arial"/>
                <w:noProof/>
                <w:webHidden/>
                <w:sz w:val="20"/>
                <w:szCs w:val="20"/>
              </w:rPr>
              <w:fldChar w:fldCharType="end"/>
            </w:r>
          </w:hyperlink>
        </w:p>
        <w:p w14:paraId="259211C3" w14:textId="4CA473F4" w:rsidR="008528B6" w:rsidRPr="00A514DC" w:rsidRDefault="008528B6">
          <w:pPr>
            <w:pStyle w:val="TOC1"/>
            <w:tabs>
              <w:tab w:val="right" w:leader="dot" w:pos="9016"/>
            </w:tabs>
            <w:rPr>
              <w:rFonts w:ascii="Arial" w:eastAsiaTheme="minorEastAsia" w:hAnsi="Arial" w:cs="Arial"/>
              <w:noProof/>
              <w:sz w:val="20"/>
              <w:szCs w:val="20"/>
              <w:lang w:eastAsia="en-GB"/>
            </w:rPr>
          </w:pPr>
          <w:hyperlink w:anchor="_Toc42494717" w:history="1">
            <w:r w:rsidRPr="00A514DC">
              <w:rPr>
                <w:rStyle w:val="Hyperlink"/>
                <w:rFonts w:ascii="Arial" w:hAnsi="Arial" w:cs="Arial"/>
                <w:noProof/>
                <w:sz w:val="20"/>
                <w:szCs w:val="20"/>
              </w:rPr>
              <w:t>Search Terms</w:t>
            </w:r>
            <w:r w:rsidRPr="00A514DC">
              <w:rPr>
                <w:rFonts w:ascii="Arial" w:hAnsi="Arial" w:cs="Arial"/>
                <w:noProof/>
                <w:webHidden/>
                <w:sz w:val="20"/>
                <w:szCs w:val="20"/>
              </w:rPr>
              <w:tab/>
            </w:r>
            <w:r w:rsidRPr="00A514DC">
              <w:rPr>
                <w:rFonts w:ascii="Arial" w:hAnsi="Arial" w:cs="Arial"/>
                <w:noProof/>
                <w:webHidden/>
                <w:sz w:val="20"/>
                <w:szCs w:val="20"/>
              </w:rPr>
              <w:fldChar w:fldCharType="begin"/>
            </w:r>
            <w:r w:rsidRPr="00A514DC">
              <w:rPr>
                <w:rFonts w:ascii="Arial" w:hAnsi="Arial" w:cs="Arial"/>
                <w:noProof/>
                <w:webHidden/>
                <w:sz w:val="20"/>
                <w:szCs w:val="20"/>
              </w:rPr>
              <w:instrText xml:space="preserve"> PAGEREF _Toc42494717 \h </w:instrText>
            </w:r>
            <w:r w:rsidRPr="00A514DC">
              <w:rPr>
                <w:rFonts w:ascii="Arial" w:hAnsi="Arial" w:cs="Arial"/>
                <w:noProof/>
                <w:webHidden/>
                <w:sz w:val="20"/>
                <w:szCs w:val="20"/>
              </w:rPr>
            </w:r>
            <w:r w:rsidRPr="00A514DC">
              <w:rPr>
                <w:rFonts w:ascii="Arial" w:hAnsi="Arial" w:cs="Arial"/>
                <w:noProof/>
                <w:webHidden/>
                <w:sz w:val="20"/>
                <w:szCs w:val="20"/>
              </w:rPr>
              <w:fldChar w:fldCharType="separate"/>
            </w:r>
            <w:r w:rsidRPr="00A514DC">
              <w:rPr>
                <w:rFonts w:ascii="Arial" w:hAnsi="Arial" w:cs="Arial"/>
                <w:noProof/>
                <w:webHidden/>
                <w:sz w:val="20"/>
                <w:szCs w:val="20"/>
              </w:rPr>
              <w:t>6</w:t>
            </w:r>
            <w:r w:rsidRPr="00A514DC">
              <w:rPr>
                <w:rFonts w:ascii="Arial" w:hAnsi="Arial" w:cs="Arial"/>
                <w:noProof/>
                <w:webHidden/>
                <w:sz w:val="20"/>
                <w:szCs w:val="20"/>
              </w:rPr>
              <w:fldChar w:fldCharType="end"/>
            </w:r>
          </w:hyperlink>
        </w:p>
        <w:p w14:paraId="6FC02228" w14:textId="0D445E7B" w:rsidR="008528B6" w:rsidRPr="00A514DC" w:rsidRDefault="008528B6">
          <w:pPr>
            <w:pStyle w:val="TOC2"/>
            <w:tabs>
              <w:tab w:val="right" w:leader="dot" w:pos="9016"/>
            </w:tabs>
            <w:rPr>
              <w:rFonts w:ascii="Arial" w:eastAsiaTheme="minorEastAsia" w:hAnsi="Arial" w:cs="Arial"/>
              <w:noProof/>
              <w:sz w:val="20"/>
              <w:szCs w:val="20"/>
              <w:lang w:eastAsia="en-GB"/>
            </w:rPr>
          </w:pPr>
          <w:hyperlink w:anchor="_Toc42494718" w:history="1">
            <w:r w:rsidRPr="00A514DC">
              <w:rPr>
                <w:rStyle w:val="Hyperlink"/>
                <w:rFonts w:ascii="Arial" w:hAnsi="Arial" w:cs="Arial"/>
                <w:noProof/>
                <w:sz w:val="20"/>
                <w:szCs w:val="20"/>
              </w:rPr>
              <w:t>Ovid (Embase, Medline and Global Health)</w:t>
            </w:r>
            <w:r w:rsidRPr="00A514DC">
              <w:rPr>
                <w:rFonts w:ascii="Arial" w:hAnsi="Arial" w:cs="Arial"/>
                <w:noProof/>
                <w:webHidden/>
                <w:sz w:val="20"/>
                <w:szCs w:val="20"/>
              </w:rPr>
              <w:tab/>
            </w:r>
            <w:r w:rsidRPr="00A514DC">
              <w:rPr>
                <w:rFonts w:ascii="Arial" w:hAnsi="Arial" w:cs="Arial"/>
                <w:noProof/>
                <w:webHidden/>
                <w:sz w:val="20"/>
                <w:szCs w:val="20"/>
              </w:rPr>
              <w:fldChar w:fldCharType="begin"/>
            </w:r>
            <w:r w:rsidRPr="00A514DC">
              <w:rPr>
                <w:rFonts w:ascii="Arial" w:hAnsi="Arial" w:cs="Arial"/>
                <w:noProof/>
                <w:webHidden/>
                <w:sz w:val="20"/>
                <w:szCs w:val="20"/>
              </w:rPr>
              <w:instrText xml:space="preserve"> PAGEREF _Toc42494718 \h </w:instrText>
            </w:r>
            <w:r w:rsidRPr="00A514DC">
              <w:rPr>
                <w:rFonts w:ascii="Arial" w:hAnsi="Arial" w:cs="Arial"/>
                <w:noProof/>
                <w:webHidden/>
                <w:sz w:val="20"/>
                <w:szCs w:val="20"/>
              </w:rPr>
            </w:r>
            <w:r w:rsidRPr="00A514DC">
              <w:rPr>
                <w:rFonts w:ascii="Arial" w:hAnsi="Arial" w:cs="Arial"/>
                <w:noProof/>
                <w:webHidden/>
                <w:sz w:val="20"/>
                <w:szCs w:val="20"/>
              </w:rPr>
              <w:fldChar w:fldCharType="separate"/>
            </w:r>
            <w:r w:rsidRPr="00A514DC">
              <w:rPr>
                <w:rFonts w:ascii="Arial" w:hAnsi="Arial" w:cs="Arial"/>
                <w:noProof/>
                <w:webHidden/>
                <w:sz w:val="20"/>
                <w:szCs w:val="20"/>
              </w:rPr>
              <w:t>6</w:t>
            </w:r>
            <w:r w:rsidRPr="00A514DC">
              <w:rPr>
                <w:rFonts w:ascii="Arial" w:hAnsi="Arial" w:cs="Arial"/>
                <w:noProof/>
                <w:webHidden/>
                <w:sz w:val="20"/>
                <w:szCs w:val="20"/>
              </w:rPr>
              <w:fldChar w:fldCharType="end"/>
            </w:r>
          </w:hyperlink>
        </w:p>
        <w:p w14:paraId="38EB3AD7" w14:textId="1BB78215" w:rsidR="008528B6" w:rsidRPr="00A514DC" w:rsidRDefault="008528B6">
          <w:pPr>
            <w:pStyle w:val="TOC2"/>
            <w:tabs>
              <w:tab w:val="right" w:leader="dot" w:pos="9016"/>
            </w:tabs>
            <w:rPr>
              <w:rFonts w:ascii="Arial" w:eastAsiaTheme="minorEastAsia" w:hAnsi="Arial" w:cs="Arial"/>
              <w:noProof/>
              <w:sz w:val="20"/>
              <w:szCs w:val="20"/>
              <w:lang w:eastAsia="en-GB"/>
            </w:rPr>
          </w:pPr>
          <w:hyperlink w:anchor="_Toc42494719" w:history="1">
            <w:r w:rsidRPr="00A514DC">
              <w:rPr>
                <w:rStyle w:val="Hyperlink"/>
                <w:rFonts w:ascii="Arial" w:hAnsi="Arial" w:cs="Arial"/>
                <w:noProof/>
                <w:sz w:val="20"/>
                <w:szCs w:val="20"/>
              </w:rPr>
              <w:t>SCOPUS</w:t>
            </w:r>
            <w:r w:rsidRPr="00A514DC">
              <w:rPr>
                <w:rFonts w:ascii="Arial" w:hAnsi="Arial" w:cs="Arial"/>
                <w:noProof/>
                <w:webHidden/>
                <w:sz w:val="20"/>
                <w:szCs w:val="20"/>
              </w:rPr>
              <w:tab/>
            </w:r>
            <w:r w:rsidRPr="00A514DC">
              <w:rPr>
                <w:rFonts w:ascii="Arial" w:hAnsi="Arial" w:cs="Arial"/>
                <w:noProof/>
                <w:webHidden/>
                <w:sz w:val="20"/>
                <w:szCs w:val="20"/>
              </w:rPr>
              <w:fldChar w:fldCharType="begin"/>
            </w:r>
            <w:r w:rsidRPr="00A514DC">
              <w:rPr>
                <w:rFonts w:ascii="Arial" w:hAnsi="Arial" w:cs="Arial"/>
                <w:noProof/>
                <w:webHidden/>
                <w:sz w:val="20"/>
                <w:szCs w:val="20"/>
              </w:rPr>
              <w:instrText xml:space="preserve"> PAGEREF _Toc42494719 \h </w:instrText>
            </w:r>
            <w:r w:rsidRPr="00A514DC">
              <w:rPr>
                <w:rFonts w:ascii="Arial" w:hAnsi="Arial" w:cs="Arial"/>
                <w:noProof/>
                <w:webHidden/>
                <w:sz w:val="20"/>
                <w:szCs w:val="20"/>
              </w:rPr>
            </w:r>
            <w:r w:rsidRPr="00A514DC">
              <w:rPr>
                <w:rFonts w:ascii="Arial" w:hAnsi="Arial" w:cs="Arial"/>
                <w:noProof/>
                <w:webHidden/>
                <w:sz w:val="20"/>
                <w:szCs w:val="20"/>
              </w:rPr>
              <w:fldChar w:fldCharType="separate"/>
            </w:r>
            <w:r w:rsidRPr="00A514DC">
              <w:rPr>
                <w:rFonts w:ascii="Arial" w:hAnsi="Arial" w:cs="Arial"/>
                <w:noProof/>
                <w:webHidden/>
                <w:sz w:val="20"/>
                <w:szCs w:val="20"/>
              </w:rPr>
              <w:t>6</w:t>
            </w:r>
            <w:r w:rsidRPr="00A514DC">
              <w:rPr>
                <w:rFonts w:ascii="Arial" w:hAnsi="Arial" w:cs="Arial"/>
                <w:noProof/>
                <w:webHidden/>
                <w:sz w:val="20"/>
                <w:szCs w:val="20"/>
              </w:rPr>
              <w:fldChar w:fldCharType="end"/>
            </w:r>
          </w:hyperlink>
        </w:p>
        <w:p w14:paraId="333D0992" w14:textId="46A06FBD" w:rsidR="008528B6" w:rsidRPr="00A514DC" w:rsidRDefault="008528B6">
          <w:pPr>
            <w:pStyle w:val="TOC2"/>
            <w:tabs>
              <w:tab w:val="right" w:leader="dot" w:pos="9016"/>
            </w:tabs>
            <w:rPr>
              <w:rFonts w:ascii="Arial" w:eastAsiaTheme="minorEastAsia" w:hAnsi="Arial" w:cs="Arial"/>
              <w:noProof/>
              <w:sz w:val="20"/>
              <w:szCs w:val="20"/>
              <w:lang w:eastAsia="en-GB"/>
            </w:rPr>
          </w:pPr>
          <w:hyperlink w:anchor="_Toc42494720" w:history="1">
            <w:r w:rsidRPr="00A514DC">
              <w:rPr>
                <w:rStyle w:val="Hyperlink"/>
                <w:rFonts w:ascii="Arial" w:hAnsi="Arial" w:cs="Arial"/>
                <w:noProof/>
                <w:sz w:val="20"/>
                <w:szCs w:val="20"/>
                <w:lang w:val="es-PE"/>
              </w:rPr>
              <w:t>LILACS</w:t>
            </w:r>
            <w:r w:rsidRPr="00A514DC">
              <w:rPr>
                <w:rFonts w:ascii="Arial" w:hAnsi="Arial" w:cs="Arial"/>
                <w:noProof/>
                <w:webHidden/>
                <w:sz w:val="20"/>
                <w:szCs w:val="20"/>
              </w:rPr>
              <w:tab/>
            </w:r>
            <w:r w:rsidRPr="00A514DC">
              <w:rPr>
                <w:rFonts w:ascii="Arial" w:hAnsi="Arial" w:cs="Arial"/>
                <w:noProof/>
                <w:webHidden/>
                <w:sz w:val="20"/>
                <w:szCs w:val="20"/>
              </w:rPr>
              <w:fldChar w:fldCharType="begin"/>
            </w:r>
            <w:r w:rsidRPr="00A514DC">
              <w:rPr>
                <w:rFonts w:ascii="Arial" w:hAnsi="Arial" w:cs="Arial"/>
                <w:noProof/>
                <w:webHidden/>
                <w:sz w:val="20"/>
                <w:szCs w:val="20"/>
              </w:rPr>
              <w:instrText xml:space="preserve"> PAGEREF _Toc42494720 \h </w:instrText>
            </w:r>
            <w:r w:rsidRPr="00A514DC">
              <w:rPr>
                <w:rFonts w:ascii="Arial" w:hAnsi="Arial" w:cs="Arial"/>
                <w:noProof/>
                <w:webHidden/>
                <w:sz w:val="20"/>
                <w:szCs w:val="20"/>
              </w:rPr>
            </w:r>
            <w:r w:rsidRPr="00A514DC">
              <w:rPr>
                <w:rFonts w:ascii="Arial" w:hAnsi="Arial" w:cs="Arial"/>
                <w:noProof/>
                <w:webHidden/>
                <w:sz w:val="20"/>
                <w:szCs w:val="20"/>
              </w:rPr>
              <w:fldChar w:fldCharType="separate"/>
            </w:r>
            <w:r w:rsidRPr="00A514DC">
              <w:rPr>
                <w:rFonts w:ascii="Arial" w:hAnsi="Arial" w:cs="Arial"/>
                <w:noProof/>
                <w:webHidden/>
                <w:sz w:val="20"/>
                <w:szCs w:val="20"/>
              </w:rPr>
              <w:t>7</w:t>
            </w:r>
            <w:r w:rsidRPr="00A514DC">
              <w:rPr>
                <w:rFonts w:ascii="Arial" w:hAnsi="Arial" w:cs="Arial"/>
                <w:noProof/>
                <w:webHidden/>
                <w:sz w:val="20"/>
                <w:szCs w:val="20"/>
              </w:rPr>
              <w:fldChar w:fldCharType="end"/>
            </w:r>
          </w:hyperlink>
        </w:p>
        <w:p w14:paraId="47A4FA1C" w14:textId="7BF5C8DE" w:rsidR="008528B6" w:rsidRPr="00A514DC" w:rsidRDefault="008528B6">
          <w:pPr>
            <w:pStyle w:val="TOC1"/>
            <w:tabs>
              <w:tab w:val="right" w:leader="dot" w:pos="9016"/>
            </w:tabs>
            <w:rPr>
              <w:rFonts w:ascii="Arial" w:eastAsiaTheme="minorEastAsia" w:hAnsi="Arial" w:cs="Arial"/>
              <w:noProof/>
              <w:sz w:val="20"/>
              <w:szCs w:val="20"/>
              <w:lang w:eastAsia="en-GB"/>
            </w:rPr>
          </w:pPr>
          <w:hyperlink w:anchor="_Toc42494721" w:history="1">
            <w:r w:rsidRPr="00A514DC">
              <w:rPr>
                <w:rStyle w:val="Hyperlink"/>
                <w:rFonts w:ascii="Arial" w:hAnsi="Arial" w:cs="Arial"/>
                <w:noProof/>
                <w:sz w:val="20"/>
                <w:szCs w:val="20"/>
              </w:rPr>
              <w:t>Risk of bias assessment</w:t>
            </w:r>
            <w:r w:rsidRPr="00A514DC">
              <w:rPr>
                <w:rFonts w:ascii="Arial" w:hAnsi="Arial" w:cs="Arial"/>
                <w:noProof/>
                <w:webHidden/>
                <w:sz w:val="20"/>
                <w:szCs w:val="20"/>
              </w:rPr>
              <w:tab/>
            </w:r>
            <w:r w:rsidRPr="00A514DC">
              <w:rPr>
                <w:rFonts w:ascii="Arial" w:hAnsi="Arial" w:cs="Arial"/>
                <w:noProof/>
                <w:webHidden/>
                <w:sz w:val="20"/>
                <w:szCs w:val="20"/>
              </w:rPr>
              <w:fldChar w:fldCharType="begin"/>
            </w:r>
            <w:r w:rsidRPr="00A514DC">
              <w:rPr>
                <w:rFonts w:ascii="Arial" w:hAnsi="Arial" w:cs="Arial"/>
                <w:noProof/>
                <w:webHidden/>
                <w:sz w:val="20"/>
                <w:szCs w:val="20"/>
              </w:rPr>
              <w:instrText xml:space="preserve"> PAGEREF _Toc42494721 \h </w:instrText>
            </w:r>
            <w:r w:rsidRPr="00A514DC">
              <w:rPr>
                <w:rFonts w:ascii="Arial" w:hAnsi="Arial" w:cs="Arial"/>
                <w:noProof/>
                <w:webHidden/>
                <w:sz w:val="20"/>
                <w:szCs w:val="20"/>
              </w:rPr>
            </w:r>
            <w:r w:rsidRPr="00A514DC">
              <w:rPr>
                <w:rFonts w:ascii="Arial" w:hAnsi="Arial" w:cs="Arial"/>
                <w:noProof/>
                <w:webHidden/>
                <w:sz w:val="20"/>
                <w:szCs w:val="20"/>
              </w:rPr>
              <w:fldChar w:fldCharType="separate"/>
            </w:r>
            <w:r w:rsidRPr="00A514DC">
              <w:rPr>
                <w:rFonts w:ascii="Arial" w:hAnsi="Arial" w:cs="Arial"/>
                <w:noProof/>
                <w:webHidden/>
                <w:sz w:val="20"/>
                <w:szCs w:val="20"/>
              </w:rPr>
              <w:t>8</w:t>
            </w:r>
            <w:r w:rsidRPr="00A514DC">
              <w:rPr>
                <w:rFonts w:ascii="Arial" w:hAnsi="Arial" w:cs="Arial"/>
                <w:noProof/>
                <w:webHidden/>
                <w:sz w:val="20"/>
                <w:szCs w:val="20"/>
              </w:rPr>
              <w:fldChar w:fldCharType="end"/>
            </w:r>
          </w:hyperlink>
        </w:p>
        <w:p w14:paraId="1F1BD65F" w14:textId="53F3C903" w:rsidR="008528B6" w:rsidRPr="00A514DC" w:rsidRDefault="008528B6">
          <w:pPr>
            <w:pStyle w:val="TOC1"/>
            <w:tabs>
              <w:tab w:val="right" w:leader="dot" w:pos="9016"/>
            </w:tabs>
            <w:rPr>
              <w:rFonts w:ascii="Arial" w:eastAsiaTheme="minorEastAsia" w:hAnsi="Arial" w:cs="Arial"/>
              <w:noProof/>
              <w:sz w:val="20"/>
              <w:szCs w:val="20"/>
              <w:lang w:eastAsia="en-GB"/>
            </w:rPr>
          </w:pPr>
          <w:hyperlink w:anchor="_Toc42494722" w:history="1">
            <w:r w:rsidRPr="00A514DC">
              <w:rPr>
                <w:rStyle w:val="Hyperlink"/>
                <w:rFonts w:ascii="Arial" w:hAnsi="Arial" w:cs="Arial"/>
                <w:noProof/>
                <w:sz w:val="20"/>
                <w:szCs w:val="20"/>
              </w:rPr>
              <w:t>Supplementary Table 1: Characteristics of the analysed studies (197 studies)</w:t>
            </w:r>
            <w:r w:rsidRPr="00A514DC">
              <w:rPr>
                <w:rFonts w:ascii="Arial" w:hAnsi="Arial" w:cs="Arial"/>
                <w:noProof/>
                <w:webHidden/>
                <w:sz w:val="20"/>
                <w:szCs w:val="20"/>
              </w:rPr>
              <w:tab/>
            </w:r>
            <w:r w:rsidRPr="00A514DC">
              <w:rPr>
                <w:rFonts w:ascii="Arial" w:hAnsi="Arial" w:cs="Arial"/>
                <w:noProof/>
                <w:webHidden/>
                <w:sz w:val="20"/>
                <w:szCs w:val="20"/>
              </w:rPr>
              <w:fldChar w:fldCharType="begin"/>
            </w:r>
            <w:r w:rsidRPr="00A514DC">
              <w:rPr>
                <w:rFonts w:ascii="Arial" w:hAnsi="Arial" w:cs="Arial"/>
                <w:noProof/>
                <w:webHidden/>
                <w:sz w:val="20"/>
                <w:szCs w:val="20"/>
              </w:rPr>
              <w:instrText xml:space="preserve"> PAGEREF _Toc42494722 \h </w:instrText>
            </w:r>
            <w:r w:rsidRPr="00A514DC">
              <w:rPr>
                <w:rFonts w:ascii="Arial" w:hAnsi="Arial" w:cs="Arial"/>
                <w:noProof/>
                <w:webHidden/>
                <w:sz w:val="20"/>
                <w:szCs w:val="20"/>
              </w:rPr>
            </w:r>
            <w:r w:rsidRPr="00A514DC">
              <w:rPr>
                <w:rFonts w:ascii="Arial" w:hAnsi="Arial" w:cs="Arial"/>
                <w:noProof/>
                <w:webHidden/>
                <w:sz w:val="20"/>
                <w:szCs w:val="20"/>
              </w:rPr>
              <w:fldChar w:fldCharType="separate"/>
            </w:r>
            <w:r w:rsidRPr="00A514DC">
              <w:rPr>
                <w:rFonts w:ascii="Arial" w:hAnsi="Arial" w:cs="Arial"/>
                <w:noProof/>
                <w:webHidden/>
                <w:sz w:val="20"/>
                <w:szCs w:val="20"/>
              </w:rPr>
              <w:t>10</w:t>
            </w:r>
            <w:r w:rsidRPr="00A514DC">
              <w:rPr>
                <w:rFonts w:ascii="Arial" w:hAnsi="Arial" w:cs="Arial"/>
                <w:noProof/>
                <w:webHidden/>
                <w:sz w:val="20"/>
                <w:szCs w:val="20"/>
              </w:rPr>
              <w:fldChar w:fldCharType="end"/>
            </w:r>
          </w:hyperlink>
        </w:p>
        <w:p w14:paraId="09FBB7F5" w14:textId="7B66CB9D" w:rsidR="008528B6" w:rsidRPr="00A514DC" w:rsidRDefault="008528B6">
          <w:pPr>
            <w:pStyle w:val="TOC1"/>
            <w:tabs>
              <w:tab w:val="right" w:leader="dot" w:pos="9016"/>
            </w:tabs>
            <w:rPr>
              <w:rFonts w:ascii="Arial" w:eastAsiaTheme="minorEastAsia" w:hAnsi="Arial" w:cs="Arial"/>
              <w:noProof/>
              <w:sz w:val="20"/>
              <w:szCs w:val="20"/>
              <w:lang w:eastAsia="en-GB"/>
            </w:rPr>
          </w:pPr>
          <w:hyperlink w:anchor="_Toc42494723" w:history="1">
            <w:r w:rsidRPr="00A514DC">
              <w:rPr>
                <w:rStyle w:val="Hyperlink"/>
                <w:rFonts w:ascii="Arial" w:hAnsi="Arial" w:cs="Arial"/>
                <w:noProof/>
                <w:sz w:val="20"/>
                <w:szCs w:val="20"/>
              </w:rPr>
              <w:t>Supplementary Table 2: Mean levels (mg/dl) of selected lipid biomarkers (197 studies)</w:t>
            </w:r>
            <w:r w:rsidRPr="00A514DC">
              <w:rPr>
                <w:rFonts w:ascii="Arial" w:hAnsi="Arial" w:cs="Arial"/>
                <w:noProof/>
                <w:webHidden/>
                <w:sz w:val="20"/>
                <w:szCs w:val="20"/>
              </w:rPr>
              <w:tab/>
            </w:r>
            <w:r w:rsidRPr="00A514DC">
              <w:rPr>
                <w:rFonts w:ascii="Arial" w:hAnsi="Arial" w:cs="Arial"/>
                <w:noProof/>
                <w:webHidden/>
                <w:sz w:val="20"/>
                <w:szCs w:val="20"/>
              </w:rPr>
              <w:fldChar w:fldCharType="begin"/>
            </w:r>
            <w:r w:rsidRPr="00A514DC">
              <w:rPr>
                <w:rFonts w:ascii="Arial" w:hAnsi="Arial" w:cs="Arial"/>
                <w:noProof/>
                <w:webHidden/>
                <w:sz w:val="20"/>
                <w:szCs w:val="20"/>
              </w:rPr>
              <w:instrText xml:space="preserve"> PAGEREF _Toc42494723 \h </w:instrText>
            </w:r>
            <w:r w:rsidRPr="00A514DC">
              <w:rPr>
                <w:rFonts w:ascii="Arial" w:hAnsi="Arial" w:cs="Arial"/>
                <w:noProof/>
                <w:webHidden/>
                <w:sz w:val="20"/>
                <w:szCs w:val="20"/>
              </w:rPr>
            </w:r>
            <w:r w:rsidRPr="00A514DC">
              <w:rPr>
                <w:rFonts w:ascii="Arial" w:hAnsi="Arial" w:cs="Arial"/>
                <w:noProof/>
                <w:webHidden/>
                <w:sz w:val="20"/>
                <w:szCs w:val="20"/>
              </w:rPr>
              <w:fldChar w:fldCharType="separate"/>
            </w:r>
            <w:r w:rsidRPr="00A514DC">
              <w:rPr>
                <w:rFonts w:ascii="Arial" w:hAnsi="Arial" w:cs="Arial"/>
                <w:noProof/>
                <w:webHidden/>
                <w:sz w:val="20"/>
                <w:szCs w:val="20"/>
              </w:rPr>
              <w:t>30</w:t>
            </w:r>
            <w:r w:rsidRPr="00A514DC">
              <w:rPr>
                <w:rFonts w:ascii="Arial" w:hAnsi="Arial" w:cs="Arial"/>
                <w:noProof/>
                <w:webHidden/>
                <w:sz w:val="20"/>
                <w:szCs w:val="20"/>
              </w:rPr>
              <w:fldChar w:fldCharType="end"/>
            </w:r>
          </w:hyperlink>
        </w:p>
        <w:p w14:paraId="18CCE362" w14:textId="745864B7" w:rsidR="008528B6" w:rsidRPr="00A514DC" w:rsidRDefault="008528B6">
          <w:pPr>
            <w:pStyle w:val="TOC1"/>
            <w:tabs>
              <w:tab w:val="right" w:leader="dot" w:pos="9016"/>
            </w:tabs>
            <w:rPr>
              <w:rFonts w:ascii="Arial" w:eastAsiaTheme="minorEastAsia" w:hAnsi="Arial" w:cs="Arial"/>
              <w:noProof/>
              <w:sz w:val="20"/>
              <w:szCs w:val="20"/>
              <w:lang w:eastAsia="en-GB"/>
            </w:rPr>
          </w:pPr>
          <w:hyperlink w:anchor="_Toc42494724" w:history="1">
            <w:r w:rsidRPr="00A514DC">
              <w:rPr>
                <w:rStyle w:val="Hyperlink"/>
                <w:rFonts w:ascii="Arial" w:hAnsi="Arial" w:cs="Arial"/>
                <w:noProof/>
                <w:sz w:val="20"/>
                <w:szCs w:val="20"/>
              </w:rPr>
              <w:t>Supplementary Table 3: prevalence estimates of selected lipid biomarkers (197 studies)</w:t>
            </w:r>
            <w:r w:rsidRPr="00A514DC">
              <w:rPr>
                <w:rFonts w:ascii="Arial" w:hAnsi="Arial" w:cs="Arial"/>
                <w:noProof/>
                <w:webHidden/>
                <w:sz w:val="20"/>
                <w:szCs w:val="20"/>
              </w:rPr>
              <w:tab/>
            </w:r>
            <w:r w:rsidRPr="00A514DC">
              <w:rPr>
                <w:rFonts w:ascii="Arial" w:hAnsi="Arial" w:cs="Arial"/>
                <w:noProof/>
                <w:webHidden/>
                <w:sz w:val="20"/>
                <w:szCs w:val="20"/>
              </w:rPr>
              <w:fldChar w:fldCharType="begin"/>
            </w:r>
            <w:r w:rsidRPr="00A514DC">
              <w:rPr>
                <w:rFonts w:ascii="Arial" w:hAnsi="Arial" w:cs="Arial"/>
                <w:noProof/>
                <w:webHidden/>
                <w:sz w:val="20"/>
                <w:szCs w:val="20"/>
              </w:rPr>
              <w:instrText xml:space="preserve"> PAGEREF _Toc42494724 \h </w:instrText>
            </w:r>
            <w:r w:rsidRPr="00A514DC">
              <w:rPr>
                <w:rFonts w:ascii="Arial" w:hAnsi="Arial" w:cs="Arial"/>
                <w:noProof/>
                <w:webHidden/>
                <w:sz w:val="20"/>
                <w:szCs w:val="20"/>
              </w:rPr>
            </w:r>
            <w:r w:rsidRPr="00A514DC">
              <w:rPr>
                <w:rFonts w:ascii="Arial" w:hAnsi="Arial" w:cs="Arial"/>
                <w:noProof/>
                <w:webHidden/>
                <w:sz w:val="20"/>
                <w:szCs w:val="20"/>
              </w:rPr>
              <w:fldChar w:fldCharType="separate"/>
            </w:r>
            <w:r w:rsidRPr="00A514DC">
              <w:rPr>
                <w:rFonts w:ascii="Arial" w:hAnsi="Arial" w:cs="Arial"/>
                <w:noProof/>
                <w:webHidden/>
                <w:sz w:val="20"/>
                <w:szCs w:val="20"/>
              </w:rPr>
              <w:t>37</w:t>
            </w:r>
            <w:r w:rsidRPr="00A514DC">
              <w:rPr>
                <w:rFonts w:ascii="Arial" w:hAnsi="Arial" w:cs="Arial"/>
                <w:noProof/>
                <w:webHidden/>
                <w:sz w:val="20"/>
                <w:szCs w:val="20"/>
              </w:rPr>
              <w:fldChar w:fldCharType="end"/>
            </w:r>
          </w:hyperlink>
        </w:p>
        <w:p w14:paraId="073BF4FB" w14:textId="34AF3255" w:rsidR="008528B6" w:rsidRPr="00A514DC" w:rsidRDefault="008528B6">
          <w:pPr>
            <w:pStyle w:val="TOC1"/>
            <w:tabs>
              <w:tab w:val="right" w:leader="dot" w:pos="9016"/>
            </w:tabs>
            <w:rPr>
              <w:rFonts w:ascii="Arial" w:eastAsiaTheme="minorEastAsia" w:hAnsi="Arial" w:cs="Arial"/>
              <w:noProof/>
              <w:sz w:val="20"/>
              <w:szCs w:val="20"/>
              <w:lang w:eastAsia="en-GB"/>
            </w:rPr>
          </w:pPr>
          <w:hyperlink w:anchor="_Toc42494725" w:history="1">
            <w:r w:rsidRPr="00A514DC">
              <w:rPr>
                <w:rStyle w:val="Hyperlink"/>
                <w:rFonts w:ascii="Arial" w:hAnsi="Arial" w:cs="Arial"/>
                <w:noProof/>
                <w:sz w:val="20"/>
                <w:szCs w:val="20"/>
              </w:rPr>
              <w:t>Supplementary Table 4: Selected lipid clinical guidelines from Latin America and the Caribbean</w:t>
            </w:r>
            <w:r w:rsidRPr="00A514DC">
              <w:rPr>
                <w:rFonts w:ascii="Arial" w:hAnsi="Arial" w:cs="Arial"/>
                <w:noProof/>
                <w:webHidden/>
                <w:sz w:val="20"/>
                <w:szCs w:val="20"/>
              </w:rPr>
              <w:tab/>
            </w:r>
            <w:r w:rsidRPr="00A514DC">
              <w:rPr>
                <w:rFonts w:ascii="Arial" w:hAnsi="Arial" w:cs="Arial"/>
                <w:noProof/>
                <w:webHidden/>
                <w:sz w:val="20"/>
                <w:szCs w:val="20"/>
              </w:rPr>
              <w:fldChar w:fldCharType="begin"/>
            </w:r>
            <w:r w:rsidRPr="00A514DC">
              <w:rPr>
                <w:rFonts w:ascii="Arial" w:hAnsi="Arial" w:cs="Arial"/>
                <w:noProof/>
                <w:webHidden/>
                <w:sz w:val="20"/>
                <w:szCs w:val="20"/>
              </w:rPr>
              <w:instrText xml:space="preserve"> PAGEREF _Toc42494725 \h </w:instrText>
            </w:r>
            <w:r w:rsidRPr="00A514DC">
              <w:rPr>
                <w:rFonts w:ascii="Arial" w:hAnsi="Arial" w:cs="Arial"/>
                <w:noProof/>
                <w:webHidden/>
                <w:sz w:val="20"/>
                <w:szCs w:val="20"/>
              </w:rPr>
            </w:r>
            <w:r w:rsidRPr="00A514DC">
              <w:rPr>
                <w:rFonts w:ascii="Arial" w:hAnsi="Arial" w:cs="Arial"/>
                <w:noProof/>
                <w:webHidden/>
                <w:sz w:val="20"/>
                <w:szCs w:val="20"/>
              </w:rPr>
              <w:fldChar w:fldCharType="separate"/>
            </w:r>
            <w:r w:rsidRPr="00A514DC">
              <w:rPr>
                <w:rFonts w:ascii="Arial" w:hAnsi="Arial" w:cs="Arial"/>
                <w:noProof/>
                <w:webHidden/>
                <w:sz w:val="20"/>
                <w:szCs w:val="20"/>
              </w:rPr>
              <w:t>45</w:t>
            </w:r>
            <w:r w:rsidRPr="00A514DC">
              <w:rPr>
                <w:rFonts w:ascii="Arial" w:hAnsi="Arial" w:cs="Arial"/>
                <w:noProof/>
                <w:webHidden/>
                <w:sz w:val="20"/>
                <w:szCs w:val="20"/>
              </w:rPr>
              <w:fldChar w:fldCharType="end"/>
            </w:r>
          </w:hyperlink>
        </w:p>
        <w:p w14:paraId="2231F483" w14:textId="0DB7879D" w:rsidR="008528B6" w:rsidRPr="00A514DC" w:rsidRDefault="008528B6">
          <w:pPr>
            <w:pStyle w:val="TOC1"/>
            <w:tabs>
              <w:tab w:val="right" w:leader="dot" w:pos="9016"/>
            </w:tabs>
            <w:rPr>
              <w:rFonts w:ascii="Arial" w:eastAsiaTheme="minorEastAsia" w:hAnsi="Arial" w:cs="Arial"/>
              <w:noProof/>
              <w:sz w:val="20"/>
              <w:szCs w:val="20"/>
              <w:lang w:eastAsia="en-GB"/>
            </w:rPr>
          </w:pPr>
          <w:hyperlink w:anchor="_Toc42494726" w:history="1">
            <w:r w:rsidRPr="00A514DC">
              <w:rPr>
                <w:rStyle w:val="Hyperlink"/>
                <w:rFonts w:ascii="Arial" w:hAnsi="Arial" w:cs="Arial"/>
                <w:noProof/>
                <w:sz w:val="20"/>
                <w:szCs w:val="20"/>
              </w:rPr>
              <w:t>Supplementary Table 5: Country classification into sub-regions</w:t>
            </w:r>
            <w:r w:rsidRPr="00A514DC">
              <w:rPr>
                <w:rFonts w:ascii="Arial" w:hAnsi="Arial" w:cs="Arial"/>
                <w:noProof/>
                <w:webHidden/>
                <w:sz w:val="20"/>
                <w:szCs w:val="20"/>
              </w:rPr>
              <w:tab/>
            </w:r>
            <w:r w:rsidRPr="00A514DC">
              <w:rPr>
                <w:rFonts w:ascii="Arial" w:hAnsi="Arial" w:cs="Arial"/>
                <w:noProof/>
                <w:webHidden/>
                <w:sz w:val="20"/>
                <w:szCs w:val="20"/>
              </w:rPr>
              <w:fldChar w:fldCharType="begin"/>
            </w:r>
            <w:r w:rsidRPr="00A514DC">
              <w:rPr>
                <w:rFonts w:ascii="Arial" w:hAnsi="Arial" w:cs="Arial"/>
                <w:noProof/>
                <w:webHidden/>
                <w:sz w:val="20"/>
                <w:szCs w:val="20"/>
              </w:rPr>
              <w:instrText xml:space="preserve"> PAGEREF _Toc42494726 \h </w:instrText>
            </w:r>
            <w:r w:rsidRPr="00A514DC">
              <w:rPr>
                <w:rFonts w:ascii="Arial" w:hAnsi="Arial" w:cs="Arial"/>
                <w:noProof/>
                <w:webHidden/>
                <w:sz w:val="20"/>
                <w:szCs w:val="20"/>
              </w:rPr>
            </w:r>
            <w:r w:rsidRPr="00A514DC">
              <w:rPr>
                <w:rFonts w:ascii="Arial" w:hAnsi="Arial" w:cs="Arial"/>
                <w:noProof/>
                <w:webHidden/>
                <w:sz w:val="20"/>
                <w:szCs w:val="20"/>
              </w:rPr>
              <w:fldChar w:fldCharType="separate"/>
            </w:r>
            <w:r w:rsidRPr="00A514DC">
              <w:rPr>
                <w:rFonts w:ascii="Arial" w:hAnsi="Arial" w:cs="Arial"/>
                <w:noProof/>
                <w:webHidden/>
                <w:sz w:val="20"/>
                <w:szCs w:val="20"/>
              </w:rPr>
              <w:t>47</w:t>
            </w:r>
            <w:r w:rsidRPr="00A514DC">
              <w:rPr>
                <w:rFonts w:ascii="Arial" w:hAnsi="Arial" w:cs="Arial"/>
                <w:noProof/>
                <w:webHidden/>
                <w:sz w:val="20"/>
                <w:szCs w:val="20"/>
              </w:rPr>
              <w:fldChar w:fldCharType="end"/>
            </w:r>
          </w:hyperlink>
        </w:p>
        <w:p w14:paraId="024750EF" w14:textId="163201E9" w:rsidR="000745F8" w:rsidRPr="00254ECF" w:rsidRDefault="000745F8" w:rsidP="00913A5B">
          <w:pPr>
            <w:spacing w:line="480" w:lineRule="auto"/>
            <w:jc w:val="both"/>
          </w:pPr>
          <w:r w:rsidRPr="00A514DC">
            <w:rPr>
              <w:rFonts w:ascii="Arial" w:hAnsi="Arial" w:cs="Arial"/>
              <w:noProof/>
              <w:sz w:val="20"/>
              <w:szCs w:val="20"/>
            </w:rPr>
            <w:fldChar w:fldCharType="end"/>
          </w:r>
        </w:p>
      </w:sdtContent>
    </w:sdt>
    <w:p w14:paraId="04F8A384" w14:textId="77777777" w:rsidR="000745F8" w:rsidRPr="00254ECF" w:rsidRDefault="000745F8">
      <w:r w:rsidRPr="00254ECF">
        <w:br w:type="page"/>
      </w:r>
    </w:p>
    <w:p w14:paraId="3ADF81ED" w14:textId="77777777" w:rsidR="00792780" w:rsidRDefault="00792780" w:rsidP="00792780">
      <w:pPr>
        <w:pStyle w:val="Heading1"/>
        <w:jc w:val="both"/>
        <w:rPr>
          <w:rFonts w:asciiTheme="minorHAnsi" w:hAnsiTheme="minorHAnsi" w:cstheme="minorHAnsi"/>
          <w:color w:val="auto"/>
          <w:sz w:val="22"/>
        </w:rPr>
        <w:sectPr w:rsidR="00792780">
          <w:footerReference w:type="default" r:id="rId8"/>
          <w:pgSz w:w="11906" w:h="16838"/>
          <w:pgMar w:top="1440" w:right="1440" w:bottom="1440" w:left="1440" w:header="708" w:footer="708" w:gutter="0"/>
          <w:cols w:space="708"/>
          <w:docGrid w:linePitch="360"/>
        </w:sectPr>
      </w:pPr>
    </w:p>
    <w:p w14:paraId="34949B48" w14:textId="77777777" w:rsidR="00792780" w:rsidRPr="0062442A" w:rsidRDefault="00792780" w:rsidP="00792780">
      <w:pPr>
        <w:pStyle w:val="Heading1"/>
        <w:jc w:val="both"/>
        <w:rPr>
          <w:rFonts w:ascii="Arial" w:hAnsi="Arial" w:cs="Arial"/>
          <w:color w:val="auto"/>
          <w:sz w:val="20"/>
          <w:szCs w:val="20"/>
        </w:rPr>
      </w:pPr>
      <w:bookmarkStart w:id="1" w:name="_Toc42494716"/>
      <w:r w:rsidRPr="0062442A">
        <w:rPr>
          <w:rFonts w:ascii="Arial" w:hAnsi="Arial" w:cs="Arial"/>
          <w:color w:val="auto"/>
          <w:sz w:val="20"/>
          <w:szCs w:val="20"/>
        </w:rPr>
        <w:lastRenderedPageBreak/>
        <w:t xml:space="preserve">PRISMA 2009 </w:t>
      </w:r>
      <w:proofErr w:type="spellStart"/>
      <w:r w:rsidRPr="0062442A">
        <w:rPr>
          <w:rFonts w:ascii="Arial" w:hAnsi="Arial" w:cs="Arial"/>
          <w:color w:val="auto"/>
          <w:sz w:val="20"/>
          <w:szCs w:val="20"/>
        </w:rPr>
        <w:t>Checklist</w:t>
      </w:r>
      <w:bookmarkEnd w:id="1"/>
      <w:proofErr w:type="spellEnd"/>
    </w:p>
    <w:p w14:paraId="15B3D95E" w14:textId="77777777" w:rsidR="00792780" w:rsidRPr="0062442A" w:rsidRDefault="00792780" w:rsidP="00792780">
      <w:pPr>
        <w:pStyle w:val="NoSpacing"/>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2610"/>
        <w:gridCol w:w="505"/>
        <w:gridCol w:w="9885"/>
        <w:gridCol w:w="1174"/>
      </w:tblGrid>
      <w:tr w:rsidR="00792780" w:rsidRPr="0062442A" w14:paraId="16ABCACA" w14:textId="77777777" w:rsidTr="003A2BC0">
        <w:trPr>
          <w:trHeight w:val="663"/>
        </w:trPr>
        <w:tc>
          <w:tcPr>
            <w:tcW w:w="921"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02955FE0"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Section</w:t>
            </w:r>
            <w:proofErr w:type="spellEnd"/>
            <w:r w:rsidRPr="0062442A">
              <w:rPr>
                <w:rFonts w:ascii="Arial" w:hAnsi="Arial" w:cs="Arial"/>
                <w:sz w:val="20"/>
                <w:szCs w:val="20"/>
              </w:rPr>
              <w:t>/</w:t>
            </w:r>
            <w:proofErr w:type="spellStart"/>
            <w:r w:rsidRPr="0062442A">
              <w:rPr>
                <w:rFonts w:ascii="Arial" w:hAnsi="Arial" w:cs="Arial"/>
                <w:sz w:val="20"/>
                <w:szCs w:val="20"/>
              </w:rPr>
              <w:t>topic</w:t>
            </w:r>
            <w:proofErr w:type="spellEnd"/>
            <w:r w:rsidRPr="0062442A">
              <w:rPr>
                <w:rFonts w:ascii="Arial" w:hAnsi="Arial" w:cs="Arial"/>
                <w:sz w:val="20"/>
                <w:szCs w:val="20"/>
              </w:rPr>
              <w:t xml:space="preserve"> </w:t>
            </w:r>
          </w:p>
        </w:tc>
        <w:tc>
          <w:tcPr>
            <w:tcW w:w="178"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378BD38A"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w:t>
            </w:r>
          </w:p>
        </w:tc>
        <w:tc>
          <w:tcPr>
            <w:tcW w:w="3487"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0A3F33B3"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Checklist</w:t>
            </w:r>
            <w:proofErr w:type="spellEnd"/>
            <w:r w:rsidRPr="0062442A">
              <w:rPr>
                <w:rFonts w:ascii="Arial" w:hAnsi="Arial" w:cs="Arial"/>
                <w:sz w:val="20"/>
                <w:szCs w:val="20"/>
              </w:rPr>
              <w:t xml:space="preserve"> </w:t>
            </w:r>
            <w:proofErr w:type="spellStart"/>
            <w:r w:rsidRPr="0062442A">
              <w:rPr>
                <w:rFonts w:ascii="Arial" w:hAnsi="Arial" w:cs="Arial"/>
                <w:sz w:val="20"/>
                <w:szCs w:val="20"/>
              </w:rPr>
              <w:t>item</w:t>
            </w:r>
            <w:proofErr w:type="spellEnd"/>
            <w:r w:rsidRPr="0062442A">
              <w:rPr>
                <w:rFonts w:ascii="Arial" w:hAnsi="Arial" w:cs="Arial"/>
                <w:sz w:val="20"/>
                <w:szCs w:val="20"/>
              </w:rPr>
              <w:t xml:space="preserve"> </w:t>
            </w:r>
          </w:p>
        </w:tc>
        <w:tc>
          <w:tcPr>
            <w:tcW w:w="414"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35AF06FC" w14:textId="68496ECC" w:rsidR="00792780" w:rsidRPr="0062442A" w:rsidRDefault="00792780" w:rsidP="003A2BC0">
            <w:pPr>
              <w:pStyle w:val="NoSpacing"/>
              <w:jc w:val="center"/>
              <w:rPr>
                <w:rFonts w:ascii="Arial" w:hAnsi="Arial" w:cs="Arial"/>
                <w:sz w:val="20"/>
                <w:szCs w:val="20"/>
              </w:rPr>
            </w:pPr>
            <w:proofErr w:type="spellStart"/>
            <w:r w:rsidRPr="0062442A">
              <w:rPr>
                <w:rFonts w:ascii="Arial" w:hAnsi="Arial" w:cs="Arial"/>
                <w:sz w:val="20"/>
                <w:szCs w:val="20"/>
              </w:rPr>
              <w:t>Reported</w:t>
            </w:r>
            <w:proofErr w:type="spellEnd"/>
            <w:r w:rsidRPr="0062442A">
              <w:rPr>
                <w:rFonts w:ascii="Arial" w:hAnsi="Arial" w:cs="Arial"/>
                <w:sz w:val="20"/>
                <w:szCs w:val="20"/>
              </w:rPr>
              <w:t xml:space="preserve"> </w:t>
            </w:r>
            <w:proofErr w:type="spellStart"/>
            <w:r w:rsidRPr="0062442A">
              <w:rPr>
                <w:rFonts w:ascii="Arial" w:hAnsi="Arial" w:cs="Arial"/>
                <w:sz w:val="20"/>
                <w:szCs w:val="20"/>
              </w:rPr>
              <w:t>on</w:t>
            </w:r>
            <w:proofErr w:type="spellEnd"/>
            <w:r w:rsidRPr="0062442A">
              <w:rPr>
                <w:rFonts w:ascii="Arial" w:hAnsi="Arial" w:cs="Arial"/>
                <w:sz w:val="20"/>
                <w:szCs w:val="20"/>
              </w:rPr>
              <w:t xml:space="preserve"> page #</w:t>
            </w:r>
          </w:p>
        </w:tc>
      </w:tr>
      <w:tr w:rsidR="00792780" w:rsidRPr="0062442A" w14:paraId="2AA40AEA" w14:textId="77777777" w:rsidTr="003A2BC0">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78F67AC"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 xml:space="preserve">TITLE </w:t>
            </w:r>
          </w:p>
        </w:tc>
        <w:tc>
          <w:tcPr>
            <w:tcW w:w="414" w:type="pct"/>
            <w:tcBorders>
              <w:top w:val="double" w:sz="5" w:space="0" w:color="000000"/>
              <w:left w:val="single" w:sz="5" w:space="0" w:color="000000"/>
              <w:bottom w:val="single" w:sz="5" w:space="0" w:color="000000"/>
              <w:right w:val="single" w:sz="5" w:space="0" w:color="000000"/>
            </w:tcBorders>
            <w:shd w:val="clear" w:color="auto" w:fill="FFFFCC"/>
            <w:vAlign w:val="center"/>
          </w:tcPr>
          <w:p w14:paraId="3389057B" w14:textId="77777777" w:rsidR="00792780" w:rsidRPr="0062442A" w:rsidRDefault="00792780" w:rsidP="003A2BC0">
            <w:pPr>
              <w:pStyle w:val="NoSpacing"/>
              <w:jc w:val="center"/>
              <w:rPr>
                <w:rFonts w:ascii="Arial" w:hAnsi="Arial" w:cs="Arial"/>
                <w:sz w:val="20"/>
                <w:szCs w:val="20"/>
              </w:rPr>
            </w:pPr>
          </w:p>
        </w:tc>
      </w:tr>
      <w:tr w:rsidR="00792780" w:rsidRPr="0062442A" w14:paraId="6FC1DB15" w14:textId="77777777" w:rsidTr="003A2BC0">
        <w:trPr>
          <w:trHeight w:val="323"/>
        </w:trPr>
        <w:tc>
          <w:tcPr>
            <w:tcW w:w="921" w:type="pct"/>
            <w:tcBorders>
              <w:top w:val="single" w:sz="5" w:space="0" w:color="000000"/>
              <w:left w:val="single" w:sz="5" w:space="0" w:color="000000"/>
              <w:bottom w:val="double" w:sz="2" w:space="0" w:color="FFFFCC"/>
              <w:right w:val="single" w:sz="5" w:space="0" w:color="000000"/>
            </w:tcBorders>
          </w:tcPr>
          <w:p w14:paraId="72437491"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Title</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double" w:sz="2" w:space="0" w:color="FFFFCC"/>
              <w:right w:val="single" w:sz="5" w:space="0" w:color="000000"/>
            </w:tcBorders>
          </w:tcPr>
          <w:p w14:paraId="20DBDC68"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1</w:t>
            </w:r>
          </w:p>
        </w:tc>
        <w:tc>
          <w:tcPr>
            <w:tcW w:w="3487" w:type="pct"/>
            <w:tcBorders>
              <w:top w:val="single" w:sz="5" w:space="0" w:color="000000"/>
              <w:left w:val="single" w:sz="5" w:space="0" w:color="000000"/>
              <w:bottom w:val="double" w:sz="5" w:space="0" w:color="000000"/>
              <w:right w:val="single" w:sz="5" w:space="0" w:color="000000"/>
            </w:tcBorders>
          </w:tcPr>
          <w:p w14:paraId="2DA353D4"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Identify the report as a systematic review, meta-analysis, or both. </w:t>
            </w:r>
          </w:p>
        </w:tc>
        <w:tc>
          <w:tcPr>
            <w:tcW w:w="414" w:type="pct"/>
            <w:tcBorders>
              <w:top w:val="single" w:sz="5" w:space="0" w:color="000000"/>
              <w:left w:val="single" w:sz="5" w:space="0" w:color="000000"/>
              <w:bottom w:val="double" w:sz="5" w:space="0" w:color="000000"/>
              <w:right w:val="single" w:sz="5" w:space="0" w:color="000000"/>
            </w:tcBorders>
            <w:vAlign w:val="center"/>
          </w:tcPr>
          <w:p w14:paraId="6DD3C1E2" w14:textId="579D5A8F"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01</w:t>
            </w:r>
          </w:p>
        </w:tc>
      </w:tr>
      <w:tr w:rsidR="00792780" w:rsidRPr="0062442A" w14:paraId="3EB0A6C5" w14:textId="77777777" w:rsidTr="003A2BC0">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FEA8B1"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 xml:space="preserve">ABSTRACT </w:t>
            </w:r>
          </w:p>
        </w:tc>
        <w:tc>
          <w:tcPr>
            <w:tcW w:w="414" w:type="pct"/>
            <w:tcBorders>
              <w:top w:val="double" w:sz="5" w:space="0" w:color="000000"/>
              <w:left w:val="single" w:sz="5" w:space="0" w:color="000000"/>
              <w:bottom w:val="single" w:sz="5" w:space="0" w:color="000000"/>
              <w:right w:val="single" w:sz="5" w:space="0" w:color="000000"/>
            </w:tcBorders>
            <w:shd w:val="clear" w:color="auto" w:fill="FFFFCC"/>
            <w:vAlign w:val="center"/>
          </w:tcPr>
          <w:p w14:paraId="169A7614" w14:textId="77777777" w:rsidR="00792780" w:rsidRPr="0062442A" w:rsidRDefault="00792780" w:rsidP="003A2BC0">
            <w:pPr>
              <w:pStyle w:val="NoSpacing"/>
              <w:jc w:val="center"/>
              <w:rPr>
                <w:rFonts w:ascii="Arial" w:hAnsi="Arial" w:cs="Arial"/>
                <w:sz w:val="20"/>
                <w:szCs w:val="20"/>
              </w:rPr>
            </w:pPr>
          </w:p>
        </w:tc>
      </w:tr>
      <w:tr w:rsidR="00792780" w:rsidRPr="0062442A" w14:paraId="55B25378" w14:textId="77777777" w:rsidTr="003A2BC0">
        <w:trPr>
          <w:trHeight w:val="810"/>
        </w:trPr>
        <w:tc>
          <w:tcPr>
            <w:tcW w:w="921" w:type="pct"/>
            <w:tcBorders>
              <w:top w:val="single" w:sz="5" w:space="0" w:color="000000"/>
              <w:left w:val="single" w:sz="5" w:space="0" w:color="000000"/>
              <w:bottom w:val="double" w:sz="2" w:space="0" w:color="FFFFCC"/>
              <w:right w:val="single" w:sz="5" w:space="0" w:color="000000"/>
            </w:tcBorders>
          </w:tcPr>
          <w:p w14:paraId="19FAB4AD"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Structured</w:t>
            </w:r>
            <w:proofErr w:type="spellEnd"/>
            <w:r w:rsidRPr="0062442A">
              <w:rPr>
                <w:rFonts w:ascii="Arial" w:hAnsi="Arial" w:cs="Arial"/>
                <w:sz w:val="20"/>
                <w:szCs w:val="20"/>
              </w:rPr>
              <w:t xml:space="preserve"> </w:t>
            </w:r>
            <w:proofErr w:type="spellStart"/>
            <w:r w:rsidRPr="0062442A">
              <w:rPr>
                <w:rFonts w:ascii="Arial" w:hAnsi="Arial" w:cs="Arial"/>
                <w:sz w:val="20"/>
                <w:szCs w:val="20"/>
              </w:rPr>
              <w:t>summary</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double" w:sz="2" w:space="0" w:color="FFFFCC"/>
              <w:right w:val="single" w:sz="5" w:space="0" w:color="000000"/>
            </w:tcBorders>
          </w:tcPr>
          <w:p w14:paraId="41F213E9"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2</w:t>
            </w:r>
          </w:p>
        </w:tc>
        <w:tc>
          <w:tcPr>
            <w:tcW w:w="3487" w:type="pct"/>
            <w:tcBorders>
              <w:top w:val="single" w:sz="5" w:space="0" w:color="000000"/>
              <w:left w:val="single" w:sz="5" w:space="0" w:color="000000"/>
              <w:bottom w:val="double" w:sz="5" w:space="0" w:color="000000"/>
              <w:right w:val="single" w:sz="5" w:space="0" w:color="000000"/>
            </w:tcBorders>
          </w:tcPr>
          <w:p w14:paraId="7EF29AEC"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4" w:type="pct"/>
            <w:tcBorders>
              <w:top w:val="single" w:sz="5" w:space="0" w:color="000000"/>
              <w:left w:val="single" w:sz="5" w:space="0" w:color="000000"/>
              <w:bottom w:val="double" w:sz="5" w:space="0" w:color="000000"/>
              <w:right w:val="single" w:sz="5" w:space="0" w:color="000000"/>
            </w:tcBorders>
            <w:vAlign w:val="center"/>
          </w:tcPr>
          <w:p w14:paraId="3C2E424D" w14:textId="4AA7FBBC"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03</w:t>
            </w:r>
          </w:p>
        </w:tc>
      </w:tr>
      <w:tr w:rsidR="00792780" w:rsidRPr="0062442A" w14:paraId="274054AF" w14:textId="77777777" w:rsidTr="003A2BC0">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5391815"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 xml:space="preserve">INTRODUCTION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vAlign w:val="center"/>
          </w:tcPr>
          <w:p w14:paraId="6A5DB046" w14:textId="77777777" w:rsidR="00792780" w:rsidRPr="0062442A" w:rsidRDefault="00792780" w:rsidP="003A2BC0">
            <w:pPr>
              <w:pStyle w:val="NoSpacing"/>
              <w:jc w:val="center"/>
              <w:rPr>
                <w:rFonts w:ascii="Arial" w:hAnsi="Arial" w:cs="Arial"/>
                <w:sz w:val="20"/>
                <w:szCs w:val="20"/>
              </w:rPr>
            </w:pPr>
          </w:p>
        </w:tc>
      </w:tr>
      <w:tr w:rsidR="00792780" w:rsidRPr="0062442A" w14:paraId="7D9B6422" w14:textId="77777777" w:rsidTr="003A2BC0">
        <w:trPr>
          <w:trHeight w:val="333"/>
        </w:trPr>
        <w:tc>
          <w:tcPr>
            <w:tcW w:w="921" w:type="pct"/>
            <w:tcBorders>
              <w:top w:val="single" w:sz="5" w:space="0" w:color="000000"/>
              <w:left w:val="single" w:sz="5" w:space="0" w:color="000000"/>
              <w:bottom w:val="single" w:sz="5" w:space="0" w:color="000000"/>
              <w:right w:val="single" w:sz="5" w:space="0" w:color="000000"/>
            </w:tcBorders>
          </w:tcPr>
          <w:p w14:paraId="69FD7C96"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Rationale</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3CA17D7B"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3</w:t>
            </w:r>
          </w:p>
        </w:tc>
        <w:tc>
          <w:tcPr>
            <w:tcW w:w="3487" w:type="pct"/>
            <w:tcBorders>
              <w:top w:val="single" w:sz="5" w:space="0" w:color="000000"/>
              <w:left w:val="single" w:sz="5" w:space="0" w:color="000000"/>
              <w:bottom w:val="single" w:sz="5" w:space="0" w:color="000000"/>
              <w:right w:val="single" w:sz="5" w:space="0" w:color="000000"/>
            </w:tcBorders>
          </w:tcPr>
          <w:p w14:paraId="1A579C3F"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Describe the rationale for the review in the context of what is already known. </w:t>
            </w:r>
          </w:p>
        </w:tc>
        <w:tc>
          <w:tcPr>
            <w:tcW w:w="414" w:type="pct"/>
            <w:tcBorders>
              <w:top w:val="single" w:sz="5" w:space="0" w:color="000000"/>
              <w:left w:val="single" w:sz="5" w:space="0" w:color="000000"/>
              <w:bottom w:val="single" w:sz="5" w:space="0" w:color="000000"/>
              <w:right w:val="single" w:sz="5" w:space="0" w:color="000000"/>
            </w:tcBorders>
            <w:vAlign w:val="center"/>
          </w:tcPr>
          <w:p w14:paraId="2E11D815" w14:textId="297148B2"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04</w:t>
            </w:r>
          </w:p>
        </w:tc>
      </w:tr>
      <w:tr w:rsidR="00792780" w:rsidRPr="0062442A" w14:paraId="0686413E" w14:textId="77777777" w:rsidTr="003A2BC0">
        <w:trPr>
          <w:trHeight w:val="568"/>
        </w:trPr>
        <w:tc>
          <w:tcPr>
            <w:tcW w:w="921" w:type="pct"/>
            <w:tcBorders>
              <w:top w:val="single" w:sz="5" w:space="0" w:color="000000"/>
              <w:left w:val="single" w:sz="5" w:space="0" w:color="000000"/>
              <w:bottom w:val="double" w:sz="2" w:space="0" w:color="FFFFCC"/>
              <w:right w:val="single" w:sz="5" w:space="0" w:color="000000"/>
            </w:tcBorders>
          </w:tcPr>
          <w:p w14:paraId="4D5D69A2"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Objectives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double" w:sz="2" w:space="0" w:color="FFFFCC"/>
              <w:right w:val="single" w:sz="5" w:space="0" w:color="000000"/>
            </w:tcBorders>
          </w:tcPr>
          <w:p w14:paraId="13AA3A4E"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4</w:t>
            </w:r>
          </w:p>
        </w:tc>
        <w:tc>
          <w:tcPr>
            <w:tcW w:w="3487" w:type="pct"/>
            <w:tcBorders>
              <w:top w:val="single" w:sz="5" w:space="0" w:color="000000"/>
              <w:left w:val="single" w:sz="5" w:space="0" w:color="000000"/>
              <w:bottom w:val="double" w:sz="5" w:space="0" w:color="000000"/>
              <w:right w:val="single" w:sz="5" w:space="0" w:color="000000"/>
            </w:tcBorders>
          </w:tcPr>
          <w:p w14:paraId="048B7CA2"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Provide an explicit statement of questions being addressed with reference to participants, interventions, comparisons, outcomes, and study design (PICOS). </w:t>
            </w:r>
          </w:p>
        </w:tc>
        <w:tc>
          <w:tcPr>
            <w:tcW w:w="414" w:type="pct"/>
            <w:tcBorders>
              <w:top w:val="single" w:sz="5" w:space="0" w:color="000000"/>
              <w:left w:val="single" w:sz="5" w:space="0" w:color="000000"/>
              <w:bottom w:val="double" w:sz="5" w:space="0" w:color="000000"/>
              <w:right w:val="single" w:sz="5" w:space="0" w:color="000000"/>
            </w:tcBorders>
            <w:vAlign w:val="center"/>
          </w:tcPr>
          <w:p w14:paraId="76391276" w14:textId="79FE8FA1"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04</w:t>
            </w:r>
          </w:p>
        </w:tc>
      </w:tr>
      <w:tr w:rsidR="00792780" w:rsidRPr="0062442A" w14:paraId="1CB68F0E" w14:textId="77777777" w:rsidTr="003A2BC0">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7818B1D"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 xml:space="preserve">METHODS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vAlign w:val="center"/>
          </w:tcPr>
          <w:p w14:paraId="6FC2BC16" w14:textId="77777777" w:rsidR="00792780" w:rsidRPr="0062442A" w:rsidRDefault="00792780" w:rsidP="003A2BC0">
            <w:pPr>
              <w:pStyle w:val="NoSpacing"/>
              <w:jc w:val="center"/>
              <w:rPr>
                <w:rFonts w:ascii="Arial" w:hAnsi="Arial" w:cs="Arial"/>
                <w:sz w:val="20"/>
                <w:szCs w:val="20"/>
              </w:rPr>
            </w:pPr>
          </w:p>
        </w:tc>
      </w:tr>
      <w:tr w:rsidR="00792780" w:rsidRPr="0062442A" w14:paraId="340C8814"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229AD7B1"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Protocol</w:t>
            </w:r>
            <w:proofErr w:type="spellEnd"/>
            <w:r w:rsidRPr="0062442A">
              <w:rPr>
                <w:rFonts w:ascii="Arial" w:hAnsi="Arial" w:cs="Arial"/>
                <w:sz w:val="20"/>
                <w:szCs w:val="20"/>
              </w:rPr>
              <w:t xml:space="preserve"> and </w:t>
            </w:r>
            <w:proofErr w:type="spellStart"/>
            <w:r w:rsidRPr="0062442A">
              <w:rPr>
                <w:rFonts w:ascii="Arial" w:hAnsi="Arial" w:cs="Arial"/>
                <w:sz w:val="20"/>
                <w:szCs w:val="20"/>
              </w:rPr>
              <w:t>registration</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29515F58"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5</w:t>
            </w:r>
          </w:p>
        </w:tc>
        <w:tc>
          <w:tcPr>
            <w:tcW w:w="3487" w:type="pct"/>
            <w:tcBorders>
              <w:top w:val="single" w:sz="5" w:space="0" w:color="000000"/>
              <w:left w:val="single" w:sz="5" w:space="0" w:color="000000"/>
              <w:bottom w:val="single" w:sz="5" w:space="0" w:color="000000"/>
              <w:right w:val="single" w:sz="5" w:space="0" w:color="000000"/>
            </w:tcBorders>
          </w:tcPr>
          <w:p w14:paraId="31C375BB"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Indicate if a review protocol exists, if and where it can be accessed (e.g., Web address), and, if available, provide registration information including registration number. </w:t>
            </w:r>
          </w:p>
        </w:tc>
        <w:tc>
          <w:tcPr>
            <w:tcW w:w="414" w:type="pct"/>
            <w:tcBorders>
              <w:top w:val="single" w:sz="5" w:space="0" w:color="000000"/>
              <w:left w:val="single" w:sz="5" w:space="0" w:color="000000"/>
              <w:bottom w:val="single" w:sz="5" w:space="0" w:color="000000"/>
              <w:right w:val="single" w:sz="5" w:space="0" w:color="000000"/>
            </w:tcBorders>
            <w:vAlign w:val="center"/>
          </w:tcPr>
          <w:p w14:paraId="32885AB4" w14:textId="35D911D1"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05</w:t>
            </w:r>
          </w:p>
        </w:tc>
      </w:tr>
      <w:tr w:rsidR="00792780" w:rsidRPr="0062442A" w14:paraId="07128F13"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5FCD3530"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Eligibility</w:t>
            </w:r>
            <w:proofErr w:type="spellEnd"/>
            <w:r w:rsidRPr="0062442A">
              <w:rPr>
                <w:rFonts w:ascii="Arial" w:hAnsi="Arial" w:cs="Arial"/>
                <w:sz w:val="20"/>
                <w:szCs w:val="20"/>
              </w:rPr>
              <w:t xml:space="preserve"> </w:t>
            </w:r>
            <w:proofErr w:type="spellStart"/>
            <w:r w:rsidRPr="0062442A">
              <w:rPr>
                <w:rFonts w:ascii="Arial" w:hAnsi="Arial" w:cs="Arial"/>
                <w:sz w:val="20"/>
                <w:szCs w:val="20"/>
              </w:rPr>
              <w:t>criteria</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5E7E6F0B"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6</w:t>
            </w:r>
          </w:p>
        </w:tc>
        <w:tc>
          <w:tcPr>
            <w:tcW w:w="3487" w:type="pct"/>
            <w:tcBorders>
              <w:top w:val="single" w:sz="5" w:space="0" w:color="000000"/>
              <w:left w:val="single" w:sz="5" w:space="0" w:color="000000"/>
              <w:bottom w:val="single" w:sz="5" w:space="0" w:color="000000"/>
              <w:right w:val="single" w:sz="5" w:space="0" w:color="000000"/>
            </w:tcBorders>
          </w:tcPr>
          <w:p w14:paraId="3376D575"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Specify study characteristics (e.g., PICOS, length of follow-up) and report characteristics (e.g., years considered, language, publication status) used as criteria for eligibility, giving rationale. </w:t>
            </w:r>
          </w:p>
        </w:tc>
        <w:tc>
          <w:tcPr>
            <w:tcW w:w="414" w:type="pct"/>
            <w:tcBorders>
              <w:top w:val="single" w:sz="5" w:space="0" w:color="000000"/>
              <w:left w:val="single" w:sz="5" w:space="0" w:color="000000"/>
              <w:bottom w:val="single" w:sz="5" w:space="0" w:color="000000"/>
              <w:right w:val="single" w:sz="5" w:space="0" w:color="000000"/>
            </w:tcBorders>
            <w:vAlign w:val="center"/>
          </w:tcPr>
          <w:p w14:paraId="70E7C8E3" w14:textId="638D625B"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05</w:t>
            </w:r>
          </w:p>
        </w:tc>
      </w:tr>
      <w:tr w:rsidR="00792780" w:rsidRPr="0062442A" w14:paraId="0E70FB0E"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6E0780E0"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Information</w:t>
            </w:r>
            <w:proofErr w:type="spellEnd"/>
            <w:r w:rsidRPr="0062442A">
              <w:rPr>
                <w:rFonts w:ascii="Arial" w:hAnsi="Arial" w:cs="Arial"/>
                <w:sz w:val="20"/>
                <w:szCs w:val="20"/>
              </w:rPr>
              <w:t xml:space="preserve"> </w:t>
            </w:r>
            <w:proofErr w:type="spellStart"/>
            <w:r w:rsidRPr="0062442A">
              <w:rPr>
                <w:rFonts w:ascii="Arial" w:hAnsi="Arial" w:cs="Arial"/>
                <w:sz w:val="20"/>
                <w:szCs w:val="20"/>
              </w:rPr>
              <w:t>sources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30E7FB53"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7</w:t>
            </w:r>
          </w:p>
        </w:tc>
        <w:tc>
          <w:tcPr>
            <w:tcW w:w="3487" w:type="pct"/>
            <w:tcBorders>
              <w:top w:val="single" w:sz="5" w:space="0" w:color="000000"/>
              <w:left w:val="single" w:sz="5" w:space="0" w:color="000000"/>
              <w:bottom w:val="single" w:sz="5" w:space="0" w:color="000000"/>
              <w:right w:val="single" w:sz="5" w:space="0" w:color="000000"/>
            </w:tcBorders>
          </w:tcPr>
          <w:p w14:paraId="4EA172FF"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Describe all information sources (e.g., databases with dates of coverage, contact with study authors to identify additional studies) in the search and date last searched. </w:t>
            </w:r>
          </w:p>
        </w:tc>
        <w:tc>
          <w:tcPr>
            <w:tcW w:w="414" w:type="pct"/>
            <w:tcBorders>
              <w:top w:val="single" w:sz="5" w:space="0" w:color="000000"/>
              <w:left w:val="single" w:sz="5" w:space="0" w:color="000000"/>
              <w:bottom w:val="single" w:sz="5" w:space="0" w:color="000000"/>
              <w:right w:val="single" w:sz="5" w:space="0" w:color="000000"/>
            </w:tcBorders>
            <w:vAlign w:val="center"/>
          </w:tcPr>
          <w:p w14:paraId="22C5844B" w14:textId="42031852"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05</w:t>
            </w:r>
          </w:p>
        </w:tc>
      </w:tr>
      <w:tr w:rsidR="00792780" w:rsidRPr="0062442A" w14:paraId="599F7264"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1F5BF858"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Search</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2652FA8C"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8</w:t>
            </w:r>
          </w:p>
        </w:tc>
        <w:tc>
          <w:tcPr>
            <w:tcW w:w="3487" w:type="pct"/>
            <w:tcBorders>
              <w:top w:val="single" w:sz="5" w:space="0" w:color="000000"/>
              <w:left w:val="single" w:sz="5" w:space="0" w:color="000000"/>
              <w:bottom w:val="single" w:sz="5" w:space="0" w:color="000000"/>
              <w:right w:val="single" w:sz="5" w:space="0" w:color="000000"/>
            </w:tcBorders>
          </w:tcPr>
          <w:p w14:paraId="586297A3"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Present full electronic search strategy for at least one database, including any limits used, such that it could be repeated. </w:t>
            </w:r>
          </w:p>
        </w:tc>
        <w:tc>
          <w:tcPr>
            <w:tcW w:w="414" w:type="pct"/>
            <w:tcBorders>
              <w:top w:val="single" w:sz="5" w:space="0" w:color="000000"/>
              <w:left w:val="single" w:sz="5" w:space="0" w:color="000000"/>
              <w:bottom w:val="single" w:sz="5" w:space="0" w:color="000000"/>
              <w:right w:val="single" w:sz="5" w:space="0" w:color="000000"/>
            </w:tcBorders>
            <w:vAlign w:val="center"/>
          </w:tcPr>
          <w:p w14:paraId="59602CB1" w14:textId="0BC8E4C6"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06</w:t>
            </w:r>
          </w:p>
        </w:tc>
      </w:tr>
      <w:tr w:rsidR="00792780" w:rsidRPr="0062442A" w14:paraId="20AA518C"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54F45C57"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Study</w:t>
            </w:r>
            <w:proofErr w:type="spellEnd"/>
            <w:r w:rsidRPr="0062442A">
              <w:rPr>
                <w:rFonts w:ascii="Arial" w:hAnsi="Arial" w:cs="Arial"/>
                <w:sz w:val="20"/>
                <w:szCs w:val="20"/>
              </w:rPr>
              <w:t xml:space="preserve"> </w:t>
            </w:r>
            <w:proofErr w:type="spellStart"/>
            <w:r w:rsidRPr="0062442A">
              <w:rPr>
                <w:rFonts w:ascii="Arial" w:hAnsi="Arial" w:cs="Arial"/>
                <w:sz w:val="20"/>
                <w:szCs w:val="20"/>
              </w:rPr>
              <w:t>selection</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3D8752AB"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9</w:t>
            </w:r>
          </w:p>
        </w:tc>
        <w:tc>
          <w:tcPr>
            <w:tcW w:w="3487" w:type="pct"/>
            <w:tcBorders>
              <w:top w:val="single" w:sz="5" w:space="0" w:color="000000"/>
              <w:left w:val="single" w:sz="5" w:space="0" w:color="000000"/>
              <w:bottom w:val="single" w:sz="5" w:space="0" w:color="000000"/>
              <w:right w:val="single" w:sz="5" w:space="0" w:color="000000"/>
            </w:tcBorders>
          </w:tcPr>
          <w:p w14:paraId="0B7B3487"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State the process for selecting studies (i.e., screening, eligibility, included in systematic review, and, if applicable, included in the meta-analysis). </w:t>
            </w:r>
          </w:p>
        </w:tc>
        <w:tc>
          <w:tcPr>
            <w:tcW w:w="414" w:type="pct"/>
            <w:tcBorders>
              <w:top w:val="single" w:sz="5" w:space="0" w:color="000000"/>
              <w:left w:val="single" w:sz="5" w:space="0" w:color="000000"/>
              <w:bottom w:val="single" w:sz="5" w:space="0" w:color="000000"/>
              <w:right w:val="single" w:sz="5" w:space="0" w:color="000000"/>
            </w:tcBorders>
            <w:vAlign w:val="center"/>
          </w:tcPr>
          <w:p w14:paraId="109AE0AF" w14:textId="34FD3162"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06</w:t>
            </w:r>
          </w:p>
        </w:tc>
      </w:tr>
      <w:tr w:rsidR="00792780" w:rsidRPr="0062442A" w14:paraId="4F68846D"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410735A3"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 xml:space="preserve">Data </w:t>
            </w:r>
            <w:proofErr w:type="spellStart"/>
            <w:r w:rsidRPr="0062442A">
              <w:rPr>
                <w:rFonts w:ascii="Arial" w:hAnsi="Arial" w:cs="Arial"/>
                <w:sz w:val="20"/>
                <w:szCs w:val="20"/>
              </w:rPr>
              <w:t>collection</w:t>
            </w:r>
            <w:proofErr w:type="spellEnd"/>
            <w:r w:rsidRPr="0062442A">
              <w:rPr>
                <w:rFonts w:ascii="Arial" w:hAnsi="Arial" w:cs="Arial"/>
                <w:sz w:val="20"/>
                <w:szCs w:val="20"/>
              </w:rPr>
              <w:t xml:space="preserve"> </w:t>
            </w:r>
            <w:proofErr w:type="spellStart"/>
            <w:r w:rsidRPr="0062442A">
              <w:rPr>
                <w:rFonts w:ascii="Arial" w:hAnsi="Arial" w:cs="Arial"/>
                <w:sz w:val="20"/>
                <w:szCs w:val="20"/>
              </w:rPr>
              <w:t>process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4CA17685"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10</w:t>
            </w:r>
          </w:p>
        </w:tc>
        <w:tc>
          <w:tcPr>
            <w:tcW w:w="3487" w:type="pct"/>
            <w:tcBorders>
              <w:top w:val="single" w:sz="5" w:space="0" w:color="000000"/>
              <w:left w:val="single" w:sz="5" w:space="0" w:color="000000"/>
              <w:bottom w:val="single" w:sz="5" w:space="0" w:color="000000"/>
              <w:right w:val="single" w:sz="5" w:space="0" w:color="000000"/>
            </w:tcBorders>
          </w:tcPr>
          <w:p w14:paraId="694CB105"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Describe method of data extraction from reports (e.g., piloted forms, independently, in duplicate) and any processes for obtaining and confirming data from investigators. </w:t>
            </w:r>
          </w:p>
        </w:tc>
        <w:tc>
          <w:tcPr>
            <w:tcW w:w="414" w:type="pct"/>
            <w:tcBorders>
              <w:top w:val="single" w:sz="5" w:space="0" w:color="000000"/>
              <w:left w:val="single" w:sz="5" w:space="0" w:color="000000"/>
              <w:bottom w:val="single" w:sz="5" w:space="0" w:color="000000"/>
              <w:right w:val="single" w:sz="5" w:space="0" w:color="000000"/>
            </w:tcBorders>
            <w:vAlign w:val="center"/>
          </w:tcPr>
          <w:p w14:paraId="3E2FEB74" w14:textId="705C51F1"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06</w:t>
            </w:r>
          </w:p>
        </w:tc>
      </w:tr>
      <w:tr w:rsidR="00792780" w:rsidRPr="0062442A" w14:paraId="2461188A"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77AD27C8"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lastRenderedPageBreak/>
              <w:t xml:space="preserve">Data </w:t>
            </w:r>
            <w:proofErr w:type="spellStart"/>
            <w:r w:rsidRPr="0062442A">
              <w:rPr>
                <w:rFonts w:ascii="Arial" w:hAnsi="Arial" w:cs="Arial"/>
                <w:sz w:val="20"/>
                <w:szCs w:val="20"/>
              </w:rPr>
              <w:t>items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48DC09DC"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11</w:t>
            </w:r>
          </w:p>
        </w:tc>
        <w:tc>
          <w:tcPr>
            <w:tcW w:w="3487" w:type="pct"/>
            <w:tcBorders>
              <w:top w:val="single" w:sz="5" w:space="0" w:color="000000"/>
              <w:left w:val="single" w:sz="5" w:space="0" w:color="000000"/>
              <w:bottom w:val="single" w:sz="5" w:space="0" w:color="000000"/>
              <w:right w:val="single" w:sz="5" w:space="0" w:color="000000"/>
            </w:tcBorders>
          </w:tcPr>
          <w:p w14:paraId="3C730D78"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List and define all variables for which data were sought (e.g., PICOS, funding sources) and any assumptions and simplifications made. </w:t>
            </w:r>
          </w:p>
        </w:tc>
        <w:tc>
          <w:tcPr>
            <w:tcW w:w="414" w:type="pct"/>
            <w:tcBorders>
              <w:top w:val="single" w:sz="5" w:space="0" w:color="000000"/>
              <w:left w:val="single" w:sz="5" w:space="0" w:color="000000"/>
              <w:bottom w:val="single" w:sz="5" w:space="0" w:color="000000"/>
              <w:right w:val="single" w:sz="5" w:space="0" w:color="000000"/>
            </w:tcBorders>
            <w:vAlign w:val="center"/>
          </w:tcPr>
          <w:p w14:paraId="24D8988D" w14:textId="6FF8B197"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07</w:t>
            </w:r>
          </w:p>
        </w:tc>
      </w:tr>
      <w:tr w:rsidR="00792780" w:rsidRPr="0062442A" w14:paraId="144F75F1"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3BF72C44"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Risk of bias in individual studies </w:t>
            </w:r>
          </w:p>
        </w:tc>
        <w:tc>
          <w:tcPr>
            <w:tcW w:w="178" w:type="pct"/>
            <w:tcBorders>
              <w:top w:val="single" w:sz="5" w:space="0" w:color="000000"/>
              <w:left w:val="single" w:sz="5" w:space="0" w:color="000000"/>
              <w:bottom w:val="single" w:sz="5" w:space="0" w:color="000000"/>
              <w:right w:val="single" w:sz="5" w:space="0" w:color="000000"/>
            </w:tcBorders>
          </w:tcPr>
          <w:p w14:paraId="146A0725"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12</w:t>
            </w:r>
          </w:p>
        </w:tc>
        <w:tc>
          <w:tcPr>
            <w:tcW w:w="3487" w:type="pct"/>
            <w:tcBorders>
              <w:top w:val="single" w:sz="5" w:space="0" w:color="000000"/>
              <w:left w:val="single" w:sz="5" w:space="0" w:color="000000"/>
              <w:bottom w:val="single" w:sz="5" w:space="0" w:color="000000"/>
              <w:right w:val="single" w:sz="5" w:space="0" w:color="000000"/>
            </w:tcBorders>
          </w:tcPr>
          <w:p w14:paraId="42A0D322"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Describe methods used for assessing risk of bias of individual studies (including specification of whether this was done at the study or outcome level), and how this information is to be used in any data synthesis. </w:t>
            </w:r>
          </w:p>
        </w:tc>
        <w:tc>
          <w:tcPr>
            <w:tcW w:w="414" w:type="pct"/>
            <w:tcBorders>
              <w:top w:val="single" w:sz="5" w:space="0" w:color="000000"/>
              <w:left w:val="single" w:sz="5" w:space="0" w:color="000000"/>
              <w:bottom w:val="single" w:sz="5" w:space="0" w:color="000000"/>
              <w:right w:val="single" w:sz="5" w:space="0" w:color="000000"/>
            </w:tcBorders>
            <w:vAlign w:val="center"/>
          </w:tcPr>
          <w:p w14:paraId="2ED09E23" w14:textId="32C1E9B7"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07</w:t>
            </w:r>
          </w:p>
        </w:tc>
      </w:tr>
      <w:tr w:rsidR="00792780" w:rsidRPr="0062442A" w14:paraId="1878583A" w14:textId="77777777" w:rsidTr="003A2BC0">
        <w:trPr>
          <w:trHeight w:val="333"/>
        </w:trPr>
        <w:tc>
          <w:tcPr>
            <w:tcW w:w="921" w:type="pct"/>
            <w:tcBorders>
              <w:top w:val="single" w:sz="5" w:space="0" w:color="000000"/>
              <w:left w:val="single" w:sz="5" w:space="0" w:color="000000"/>
              <w:bottom w:val="single" w:sz="5" w:space="0" w:color="000000"/>
              <w:right w:val="single" w:sz="5" w:space="0" w:color="000000"/>
            </w:tcBorders>
          </w:tcPr>
          <w:p w14:paraId="476C4E21"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Summary</w:t>
            </w:r>
            <w:proofErr w:type="spellEnd"/>
            <w:r w:rsidRPr="0062442A">
              <w:rPr>
                <w:rFonts w:ascii="Arial" w:hAnsi="Arial" w:cs="Arial"/>
                <w:sz w:val="20"/>
                <w:szCs w:val="20"/>
              </w:rPr>
              <w:t xml:space="preserve"> </w:t>
            </w:r>
            <w:proofErr w:type="spellStart"/>
            <w:r w:rsidRPr="0062442A">
              <w:rPr>
                <w:rFonts w:ascii="Arial" w:hAnsi="Arial" w:cs="Arial"/>
                <w:sz w:val="20"/>
                <w:szCs w:val="20"/>
              </w:rPr>
              <w:t>measures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20FE2EF1"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13</w:t>
            </w:r>
          </w:p>
        </w:tc>
        <w:tc>
          <w:tcPr>
            <w:tcW w:w="3487" w:type="pct"/>
            <w:tcBorders>
              <w:top w:val="single" w:sz="5" w:space="0" w:color="000000"/>
              <w:left w:val="single" w:sz="5" w:space="0" w:color="000000"/>
              <w:bottom w:val="single" w:sz="5" w:space="0" w:color="000000"/>
              <w:right w:val="single" w:sz="5" w:space="0" w:color="000000"/>
            </w:tcBorders>
          </w:tcPr>
          <w:p w14:paraId="525B9D0E"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State the principal summary measures (e.g., risk ratio, difference in means). </w:t>
            </w:r>
          </w:p>
        </w:tc>
        <w:tc>
          <w:tcPr>
            <w:tcW w:w="414" w:type="pct"/>
            <w:tcBorders>
              <w:top w:val="single" w:sz="5" w:space="0" w:color="000000"/>
              <w:left w:val="single" w:sz="5" w:space="0" w:color="000000"/>
              <w:bottom w:val="single" w:sz="5" w:space="0" w:color="000000"/>
              <w:right w:val="single" w:sz="5" w:space="0" w:color="000000"/>
            </w:tcBorders>
            <w:vAlign w:val="center"/>
          </w:tcPr>
          <w:p w14:paraId="1FA50332" w14:textId="542FCEB2"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07</w:t>
            </w:r>
          </w:p>
        </w:tc>
      </w:tr>
      <w:tr w:rsidR="00792780" w:rsidRPr="0062442A" w14:paraId="309E0160" w14:textId="77777777" w:rsidTr="003A2BC0">
        <w:trPr>
          <w:trHeight w:val="580"/>
        </w:trPr>
        <w:tc>
          <w:tcPr>
            <w:tcW w:w="921" w:type="pct"/>
            <w:tcBorders>
              <w:top w:val="single" w:sz="5" w:space="0" w:color="000000"/>
              <w:left w:val="single" w:sz="5" w:space="0" w:color="000000"/>
              <w:bottom w:val="single" w:sz="5" w:space="0" w:color="000000"/>
              <w:right w:val="single" w:sz="5" w:space="0" w:color="000000"/>
            </w:tcBorders>
          </w:tcPr>
          <w:p w14:paraId="5BDD7259"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Synthesis</w:t>
            </w:r>
            <w:proofErr w:type="spellEnd"/>
            <w:r w:rsidRPr="0062442A">
              <w:rPr>
                <w:rFonts w:ascii="Arial" w:hAnsi="Arial" w:cs="Arial"/>
                <w:sz w:val="20"/>
                <w:szCs w:val="20"/>
              </w:rPr>
              <w:t xml:space="preserve"> of </w:t>
            </w:r>
            <w:proofErr w:type="spellStart"/>
            <w:r w:rsidRPr="0062442A">
              <w:rPr>
                <w:rFonts w:ascii="Arial" w:hAnsi="Arial" w:cs="Arial"/>
                <w:sz w:val="20"/>
                <w:szCs w:val="20"/>
              </w:rPr>
              <w:t>results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5978B2E5"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14</w:t>
            </w:r>
          </w:p>
        </w:tc>
        <w:tc>
          <w:tcPr>
            <w:tcW w:w="3487" w:type="pct"/>
            <w:tcBorders>
              <w:top w:val="single" w:sz="5" w:space="0" w:color="000000"/>
              <w:left w:val="single" w:sz="5" w:space="0" w:color="000000"/>
              <w:bottom w:val="single" w:sz="5" w:space="0" w:color="000000"/>
              <w:right w:val="single" w:sz="5" w:space="0" w:color="000000"/>
            </w:tcBorders>
          </w:tcPr>
          <w:p w14:paraId="0673F0FC"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Describe the methods of handling data and combining results of studies, if done, including measures of consistency (e.g., I</w:t>
            </w:r>
            <w:r w:rsidRPr="0062442A">
              <w:rPr>
                <w:rFonts w:ascii="Arial" w:hAnsi="Arial" w:cs="Arial"/>
                <w:sz w:val="20"/>
                <w:szCs w:val="20"/>
                <w:vertAlign w:val="superscript"/>
                <w:lang w:val="en-US"/>
              </w:rPr>
              <w:t>2</w:t>
            </w:r>
            <w:r w:rsidRPr="0062442A">
              <w:rPr>
                <w:rFonts w:ascii="Arial" w:hAnsi="Arial" w:cs="Arial"/>
                <w:sz w:val="20"/>
                <w:szCs w:val="20"/>
                <w:lang w:val="en-US"/>
              </w:rPr>
              <w:t xml:space="preserve">) for each meta-analysis. </w:t>
            </w:r>
          </w:p>
        </w:tc>
        <w:tc>
          <w:tcPr>
            <w:tcW w:w="414" w:type="pct"/>
            <w:tcBorders>
              <w:top w:val="single" w:sz="5" w:space="0" w:color="000000"/>
              <w:left w:val="single" w:sz="5" w:space="0" w:color="000000"/>
              <w:bottom w:val="single" w:sz="5" w:space="0" w:color="000000"/>
              <w:right w:val="single" w:sz="5" w:space="0" w:color="000000"/>
            </w:tcBorders>
            <w:vAlign w:val="center"/>
          </w:tcPr>
          <w:p w14:paraId="28F09557" w14:textId="49196BDD"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07</w:t>
            </w:r>
          </w:p>
        </w:tc>
      </w:tr>
      <w:tr w:rsidR="00792780" w:rsidRPr="0062442A" w14:paraId="55355290" w14:textId="77777777" w:rsidTr="003A2BC0">
        <w:trPr>
          <w:trHeight w:val="575"/>
        </w:trPr>
        <w:tc>
          <w:tcPr>
            <w:tcW w:w="921" w:type="pct"/>
            <w:tcBorders>
              <w:top w:val="double" w:sz="5" w:space="0" w:color="000000"/>
              <w:left w:val="single" w:sz="5" w:space="0" w:color="000000"/>
              <w:bottom w:val="single" w:sz="5" w:space="0" w:color="000000"/>
              <w:right w:val="single" w:sz="5" w:space="0" w:color="000000"/>
            </w:tcBorders>
          </w:tcPr>
          <w:p w14:paraId="47ECF269"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Risk of bias across studies </w:t>
            </w:r>
          </w:p>
        </w:tc>
        <w:tc>
          <w:tcPr>
            <w:tcW w:w="178" w:type="pct"/>
            <w:tcBorders>
              <w:top w:val="double" w:sz="5" w:space="0" w:color="000000"/>
              <w:left w:val="single" w:sz="5" w:space="0" w:color="000000"/>
              <w:bottom w:val="single" w:sz="5" w:space="0" w:color="000000"/>
              <w:right w:val="single" w:sz="5" w:space="0" w:color="000000"/>
            </w:tcBorders>
          </w:tcPr>
          <w:p w14:paraId="681C70D9"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15</w:t>
            </w:r>
          </w:p>
        </w:tc>
        <w:tc>
          <w:tcPr>
            <w:tcW w:w="3487" w:type="pct"/>
            <w:tcBorders>
              <w:top w:val="double" w:sz="5" w:space="0" w:color="000000"/>
              <w:left w:val="single" w:sz="5" w:space="0" w:color="000000"/>
              <w:bottom w:val="single" w:sz="5" w:space="0" w:color="000000"/>
              <w:right w:val="single" w:sz="5" w:space="0" w:color="000000"/>
            </w:tcBorders>
          </w:tcPr>
          <w:p w14:paraId="26221258"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Specify any assessment of risk of bias that may affect the cumulative evidence (e.g., publication bias, selective reporting within studies). </w:t>
            </w:r>
          </w:p>
        </w:tc>
        <w:tc>
          <w:tcPr>
            <w:tcW w:w="414" w:type="pct"/>
            <w:tcBorders>
              <w:top w:val="double" w:sz="5" w:space="0" w:color="000000"/>
              <w:left w:val="single" w:sz="5" w:space="0" w:color="000000"/>
              <w:bottom w:val="single" w:sz="5" w:space="0" w:color="000000"/>
              <w:right w:val="single" w:sz="5" w:space="0" w:color="000000"/>
            </w:tcBorders>
            <w:vAlign w:val="center"/>
          </w:tcPr>
          <w:p w14:paraId="042687D3" w14:textId="6F4BD805"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NA</w:t>
            </w:r>
          </w:p>
        </w:tc>
      </w:tr>
      <w:tr w:rsidR="00792780" w:rsidRPr="0062442A" w14:paraId="3D428EBF" w14:textId="77777777" w:rsidTr="003A2BC0">
        <w:trPr>
          <w:trHeight w:val="568"/>
        </w:trPr>
        <w:tc>
          <w:tcPr>
            <w:tcW w:w="921" w:type="pct"/>
            <w:tcBorders>
              <w:top w:val="single" w:sz="5" w:space="0" w:color="000000"/>
              <w:left w:val="single" w:sz="5" w:space="0" w:color="000000"/>
              <w:bottom w:val="double" w:sz="2" w:space="0" w:color="FFFFCC"/>
              <w:right w:val="single" w:sz="5" w:space="0" w:color="000000"/>
            </w:tcBorders>
          </w:tcPr>
          <w:p w14:paraId="79AD3EE4"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Additional</w:t>
            </w:r>
            <w:proofErr w:type="spellEnd"/>
            <w:r w:rsidRPr="0062442A">
              <w:rPr>
                <w:rFonts w:ascii="Arial" w:hAnsi="Arial" w:cs="Arial"/>
                <w:sz w:val="20"/>
                <w:szCs w:val="20"/>
              </w:rPr>
              <w:t xml:space="preserve"> </w:t>
            </w:r>
            <w:proofErr w:type="spellStart"/>
            <w:r w:rsidRPr="0062442A">
              <w:rPr>
                <w:rFonts w:ascii="Arial" w:hAnsi="Arial" w:cs="Arial"/>
                <w:sz w:val="20"/>
                <w:szCs w:val="20"/>
              </w:rPr>
              <w:t>analyses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double" w:sz="2" w:space="0" w:color="FFFFCC"/>
              <w:right w:val="single" w:sz="5" w:space="0" w:color="000000"/>
            </w:tcBorders>
          </w:tcPr>
          <w:p w14:paraId="0652B634"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16</w:t>
            </w:r>
          </w:p>
        </w:tc>
        <w:tc>
          <w:tcPr>
            <w:tcW w:w="3487" w:type="pct"/>
            <w:tcBorders>
              <w:top w:val="single" w:sz="5" w:space="0" w:color="000000"/>
              <w:left w:val="single" w:sz="5" w:space="0" w:color="000000"/>
              <w:bottom w:val="double" w:sz="5" w:space="0" w:color="000000"/>
              <w:right w:val="single" w:sz="5" w:space="0" w:color="000000"/>
            </w:tcBorders>
          </w:tcPr>
          <w:p w14:paraId="2E24A8A8"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Describe methods of additional analyses (e.g., sensitivity or subgroup analyses, meta-regression), if done, indicating which were pre-specified. </w:t>
            </w:r>
          </w:p>
        </w:tc>
        <w:tc>
          <w:tcPr>
            <w:tcW w:w="414" w:type="pct"/>
            <w:tcBorders>
              <w:top w:val="single" w:sz="5" w:space="0" w:color="000000"/>
              <w:left w:val="single" w:sz="5" w:space="0" w:color="000000"/>
              <w:bottom w:val="double" w:sz="5" w:space="0" w:color="000000"/>
              <w:right w:val="single" w:sz="5" w:space="0" w:color="000000"/>
            </w:tcBorders>
            <w:vAlign w:val="center"/>
          </w:tcPr>
          <w:p w14:paraId="4F66FE9C" w14:textId="4BAB36BF"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NA</w:t>
            </w:r>
          </w:p>
        </w:tc>
      </w:tr>
      <w:tr w:rsidR="00792780" w:rsidRPr="0062442A" w14:paraId="7F7C9CAE" w14:textId="77777777" w:rsidTr="003A2BC0">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6B1AB1"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 xml:space="preserve">RESULTS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vAlign w:val="center"/>
          </w:tcPr>
          <w:p w14:paraId="50EBC1F4" w14:textId="77777777" w:rsidR="00792780" w:rsidRPr="0062442A" w:rsidRDefault="00792780" w:rsidP="003A2BC0">
            <w:pPr>
              <w:pStyle w:val="NoSpacing"/>
              <w:jc w:val="center"/>
              <w:rPr>
                <w:rFonts w:ascii="Arial" w:hAnsi="Arial" w:cs="Arial"/>
                <w:sz w:val="20"/>
                <w:szCs w:val="20"/>
              </w:rPr>
            </w:pPr>
          </w:p>
        </w:tc>
      </w:tr>
      <w:tr w:rsidR="00792780" w:rsidRPr="0062442A" w14:paraId="3415FC9A"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6A93C6C1"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Study</w:t>
            </w:r>
            <w:proofErr w:type="spellEnd"/>
            <w:r w:rsidRPr="0062442A">
              <w:rPr>
                <w:rFonts w:ascii="Arial" w:hAnsi="Arial" w:cs="Arial"/>
                <w:sz w:val="20"/>
                <w:szCs w:val="20"/>
              </w:rPr>
              <w:t xml:space="preserve"> </w:t>
            </w:r>
            <w:proofErr w:type="spellStart"/>
            <w:r w:rsidRPr="0062442A">
              <w:rPr>
                <w:rFonts w:ascii="Arial" w:hAnsi="Arial" w:cs="Arial"/>
                <w:sz w:val="20"/>
                <w:szCs w:val="20"/>
              </w:rPr>
              <w:t>selection</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423CCA95"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17</w:t>
            </w:r>
          </w:p>
        </w:tc>
        <w:tc>
          <w:tcPr>
            <w:tcW w:w="3487" w:type="pct"/>
            <w:tcBorders>
              <w:top w:val="single" w:sz="5" w:space="0" w:color="000000"/>
              <w:left w:val="single" w:sz="5" w:space="0" w:color="000000"/>
              <w:bottom w:val="single" w:sz="5" w:space="0" w:color="000000"/>
              <w:right w:val="single" w:sz="5" w:space="0" w:color="000000"/>
            </w:tcBorders>
          </w:tcPr>
          <w:p w14:paraId="31348242"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Give numbers of studies screened, assessed for eligibility, and included in the review, with reasons for exclusions at each stage, ideally with a flow diagram. </w:t>
            </w:r>
          </w:p>
        </w:tc>
        <w:tc>
          <w:tcPr>
            <w:tcW w:w="414" w:type="pct"/>
            <w:tcBorders>
              <w:top w:val="single" w:sz="5" w:space="0" w:color="000000"/>
              <w:left w:val="single" w:sz="5" w:space="0" w:color="000000"/>
              <w:bottom w:val="single" w:sz="5" w:space="0" w:color="000000"/>
              <w:right w:val="single" w:sz="5" w:space="0" w:color="000000"/>
            </w:tcBorders>
            <w:vAlign w:val="center"/>
          </w:tcPr>
          <w:p w14:paraId="4675E66F" w14:textId="02600BD7"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08</w:t>
            </w:r>
          </w:p>
        </w:tc>
      </w:tr>
      <w:tr w:rsidR="00792780" w:rsidRPr="0062442A" w14:paraId="277BC7B2"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4A887656"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Study</w:t>
            </w:r>
            <w:proofErr w:type="spellEnd"/>
            <w:r w:rsidRPr="0062442A">
              <w:rPr>
                <w:rFonts w:ascii="Arial" w:hAnsi="Arial" w:cs="Arial"/>
                <w:sz w:val="20"/>
                <w:szCs w:val="20"/>
              </w:rPr>
              <w:t xml:space="preserve"> </w:t>
            </w:r>
            <w:proofErr w:type="spellStart"/>
            <w:r w:rsidRPr="0062442A">
              <w:rPr>
                <w:rFonts w:ascii="Arial" w:hAnsi="Arial" w:cs="Arial"/>
                <w:sz w:val="20"/>
                <w:szCs w:val="20"/>
              </w:rPr>
              <w:t>characteristics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7030ABA3"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18</w:t>
            </w:r>
          </w:p>
        </w:tc>
        <w:tc>
          <w:tcPr>
            <w:tcW w:w="3487" w:type="pct"/>
            <w:tcBorders>
              <w:top w:val="single" w:sz="5" w:space="0" w:color="000000"/>
              <w:left w:val="single" w:sz="5" w:space="0" w:color="000000"/>
              <w:bottom w:val="single" w:sz="5" w:space="0" w:color="000000"/>
              <w:right w:val="single" w:sz="5" w:space="0" w:color="000000"/>
            </w:tcBorders>
          </w:tcPr>
          <w:p w14:paraId="163589B9"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For each study, present characteristics for which data were extracted (e.g., study size, PICOS, follow-up period) and provide the citations. </w:t>
            </w:r>
          </w:p>
        </w:tc>
        <w:tc>
          <w:tcPr>
            <w:tcW w:w="414" w:type="pct"/>
            <w:tcBorders>
              <w:top w:val="single" w:sz="5" w:space="0" w:color="000000"/>
              <w:left w:val="single" w:sz="5" w:space="0" w:color="000000"/>
              <w:bottom w:val="single" w:sz="5" w:space="0" w:color="000000"/>
              <w:right w:val="single" w:sz="5" w:space="0" w:color="000000"/>
            </w:tcBorders>
            <w:vAlign w:val="center"/>
          </w:tcPr>
          <w:p w14:paraId="1EF13B47" w14:textId="39B2F167"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08</w:t>
            </w:r>
          </w:p>
        </w:tc>
      </w:tr>
      <w:tr w:rsidR="00792780" w:rsidRPr="0062442A" w14:paraId="780A261A" w14:textId="77777777" w:rsidTr="003A2BC0">
        <w:trPr>
          <w:trHeight w:val="333"/>
        </w:trPr>
        <w:tc>
          <w:tcPr>
            <w:tcW w:w="921" w:type="pct"/>
            <w:tcBorders>
              <w:top w:val="single" w:sz="5" w:space="0" w:color="000000"/>
              <w:left w:val="single" w:sz="5" w:space="0" w:color="000000"/>
              <w:bottom w:val="single" w:sz="5" w:space="0" w:color="000000"/>
              <w:right w:val="single" w:sz="5" w:space="0" w:color="000000"/>
            </w:tcBorders>
          </w:tcPr>
          <w:p w14:paraId="52A8B448"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Risk of bias within studies </w:t>
            </w:r>
          </w:p>
        </w:tc>
        <w:tc>
          <w:tcPr>
            <w:tcW w:w="178" w:type="pct"/>
            <w:tcBorders>
              <w:top w:val="single" w:sz="5" w:space="0" w:color="000000"/>
              <w:left w:val="single" w:sz="5" w:space="0" w:color="000000"/>
              <w:bottom w:val="single" w:sz="5" w:space="0" w:color="000000"/>
              <w:right w:val="single" w:sz="5" w:space="0" w:color="000000"/>
            </w:tcBorders>
          </w:tcPr>
          <w:p w14:paraId="2D1905F9"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19</w:t>
            </w:r>
          </w:p>
        </w:tc>
        <w:tc>
          <w:tcPr>
            <w:tcW w:w="3487" w:type="pct"/>
            <w:tcBorders>
              <w:top w:val="single" w:sz="5" w:space="0" w:color="000000"/>
              <w:left w:val="single" w:sz="5" w:space="0" w:color="000000"/>
              <w:bottom w:val="single" w:sz="5" w:space="0" w:color="000000"/>
              <w:right w:val="single" w:sz="5" w:space="0" w:color="000000"/>
            </w:tcBorders>
          </w:tcPr>
          <w:p w14:paraId="3406F6CD"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Present data on risk of bias of each study and, if available, any outcome level assessment (see item 12). </w:t>
            </w:r>
          </w:p>
        </w:tc>
        <w:tc>
          <w:tcPr>
            <w:tcW w:w="414" w:type="pct"/>
            <w:tcBorders>
              <w:top w:val="single" w:sz="5" w:space="0" w:color="000000"/>
              <w:left w:val="single" w:sz="5" w:space="0" w:color="000000"/>
              <w:bottom w:val="single" w:sz="5" w:space="0" w:color="000000"/>
              <w:right w:val="single" w:sz="5" w:space="0" w:color="000000"/>
            </w:tcBorders>
            <w:vAlign w:val="center"/>
          </w:tcPr>
          <w:p w14:paraId="0A36EC0B" w14:textId="20E3BC09"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10</w:t>
            </w:r>
          </w:p>
        </w:tc>
      </w:tr>
      <w:tr w:rsidR="00792780" w:rsidRPr="0062442A" w14:paraId="0062B742"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3864B7EB"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Results</w:t>
            </w:r>
            <w:proofErr w:type="spellEnd"/>
            <w:r w:rsidRPr="0062442A">
              <w:rPr>
                <w:rFonts w:ascii="Arial" w:hAnsi="Arial" w:cs="Arial"/>
                <w:sz w:val="20"/>
                <w:szCs w:val="20"/>
              </w:rPr>
              <w:t xml:space="preserve"> of individual </w:t>
            </w:r>
            <w:proofErr w:type="spellStart"/>
            <w:r w:rsidRPr="0062442A">
              <w:rPr>
                <w:rFonts w:ascii="Arial" w:hAnsi="Arial" w:cs="Arial"/>
                <w:sz w:val="20"/>
                <w:szCs w:val="20"/>
              </w:rPr>
              <w:t>studies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0AF0919C"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20</w:t>
            </w:r>
          </w:p>
        </w:tc>
        <w:tc>
          <w:tcPr>
            <w:tcW w:w="3487" w:type="pct"/>
            <w:tcBorders>
              <w:top w:val="single" w:sz="5" w:space="0" w:color="000000"/>
              <w:left w:val="single" w:sz="5" w:space="0" w:color="000000"/>
              <w:bottom w:val="single" w:sz="5" w:space="0" w:color="000000"/>
              <w:right w:val="single" w:sz="5" w:space="0" w:color="000000"/>
            </w:tcBorders>
          </w:tcPr>
          <w:p w14:paraId="4A0EBBFA"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For all outcomes considered (benefits or harms), present, for each study: (a) simple summary data for each intervention group (b) effect estimates and confidence intervals, ideally with a forest plot. </w:t>
            </w:r>
          </w:p>
        </w:tc>
        <w:tc>
          <w:tcPr>
            <w:tcW w:w="414" w:type="pct"/>
            <w:tcBorders>
              <w:top w:val="single" w:sz="5" w:space="0" w:color="000000"/>
              <w:left w:val="single" w:sz="5" w:space="0" w:color="000000"/>
              <w:bottom w:val="single" w:sz="5" w:space="0" w:color="000000"/>
              <w:right w:val="single" w:sz="5" w:space="0" w:color="000000"/>
            </w:tcBorders>
            <w:vAlign w:val="center"/>
          </w:tcPr>
          <w:p w14:paraId="324E4967" w14:textId="7B909521"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08-10</w:t>
            </w:r>
          </w:p>
        </w:tc>
      </w:tr>
      <w:tr w:rsidR="00792780" w:rsidRPr="0062442A" w14:paraId="1D568ED7" w14:textId="77777777" w:rsidTr="003A2BC0">
        <w:trPr>
          <w:trHeight w:val="335"/>
        </w:trPr>
        <w:tc>
          <w:tcPr>
            <w:tcW w:w="921" w:type="pct"/>
            <w:tcBorders>
              <w:top w:val="single" w:sz="5" w:space="0" w:color="000000"/>
              <w:left w:val="single" w:sz="5" w:space="0" w:color="000000"/>
              <w:bottom w:val="single" w:sz="5" w:space="0" w:color="000000"/>
              <w:right w:val="single" w:sz="5" w:space="0" w:color="000000"/>
            </w:tcBorders>
          </w:tcPr>
          <w:p w14:paraId="661D1359"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Synthesis</w:t>
            </w:r>
            <w:proofErr w:type="spellEnd"/>
            <w:r w:rsidRPr="0062442A">
              <w:rPr>
                <w:rFonts w:ascii="Arial" w:hAnsi="Arial" w:cs="Arial"/>
                <w:sz w:val="20"/>
                <w:szCs w:val="20"/>
              </w:rPr>
              <w:t xml:space="preserve"> of </w:t>
            </w:r>
            <w:proofErr w:type="spellStart"/>
            <w:r w:rsidRPr="0062442A">
              <w:rPr>
                <w:rFonts w:ascii="Arial" w:hAnsi="Arial" w:cs="Arial"/>
                <w:sz w:val="20"/>
                <w:szCs w:val="20"/>
              </w:rPr>
              <w:t>results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047C3C44"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21</w:t>
            </w:r>
          </w:p>
        </w:tc>
        <w:tc>
          <w:tcPr>
            <w:tcW w:w="3487" w:type="pct"/>
            <w:tcBorders>
              <w:top w:val="single" w:sz="5" w:space="0" w:color="000000"/>
              <w:left w:val="single" w:sz="5" w:space="0" w:color="000000"/>
              <w:bottom w:val="single" w:sz="5" w:space="0" w:color="000000"/>
              <w:right w:val="single" w:sz="5" w:space="0" w:color="000000"/>
            </w:tcBorders>
          </w:tcPr>
          <w:p w14:paraId="2D20B307"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Present results of each meta-analysis done, including confidence intervals and measures of consistency. </w:t>
            </w:r>
          </w:p>
        </w:tc>
        <w:tc>
          <w:tcPr>
            <w:tcW w:w="414" w:type="pct"/>
            <w:tcBorders>
              <w:top w:val="single" w:sz="5" w:space="0" w:color="000000"/>
              <w:left w:val="single" w:sz="5" w:space="0" w:color="000000"/>
              <w:bottom w:val="single" w:sz="5" w:space="0" w:color="000000"/>
              <w:right w:val="single" w:sz="5" w:space="0" w:color="000000"/>
            </w:tcBorders>
            <w:vAlign w:val="center"/>
          </w:tcPr>
          <w:p w14:paraId="5A80E178" w14:textId="60E86201"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08-10</w:t>
            </w:r>
          </w:p>
        </w:tc>
      </w:tr>
      <w:tr w:rsidR="00792780" w:rsidRPr="0062442A" w14:paraId="3D507E42" w14:textId="77777777" w:rsidTr="003A2BC0">
        <w:trPr>
          <w:trHeight w:val="333"/>
        </w:trPr>
        <w:tc>
          <w:tcPr>
            <w:tcW w:w="921" w:type="pct"/>
            <w:tcBorders>
              <w:top w:val="single" w:sz="5" w:space="0" w:color="000000"/>
              <w:left w:val="single" w:sz="5" w:space="0" w:color="000000"/>
              <w:bottom w:val="single" w:sz="5" w:space="0" w:color="000000"/>
              <w:right w:val="single" w:sz="5" w:space="0" w:color="000000"/>
            </w:tcBorders>
          </w:tcPr>
          <w:p w14:paraId="1CB28435"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Risk of bias across studies </w:t>
            </w:r>
          </w:p>
        </w:tc>
        <w:tc>
          <w:tcPr>
            <w:tcW w:w="178" w:type="pct"/>
            <w:tcBorders>
              <w:top w:val="single" w:sz="5" w:space="0" w:color="000000"/>
              <w:left w:val="single" w:sz="5" w:space="0" w:color="000000"/>
              <w:bottom w:val="single" w:sz="5" w:space="0" w:color="000000"/>
              <w:right w:val="single" w:sz="5" w:space="0" w:color="000000"/>
            </w:tcBorders>
          </w:tcPr>
          <w:p w14:paraId="07869E47"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22</w:t>
            </w:r>
          </w:p>
        </w:tc>
        <w:tc>
          <w:tcPr>
            <w:tcW w:w="3487" w:type="pct"/>
            <w:tcBorders>
              <w:top w:val="single" w:sz="5" w:space="0" w:color="000000"/>
              <w:left w:val="single" w:sz="5" w:space="0" w:color="000000"/>
              <w:bottom w:val="single" w:sz="5" w:space="0" w:color="000000"/>
              <w:right w:val="single" w:sz="5" w:space="0" w:color="000000"/>
            </w:tcBorders>
          </w:tcPr>
          <w:p w14:paraId="5272C609"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Present results of any assessment of risk of bias across studies (see Item 15). </w:t>
            </w:r>
          </w:p>
        </w:tc>
        <w:tc>
          <w:tcPr>
            <w:tcW w:w="414" w:type="pct"/>
            <w:tcBorders>
              <w:top w:val="single" w:sz="5" w:space="0" w:color="000000"/>
              <w:left w:val="single" w:sz="5" w:space="0" w:color="000000"/>
              <w:bottom w:val="single" w:sz="5" w:space="0" w:color="000000"/>
              <w:right w:val="single" w:sz="5" w:space="0" w:color="000000"/>
            </w:tcBorders>
            <w:vAlign w:val="center"/>
          </w:tcPr>
          <w:p w14:paraId="1824229C" w14:textId="4E049FAC"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NA</w:t>
            </w:r>
          </w:p>
        </w:tc>
      </w:tr>
      <w:tr w:rsidR="00792780" w:rsidRPr="0062442A" w14:paraId="036C0713" w14:textId="77777777" w:rsidTr="003A2BC0">
        <w:trPr>
          <w:trHeight w:val="393"/>
        </w:trPr>
        <w:tc>
          <w:tcPr>
            <w:tcW w:w="921" w:type="pct"/>
            <w:tcBorders>
              <w:top w:val="single" w:sz="5" w:space="0" w:color="000000"/>
              <w:left w:val="single" w:sz="5" w:space="0" w:color="000000"/>
              <w:bottom w:val="double" w:sz="2" w:space="0" w:color="FFFFCC"/>
              <w:right w:val="single" w:sz="5" w:space="0" w:color="000000"/>
            </w:tcBorders>
          </w:tcPr>
          <w:p w14:paraId="54087DAC"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Additional</w:t>
            </w:r>
            <w:proofErr w:type="spellEnd"/>
            <w:r w:rsidRPr="0062442A">
              <w:rPr>
                <w:rFonts w:ascii="Arial" w:hAnsi="Arial" w:cs="Arial"/>
                <w:sz w:val="20"/>
                <w:szCs w:val="20"/>
              </w:rPr>
              <w:t xml:space="preserve"> </w:t>
            </w:r>
            <w:proofErr w:type="spellStart"/>
            <w:r w:rsidRPr="0062442A">
              <w:rPr>
                <w:rFonts w:ascii="Arial" w:hAnsi="Arial" w:cs="Arial"/>
                <w:sz w:val="20"/>
                <w:szCs w:val="20"/>
              </w:rPr>
              <w:t>analysis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double" w:sz="2" w:space="0" w:color="FFFFCC"/>
              <w:right w:val="single" w:sz="5" w:space="0" w:color="000000"/>
            </w:tcBorders>
          </w:tcPr>
          <w:p w14:paraId="64CA0533"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23</w:t>
            </w:r>
          </w:p>
        </w:tc>
        <w:tc>
          <w:tcPr>
            <w:tcW w:w="3487" w:type="pct"/>
            <w:tcBorders>
              <w:top w:val="single" w:sz="5" w:space="0" w:color="000000"/>
              <w:left w:val="single" w:sz="5" w:space="0" w:color="000000"/>
              <w:bottom w:val="double" w:sz="5" w:space="0" w:color="000000"/>
              <w:right w:val="single" w:sz="5" w:space="0" w:color="000000"/>
            </w:tcBorders>
          </w:tcPr>
          <w:p w14:paraId="35366DF0"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Give results of additional analyses, if done (e.g., sensitivity or subgroup analyses, meta-regression [see Item 16]). </w:t>
            </w:r>
          </w:p>
        </w:tc>
        <w:tc>
          <w:tcPr>
            <w:tcW w:w="414" w:type="pct"/>
            <w:tcBorders>
              <w:top w:val="single" w:sz="5" w:space="0" w:color="000000"/>
              <w:left w:val="single" w:sz="5" w:space="0" w:color="000000"/>
              <w:bottom w:val="double" w:sz="5" w:space="0" w:color="000000"/>
              <w:right w:val="single" w:sz="5" w:space="0" w:color="000000"/>
            </w:tcBorders>
            <w:vAlign w:val="center"/>
          </w:tcPr>
          <w:p w14:paraId="0424660F" w14:textId="226E6520"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NA</w:t>
            </w:r>
          </w:p>
        </w:tc>
      </w:tr>
      <w:tr w:rsidR="00792780" w:rsidRPr="0062442A" w14:paraId="35CB18DB" w14:textId="77777777" w:rsidTr="003A2BC0">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580B2A"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 xml:space="preserve">DISCUSSION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vAlign w:val="center"/>
          </w:tcPr>
          <w:p w14:paraId="66B12AFD" w14:textId="77777777" w:rsidR="00792780" w:rsidRPr="0062442A" w:rsidRDefault="00792780" w:rsidP="003A2BC0">
            <w:pPr>
              <w:pStyle w:val="NoSpacing"/>
              <w:jc w:val="center"/>
              <w:rPr>
                <w:rFonts w:ascii="Arial" w:hAnsi="Arial" w:cs="Arial"/>
                <w:sz w:val="20"/>
                <w:szCs w:val="20"/>
              </w:rPr>
            </w:pPr>
          </w:p>
        </w:tc>
      </w:tr>
      <w:tr w:rsidR="00792780" w:rsidRPr="0062442A" w14:paraId="08E5ECE7"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4B856772"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Summary</w:t>
            </w:r>
            <w:proofErr w:type="spellEnd"/>
            <w:r w:rsidRPr="0062442A">
              <w:rPr>
                <w:rFonts w:ascii="Arial" w:hAnsi="Arial" w:cs="Arial"/>
                <w:sz w:val="20"/>
                <w:szCs w:val="20"/>
              </w:rPr>
              <w:t xml:space="preserve"> of </w:t>
            </w:r>
            <w:proofErr w:type="spellStart"/>
            <w:r w:rsidRPr="0062442A">
              <w:rPr>
                <w:rFonts w:ascii="Arial" w:hAnsi="Arial" w:cs="Arial"/>
                <w:sz w:val="20"/>
                <w:szCs w:val="20"/>
              </w:rPr>
              <w:t>evidence</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57DE4ABE"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24</w:t>
            </w:r>
          </w:p>
        </w:tc>
        <w:tc>
          <w:tcPr>
            <w:tcW w:w="3487" w:type="pct"/>
            <w:tcBorders>
              <w:top w:val="single" w:sz="5" w:space="0" w:color="000000"/>
              <w:left w:val="single" w:sz="5" w:space="0" w:color="000000"/>
              <w:bottom w:val="single" w:sz="5" w:space="0" w:color="000000"/>
              <w:right w:val="single" w:sz="5" w:space="0" w:color="000000"/>
            </w:tcBorders>
          </w:tcPr>
          <w:p w14:paraId="05E63C0F"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Summarize the main findings including the strength of evidence for each main outcome; consider their relevance to key groups (e.g., healthcare providers, users, and policy makers). </w:t>
            </w:r>
          </w:p>
        </w:tc>
        <w:tc>
          <w:tcPr>
            <w:tcW w:w="414" w:type="pct"/>
            <w:tcBorders>
              <w:top w:val="single" w:sz="5" w:space="0" w:color="000000"/>
              <w:left w:val="single" w:sz="5" w:space="0" w:color="000000"/>
              <w:bottom w:val="single" w:sz="5" w:space="0" w:color="000000"/>
              <w:right w:val="single" w:sz="5" w:space="0" w:color="000000"/>
            </w:tcBorders>
            <w:vAlign w:val="center"/>
          </w:tcPr>
          <w:p w14:paraId="6C9AC78A" w14:textId="002A35B9"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11</w:t>
            </w:r>
          </w:p>
        </w:tc>
      </w:tr>
      <w:tr w:rsidR="00792780" w:rsidRPr="0062442A" w14:paraId="60246686" w14:textId="77777777" w:rsidTr="003A2BC0">
        <w:trPr>
          <w:trHeight w:val="578"/>
        </w:trPr>
        <w:tc>
          <w:tcPr>
            <w:tcW w:w="921" w:type="pct"/>
            <w:tcBorders>
              <w:top w:val="single" w:sz="5" w:space="0" w:color="000000"/>
              <w:left w:val="single" w:sz="5" w:space="0" w:color="000000"/>
              <w:bottom w:val="single" w:sz="5" w:space="0" w:color="000000"/>
              <w:right w:val="single" w:sz="5" w:space="0" w:color="000000"/>
            </w:tcBorders>
          </w:tcPr>
          <w:p w14:paraId="77BDFF74"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Limitations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single" w:sz="5" w:space="0" w:color="000000"/>
              <w:right w:val="single" w:sz="5" w:space="0" w:color="000000"/>
            </w:tcBorders>
          </w:tcPr>
          <w:p w14:paraId="4EFE056B"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25</w:t>
            </w:r>
          </w:p>
        </w:tc>
        <w:tc>
          <w:tcPr>
            <w:tcW w:w="3487" w:type="pct"/>
            <w:tcBorders>
              <w:top w:val="single" w:sz="5" w:space="0" w:color="000000"/>
              <w:left w:val="single" w:sz="5" w:space="0" w:color="000000"/>
              <w:bottom w:val="single" w:sz="5" w:space="0" w:color="000000"/>
              <w:right w:val="single" w:sz="5" w:space="0" w:color="000000"/>
            </w:tcBorders>
          </w:tcPr>
          <w:p w14:paraId="0222B284"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Discuss limitations at study and outcome level (e.g., risk of bias), and at review-level (e.g., incomplete retrieval of identified research, reporting bias). </w:t>
            </w:r>
          </w:p>
        </w:tc>
        <w:tc>
          <w:tcPr>
            <w:tcW w:w="414" w:type="pct"/>
            <w:tcBorders>
              <w:top w:val="single" w:sz="5" w:space="0" w:color="000000"/>
              <w:left w:val="single" w:sz="5" w:space="0" w:color="000000"/>
              <w:bottom w:val="single" w:sz="5" w:space="0" w:color="000000"/>
              <w:right w:val="single" w:sz="5" w:space="0" w:color="000000"/>
            </w:tcBorders>
            <w:vAlign w:val="center"/>
          </w:tcPr>
          <w:p w14:paraId="082720DD" w14:textId="362E9A11"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12-13</w:t>
            </w:r>
          </w:p>
        </w:tc>
      </w:tr>
      <w:tr w:rsidR="00792780" w:rsidRPr="0062442A" w14:paraId="09A1A7A3" w14:textId="77777777" w:rsidTr="003A2BC0">
        <w:trPr>
          <w:trHeight w:val="420"/>
        </w:trPr>
        <w:tc>
          <w:tcPr>
            <w:tcW w:w="921" w:type="pct"/>
            <w:tcBorders>
              <w:top w:val="single" w:sz="5" w:space="0" w:color="000000"/>
              <w:left w:val="single" w:sz="5" w:space="0" w:color="000000"/>
              <w:bottom w:val="double" w:sz="2" w:space="0" w:color="FFFFCC"/>
              <w:right w:val="single" w:sz="5" w:space="0" w:color="000000"/>
            </w:tcBorders>
          </w:tcPr>
          <w:p w14:paraId="6F7E01E7"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Conclusions</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double" w:sz="2" w:space="0" w:color="FFFFCC"/>
              <w:right w:val="single" w:sz="5" w:space="0" w:color="000000"/>
            </w:tcBorders>
          </w:tcPr>
          <w:p w14:paraId="501BE6AA"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26</w:t>
            </w:r>
          </w:p>
        </w:tc>
        <w:tc>
          <w:tcPr>
            <w:tcW w:w="3487" w:type="pct"/>
            <w:tcBorders>
              <w:top w:val="single" w:sz="5" w:space="0" w:color="000000"/>
              <w:left w:val="single" w:sz="5" w:space="0" w:color="000000"/>
              <w:bottom w:val="double" w:sz="5" w:space="0" w:color="000000"/>
              <w:right w:val="single" w:sz="5" w:space="0" w:color="000000"/>
            </w:tcBorders>
          </w:tcPr>
          <w:p w14:paraId="596CE963"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Provide a general interpretation of the results in the context of other evidence, and implications for future research. </w:t>
            </w:r>
          </w:p>
        </w:tc>
        <w:tc>
          <w:tcPr>
            <w:tcW w:w="414" w:type="pct"/>
            <w:tcBorders>
              <w:top w:val="single" w:sz="5" w:space="0" w:color="000000"/>
              <w:left w:val="single" w:sz="5" w:space="0" w:color="000000"/>
              <w:bottom w:val="double" w:sz="5" w:space="0" w:color="000000"/>
              <w:right w:val="single" w:sz="5" w:space="0" w:color="000000"/>
            </w:tcBorders>
            <w:vAlign w:val="center"/>
          </w:tcPr>
          <w:p w14:paraId="42426ECE" w14:textId="34D94D4D"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14</w:t>
            </w:r>
          </w:p>
        </w:tc>
      </w:tr>
      <w:tr w:rsidR="00792780" w:rsidRPr="0062442A" w14:paraId="355E59EC" w14:textId="77777777" w:rsidTr="003A2BC0">
        <w:trPr>
          <w:trHeight w:val="333"/>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A8C0AE"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lastRenderedPageBreak/>
              <w:t xml:space="preserve">FUNDING </w:t>
            </w:r>
          </w:p>
        </w:tc>
        <w:tc>
          <w:tcPr>
            <w:tcW w:w="414" w:type="pct"/>
            <w:tcBorders>
              <w:top w:val="double" w:sz="5" w:space="0" w:color="000000"/>
              <w:left w:val="single" w:sz="5" w:space="0" w:color="000000"/>
              <w:bottom w:val="single" w:sz="5" w:space="0" w:color="000000"/>
              <w:right w:val="single" w:sz="5" w:space="0" w:color="000000"/>
            </w:tcBorders>
            <w:shd w:val="clear" w:color="auto" w:fill="FFFFCC"/>
            <w:vAlign w:val="center"/>
          </w:tcPr>
          <w:p w14:paraId="79F489FB" w14:textId="77777777" w:rsidR="00792780" w:rsidRPr="0062442A" w:rsidRDefault="00792780" w:rsidP="003A2BC0">
            <w:pPr>
              <w:pStyle w:val="NoSpacing"/>
              <w:jc w:val="center"/>
              <w:rPr>
                <w:rFonts w:ascii="Arial" w:hAnsi="Arial" w:cs="Arial"/>
                <w:sz w:val="20"/>
                <w:szCs w:val="20"/>
              </w:rPr>
            </w:pPr>
          </w:p>
        </w:tc>
      </w:tr>
      <w:tr w:rsidR="00792780" w:rsidRPr="0062442A" w14:paraId="0CF2B8C0" w14:textId="77777777" w:rsidTr="003A2BC0">
        <w:trPr>
          <w:trHeight w:val="570"/>
        </w:trPr>
        <w:tc>
          <w:tcPr>
            <w:tcW w:w="921" w:type="pct"/>
            <w:tcBorders>
              <w:top w:val="single" w:sz="5" w:space="0" w:color="000000"/>
              <w:left w:val="single" w:sz="5" w:space="0" w:color="000000"/>
              <w:bottom w:val="double" w:sz="5" w:space="0" w:color="000000"/>
              <w:right w:val="single" w:sz="5" w:space="0" w:color="000000"/>
            </w:tcBorders>
          </w:tcPr>
          <w:p w14:paraId="7FAC7066" w14:textId="77777777" w:rsidR="00792780" w:rsidRPr="0062442A" w:rsidRDefault="00792780" w:rsidP="00792780">
            <w:pPr>
              <w:pStyle w:val="NoSpacing"/>
              <w:rPr>
                <w:rFonts w:ascii="Arial" w:hAnsi="Arial" w:cs="Arial"/>
                <w:sz w:val="20"/>
                <w:szCs w:val="20"/>
              </w:rPr>
            </w:pPr>
            <w:proofErr w:type="spellStart"/>
            <w:r w:rsidRPr="0062442A">
              <w:rPr>
                <w:rFonts w:ascii="Arial" w:hAnsi="Arial" w:cs="Arial"/>
                <w:sz w:val="20"/>
                <w:szCs w:val="20"/>
              </w:rPr>
              <w:t>Funding</w:t>
            </w:r>
            <w:proofErr w:type="spellEnd"/>
            <w:r w:rsidRPr="0062442A">
              <w:rPr>
                <w:rFonts w:ascii="Arial" w:hAnsi="Arial" w:cs="Arial"/>
                <w:sz w:val="20"/>
                <w:szCs w:val="20"/>
              </w:rPr>
              <w:t xml:space="preserve"> </w:t>
            </w:r>
          </w:p>
        </w:tc>
        <w:tc>
          <w:tcPr>
            <w:tcW w:w="178" w:type="pct"/>
            <w:tcBorders>
              <w:top w:val="single" w:sz="5" w:space="0" w:color="000000"/>
              <w:left w:val="single" w:sz="5" w:space="0" w:color="000000"/>
              <w:bottom w:val="double" w:sz="5" w:space="0" w:color="000000"/>
              <w:right w:val="single" w:sz="5" w:space="0" w:color="000000"/>
            </w:tcBorders>
          </w:tcPr>
          <w:p w14:paraId="1560E5B4" w14:textId="77777777" w:rsidR="00792780" w:rsidRPr="0062442A" w:rsidRDefault="00792780" w:rsidP="00792780">
            <w:pPr>
              <w:pStyle w:val="NoSpacing"/>
              <w:rPr>
                <w:rFonts w:ascii="Arial" w:hAnsi="Arial" w:cs="Arial"/>
                <w:sz w:val="20"/>
                <w:szCs w:val="20"/>
              </w:rPr>
            </w:pPr>
            <w:r w:rsidRPr="0062442A">
              <w:rPr>
                <w:rFonts w:ascii="Arial" w:hAnsi="Arial" w:cs="Arial"/>
                <w:sz w:val="20"/>
                <w:szCs w:val="20"/>
              </w:rPr>
              <w:t>27</w:t>
            </w:r>
          </w:p>
        </w:tc>
        <w:tc>
          <w:tcPr>
            <w:tcW w:w="3487" w:type="pct"/>
            <w:tcBorders>
              <w:top w:val="single" w:sz="5" w:space="0" w:color="000000"/>
              <w:left w:val="single" w:sz="5" w:space="0" w:color="000000"/>
              <w:bottom w:val="double" w:sz="5" w:space="0" w:color="000000"/>
              <w:right w:val="single" w:sz="5" w:space="0" w:color="000000"/>
            </w:tcBorders>
          </w:tcPr>
          <w:p w14:paraId="4158EC8D" w14:textId="77777777"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Describe sources of funding for the systematic review and other support (e.g., supply of data); role of funders for the systematic review. </w:t>
            </w:r>
          </w:p>
        </w:tc>
        <w:tc>
          <w:tcPr>
            <w:tcW w:w="414" w:type="pct"/>
            <w:tcBorders>
              <w:top w:val="single" w:sz="5" w:space="0" w:color="000000"/>
              <w:left w:val="single" w:sz="5" w:space="0" w:color="000000"/>
              <w:bottom w:val="double" w:sz="5" w:space="0" w:color="000000"/>
              <w:right w:val="single" w:sz="5" w:space="0" w:color="000000"/>
            </w:tcBorders>
            <w:vAlign w:val="center"/>
          </w:tcPr>
          <w:p w14:paraId="0B77C5FA" w14:textId="0F77559F" w:rsidR="00792780" w:rsidRPr="0062442A" w:rsidRDefault="003A2BC0" w:rsidP="003A2BC0">
            <w:pPr>
              <w:pStyle w:val="NoSpacing"/>
              <w:jc w:val="center"/>
              <w:rPr>
                <w:rFonts w:ascii="Arial" w:hAnsi="Arial" w:cs="Arial"/>
                <w:sz w:val="20"/>
                <w:szCs w:val="20"/>
              </w:rPr>
            </w:pPr>
            <w:r w:rsidRPr="0062442A">
              <w:rPr>
                <w:rFonts w:ascii="Arial" w:hAnsi="Arial" w:cs="Arial"/>
                <w:sz w:val="20"/>
                <w:szCs w:val="20"/>
              </w:rPr>
              <w:t>02</w:t>
            </w:r>
          </w:p>
        </w:tc>
      </w:tr>
    </w:tbl>
    <w:p w14:paraId="72301AF4" w14:textId="4415DC5E" w:rsidR="00792780" w:rsidRPr="0062442A" w:rsidRDefault="00792780" w:rsidP="00792780">
      <w:pPr>
        <w:pStyle w:val="NoSpacing"/>
        <w:rPr>
          <w:rFonts w:ascii="Arial" w:hAnsi="Arial" w:cs="Arial"/>
          <w:sz w:val="20"/>
          <w:szCs w:val="20"/>
          <w:lang w:val="en-US"/>
        </w:rPr>
      </w:pPr>
      <w:r w:rsidRPr="0062442A">
        <w:rPr>
          <w:rFonts w:ascii="Arial" w:hAnsi="Arial" w:cs="Arial"/>
          <w:sz w:val="20"/>
          <w:szCs w:val="20"/>
          <w:lang w:val="en-US"/>
        </w:rPr>
        <w:t xml:space="preserve"> </w:t>
      </w:r>
    </w:p>
    <w:p w14:paraId="692BA2B6" w14:textId="77777777" w:rsidR="00792780" w:rsidRDefault="00792780" w:rsidP="00792780"/>
    <w:p w14:paraId="2183DACE" w14:textId="3A870730" w:rsidR="00792780" w:rsidRPr="00792780" w:rsidRDefault="00792780" w:rsidP="00792780">
      <w:pPr>
        <w:pStyle w:val="NoSpacing"/>
        <w:rPr>
          <w:lang w:val="en-US"/>
        </w:rPr>
        <w:sectPr w:rsidR="00792780" w:rsidRPr="00792780" w:rsidSect="00792780">
          <w:pgSz w:w="16838" w:h="11906" w:orient="landscape"/>
          <w:pgMar w:top="1440" w:right="1440" w:bottom="1440" w:left="1440" w:header="709" w:footer="709" w:gutter="0"/>
          <w:cols w:space="708"/>
          <w:docGrid w:linePitch="360"/>
        </w:sectPr>
      </w:pPr>
      <w:r w:rsidRPr="00792780">
        <w:rPr>
          <w:lang w:val="en-US"/>
        </w:rPr>
        <w:br w:type="page"/>
      </w:r>
    </w:p>
    <w:p w14:paraId="51A5A565" w14:textId="3E813797" w:rsidR="000745F8" w:rsidRPr="0062442A" w:rsidRDefault="000745F8" w:rsidP="000745F8">
      <w:pPr>
        <w:pStyle w:val="Heading1"/>
        <w:rPr>
          <w:rFonts w:ascii="Arial" w:hAnsi="Arial" w:cs="Arial"/>
          <w:color w:val="auto"/>
          <w:sz w:val="20"/>
          <w:szCs w:val="20"/>
          <w:lang w:val="en-GB"/>
        </w:rPr>
      </w:pPr>
      <w:bookmarkStart w:id="2" w:name="_Toc42494717"/>
      <w:r w:rsidRPr="0062442A">
        <w:rPr>
          <w:rFonts w:ascii="Arial" w:hAnsi="Arial" w:cs="Arial"/>
          <w:color w:val="auto"/>
          <w:sz w:val="20"/>
          <w:szCs w:val="20"/>
          <w:lang w:val="en-GB"/>
        </w:rPr>
        <w:lastRenderedPageBreak/>
        <w:t>Search Terms</w:t>
      </w:r>
      <w:bookmarkEnd w:id="2"/>
    </w:p>
    <w:p w14:paraId="5AC6E521" w14:textId="77777777" w:rsidR="000745F8" w:rsidRPr="0062442A" w:rsidRDefault="000745F8" w:rsidP="000745F8">
      <w:pPr>
        <w:pStyle w:val="Heading2"/>
        <w:rPr>
          <w:rFonts w:ascii="Arial" w:hAnsi="Arial" w:cs="Arial"/>
          <w:b/>
          <w:color w:val="auto"/>
          <w:sz w:val="20"/>
          <w:szCs w:val="20"/>
        </w:rPr>
      </w:pPr>
      <w:bookmarkStart w:id="3" w:name="_Toc42494718"/>
      <w:r w:rsidRPr="0062442A">
        <w:rPr>
          <w:rFonts w:ascii="Arial" w:hAnsi="Arial" w:cs="Arial"/>
          <w:b/>
          <w:color w:val="auto"/>
          <w:sz w:val="20"/>
          <w:szCs w:val="20"/>
        </w:rPr>
        <w:t>Ovid (</w:t>
      </w:r>
      <w:proofErr w:type="spellStart"/>
      <w:r w:rsidRPr="0062442A">
        <w:rPr>
          <w:rFonts w:ascii="Arial" w:hAnsi="Arial" w:cs="Arial"/>
          <w:b/>
          <w:color w:val="auto"/>
          <w:sz w:val="20"/>
          <w:szCs w:val="20"/>
        </w:rPr>
        <w:t>Embase</w:t>
      </w:r>
      <w:proofErr w:type="spellEnd"/>
      <w:r w:rsidRPr="0062442A">
        <w:rPr>
          <w:rFonts w:ascii="Arial" w:hAnsi="Arial" w:cs="Arial"/>
          <w:b/>
          <w:color w:val="auto"/>
          <w:sz w:val="20"/>
          <w:szCs w:val="20"/>
        </w:rPr>
        <w:t>, Medline and Global Health)</w:t>
      </w:r>
      <w:bookmarkEnd w:id="3"/>
    </w:p>
    <w:p w14:paraId="1B50FE8E" w14:textId="77777777" w:rsidR="000745F8" w:rsidRPr="00070DE1" w:rsidRDefault="000745F8" w:rsidP="0062442A">
      <w:pPr>
        <w:pStyle w:val="NoSpacing"/>
        <w:rPr>
          <w:lang w:val="en-GB"/>
        </w:rPr>
      </w:pPr>
    </w:p>
    <w:tbl>
      <w:tblPr>
        <w:tblStyle w:val="TableGrid"/>
        <w:tblW w:w="0" w:type="auto"/>
        <w:tblLook w:val="04A0" w:firstRow="1" w:lastRow="0" w:firstColumn="1" w:lastColumn="0" w:noHBand="0" w:noVBand="1"/>
      </w:tblPr>
      <w:tblGrid>
        <w:gridCol w:w="440"/>
        <w:gridCol w:w="8614"/>
      </w:tblGrid>
      <w:tr w:rsidR="000745F8" w:rsidRPr="0062442A" w14:paraId="42DF0068" w14:textId="77777777" w:rsidTr="00A82753">
        <w:tc>
          <w:tcPr>
            <w:tcW w:w="440" w:type="dxa"/>
          </w:tcPr>
          <w:p w14:paraId="0D423FB7"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w:t>
            </w:r>
          </w:p>
        </w:tc>
        <w:tc>
          <w:tcPr>
            <w:tcW w:w="8614" w:type="dxa"/>
          </w:tcPr>
          <w:p w14:paraId="419316D0"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exp Cholesterol/</w:t>
            </w:r>
          </w:p>
        </w:tc>
      </w:tr>
      <w:tr w:rsidR="000745F8" w:rsidRPr="0062442A" w14:paraId="7D293C80" w14:textId="77777777" w:rsidTr="00A82753">
        <w:tc>
          <w:tcPr>
            <w:tcW w:w="440" w:type="dxa"/>
          </w:tcPr>
          <w:p w14:paraId="001F5D44"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2</w:t>
            </w:r>
          </w:p>
        </w:tc>
        <w:tc>
          <w:tcPr>
            <w:tcW w:w="8614" w:type="dxa"/>
          </w:tcPr>
          <w:p w14:paraId="4E49B81E"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cholesterol.mp.</w:t>
            </w:r>
          </w:p>
        </w:tc>
      </w:tr>
      <w:tr w:rsidR="000745F8" w:rsidRPr="0062442A" w14:paraId="38755201" w14:textId="77777777" w:rsidTr="00A82753">
        <w:tc>
          <w:tcPr>
            <w:tcW w:w="440" w:type="dxa"/>
          </w:tcPr>
          <w:p w14:paraId="3202EE6A"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3</w:t>
            </w:r>
          </w:p>
        </w:tc>
        <w:tc>
          <w:tcPr>
            <w:tcW w:w="8614" w:type="dxa"/>
          </w:tcPr>
          <w:p w14:paraId="35813259"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 or 2</w:t>
            </w:r>
          </w:p>
        </w:tc>
      </w:tr>
      <w:tr w:rsidR="000745F8" w:rsidRPr="0062442A" w14:paraId="19B0385C" w14:textId="77777777" w:rsidTr="00A82753">
        <w:tc>
          <w:tcPr>
            <w:tcW w:w="440" w:type="dxa"/>
          </w:tcPr>
          <w:p w14:paraId="07D7C9C2" w14:textId="77777777" w:rsidR="000745F8" w:rsidRPr="0062442A" w:rsidRDefault="000745F8" w:rsidP="00A82753">
            <w:pPr>
              <w:jc w:val="both"/>
              <w:rPr>
                <w:rFonts w:ascii="Arial" w:hAnsi="Arial" w:cs="Arial"/>
                <w:sz w:val="20"/>
                <w:szCs w:val="20"/>
                <w:lang w:val="en-GB"/>
              </w:rPr>
            </w:pPr>
          </w:p>
        </w:tc>
        <w:tc>
          <w:tcPr>
            <w:tcW w:w="8614" w:type="dxa"/>
          </w:tcPr>
          <w:p w14:paraId="7C63BF56" w14:textId="77777777" w:rsidR="000745F8" w:rsidRPr="0062442A" w:rsidRDefault="000745F8" w:rsidP="00A82753">
            <w:pPr>
              <w:jc w:val="both"/>
              <w:rPr>
                <w:rFonts w:ascii="Arial" w:hAnsi="Arial" w:cs="Arial"/>
                <w:sz w:val="20"/>
                <w:szCs w:val="20"/>
                <w:lang w:val="en-GB"/>
              </w:rPr>
            </w:pPr>
          </w:p>
        </w:tc>
      </w:tr>
      <w:tr w:rsidR="000745F8" w:rsidRPr="0062442A" w14:paraId="77D92F98" w14:textId="77777777" w:rsidTr="00A82753">
        <w:tc>
          <w:tcPr>
            <w:tcW w:w="440" w:type="dxa"/>
          </w:tcPr>
          <w:p w14:paraId="186EED7A"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4</w:t>
            </w:r>
          </w:p>
        </w:tc>
        <w:tc>
          <w:tcPr>
            <w:tcW w:w="8614" w:type="dxa"/>
          </w:tcPr>
          <w:p w14:paraId="729922CE"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exp Cholesterol, LDL/</w:t>
            </w:r>
          </w:p>
        </w:tc>
      </w:tr>
      <w:tr w:rsidR="000745F8" w:rsidRPr="0062442A" w14:paraId="2BF2F903" w14:textId="77777777" w:rsidTr="00A82753">
        <w:tc>
          <w:tcPr>
            <w:tcW w:w="440" w:type="dxa"/>
          </w:tcPr>
          <w:p w14:paraId="6203D6AC"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5</w:t>
            </w:r>
          </w:p>
        </w:tc>
        <w:tc>
          <w:tcPr>
            <w:tcW w:w="8614" w:type="dxa"/>
          </w:tcPr>
          <w:p w14:paraId="484F7972"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ldl-cholesterol.mp.</w:t>
            </w:r>
          </w:p>
        </w:tc>
      </w:tr>
      <w:tr w:rsidR="000745F8" w:rsidRPr="0062442A" w14:paraId="33644109" w14:textId="77777777" w:rsidTr="00A82753">
        <w:tc>
          <w:tcPr>
            <w:tcW w:w="440" w:type="dxa"/>
          </w:tcPr>
          <w:p w14:paraId="23479F77"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6</w:t>
            </w:r>
          </w:p>
        </w:tc>
        <w:tc>
          <w:tcPr>
            <w:tcW w:w="8614" w:type="dxa"/>
          </w:tcPr>
          <w:p w14:paraId="0DBD54A0"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low density lipoprotein cholesterol.mp.</w:t>
            </w:r>
          </w:p>
        </w:tc>
      </w:tr>
      <w:tr w:rsidR="000745F8" w:rsidRPr="0062442A" w14:paraId="5F390D60" w14:textId="77777777" w:rsidTr="00A82753">
        <w:tc>
          <w:tcPr>
            <w:tcW w:w="440" w:type="dxa"/>
          </w:tcPr>
          <w:p w14:paraId="281FD7FA"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7</w:t>
            </w:r>
          </w:p>
        </w:tc>
        <w:tc>
          <w:tcPr>
            <w:tcW w:w="8614" w:type="dxa"/>
          </w:tcPr>
          <w:p w14:paraId="68AD6643"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4 or 5 or 6</w:t>
            </w:r>
          </w:p>
        </w:tc>
      </w:tr>
      <w:tr w:rsidR="000745F8" w:rsidRPr="0062442A" w14:paraId="209DA01B" w14:textId="77777777" w:rsidTr="00A82753">
        <w:tc>
          <w:tcPr>
            <w:tcW w:w="440" w:type="dxa"/>
          </w:tcPr>
          <w:p w14:paraId="2AC31170" w14:textId="77777777" w:rsidR="000745F8" w:rsidRPr="0062442A" w:rsidRDefault="000745F8" w:rsidP="00A82753">
            <w:pPr>
              <w:jc w:val="both"/>
              <w:rPr>
                <w:rFonts w:ascii="Arial" w:hAnsi="Arial" w:cs="Arial"/>
                <w:sz w:val="20"/>
                <w:szCs w:val="20"/>
                <w:lang w:val="en-GB"/>
              </w:rPr>
            </w:pPr>
          </w:p>
        </w:tc>
        <w:tc>
          <w:tcPr>
            <w:tcW w:w="8614" w:type="dxa"/>
          </w:tcPr>
          <w:p w14:paraId="1880CF4E" w14:textId="77777777" w:rsidR="000745F8" w:rsidRPr="0062442A" w:rsidRDefault="000745F8" w:rsidP="00A82753">
            <w:pPr>
              <w:jc w:val="both"/>
              <w:rPr>
                <w:rFonts w:ascii="Arial" w:hAnsi="Arial" w:cs="Arial"/>
                <w:sz w:val="20"/>
                <w:szCs w:val="20"/>
                <w:lang w:val="en-GB"/>
              </w:rPr>
            </w:pPr>
          </w:p>
        </w:tc>
      </w:tr>
      <w:tr w:rsidR="000745F8" w:rsidRPr="0062442A" w14:paraId="3D7A86CE" w14:textId="77777777" w:rsidTr="00A82753">
        <w:tc>
          <w:tcPr>
            <w:tcW w:w="440" w:type="dxa"/>
          </w:tcPr>
          <w:p w14:paraId="5A13EB32"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8</w:t>
            </w:r>
          </w:p>
        </w:tc>
        <w:tc>
          <w:tcPr>
            <w:tcW w:w="8614" w:type="dxa"/>
          </w:tcPr>
          <w:p w14:paraId="4932D0A1"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exp Cholesterol, HDL/</w:t>
            </w:r>
          </w:p>
        </w:tc>
      </w:tr>
      <w:tr w:rsidR="000745F8" w:rsidRPr="0062442A" w14:paraId="1DDCD5B7" w14:textId="77777777" w:rsidTr="00A82753">
        <w:tc>
          <w:tcPr>
            <w:tcW w:w="440" w:type="dxa"/>
          </w:tcPr>
          <w:p w14:paraId="20927045"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9</w:t>
            </w:r>
          </w:p>
        </w:tc>
        <w:tc>
          <w:tcPr>
            <w:tcW w:w="8614" w:type="dxa"/>
          </w:tcPr>
          <w:p w14:paraId="2CE9BBF8"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hdl-cholesterol.mp.</w:t>
            </w:r>
          </w:p>
        </w:tc>
      </w:tr>
      <w:tr w:rsidR="000745F8" w:rsidRPr="0062442A" w14:paraId="72038330" w14:textId="77777777" w:rsidTr="00A82753">
        <w:tc>
          <w:tcPr>
            <w:tcW w:w="440" w:type="dxa"/>
          </w:tcPr>
          <w:p w14:paraId="3BFF7EEF"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10</w:t>
            </w:r>
          </w:p>
        </w:tc>
        <w:tc>
          <w:tcPr>
            <w:tcW w:w="8614" w:type="dxa"/>
          </w:tcPr>
          <w:p w14:paraId="53B56C2B"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high density lipoprotein cholesterol.mp.</w:t>
            </w:r>
          </w:p>
        </w:tc>
      </w:tr>
      <w:tr w:rsidR="000745F8" w:rsidRPr="0062442A" w14:paraId="445A1538" w14:textId="77777777" w:rsidTr="00A82753">
        <w:tc>
          <w:tcPr>
            <w:tcW w:w="440" w:type="dxa"/>
          </w:tcPr>
          <w:p w14:paraId="0BCCB2EA"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11</w:t>
            </w:r>
          </w:p>
        </w:tc>
        <w:tc>
          <w:tcPr>
            <w:tcW w:w="8614" w:type="dxa"/>
          </w:tcPr>
          <w:p w14:paraId="46F872D4"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8 or 9 or 10</w:t>
            </w:r>
          </w:p>
        </w:tc>
      </w:tr>
      <w:tr w:rsidR="000745F8" w:rsidRPr="0062442A" w14:paraId="338B3156" w14:textId="77777777" w:rsidTr="00A82753">
        <w:tc>
          <w:tcPr>
            <w:tcW w:w="440" w:type="dxa"/>
          </w:tcPr>
          <w:p w14:paraId="4EECD5E4" w14:textId="77777777" w:rsidR="000745F8" w:rsidRPr="0062442A" w:rsidRDefault="000745F8" w:rsidP="00A82753">
            <w:pPr>
              <w:jc w:val="both"/>
              <w:rPr>
                <w:rFonts w:ascii="Arial" w:hAnsi="Arial" w:cs="Arial"/>
                <w:sz w:val="20"/>
                <w:szCs w:val="20"/>
                <w:lang w:val="en-GB"/>
              </w:rPr>
            </w:pPr>
          </w:p>
        </w:tc>
        <w:tc>
          <w:tcPr>
            <w:tcW w:w="8614" w:type="dxa"/>
          </w:tcPr>
          <w:p w14:paraId="6ED66FC8" w14:textId="77777777" w:rsidR="000745F8" w:rsidRPr="0062442A" w:rsidRDefault="000745F8" w:rsidP="00A82753">
            <w:pPr>
              <w:jc w:val="both"/>
              <w:rPr>
                <w:rFonts w:ascii="Arial" w:hAnsi="Arial" w:cs="Arial"/>
                <w:sz w:val="20"/>
                <w:szCs w:val="20"/>
                <w:lang w:val="en-GB"/>
              </w:rPr>
            </w:pPr>
          </w:p>
        </w:tc>
      </w:tr>
      <w:tr w:rsidR="000745F8" w:rsidRPr="0062442A" w14:paraId="603D1902" w14:textId="77777777" w:rsidTr="00A82753">
        <w:tc>
          <w:tcPr>
            <w:tcW w:w="440" w:type="dxa"/>
          </w:tcPr>
          <w:p w14:paraId="7DF07672"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12</w:t>
            </w:r>
          </w:p>
        </w:tc>
        <w:tc>
          <w:tcPr>
            <w:tcW w:w="8614" w:type="dxa"/>
          </w:tcPr>
          <w:p w14:paraId="0CFCFB30"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exp Triglycerides/</w:t>
            </w:r>
          </w:p>
        </w:tc>
      </w:tr>
      <w:tr w:rsidR="000745F8" w:rsidRPr="0062442A" w14:paraId="3110BCF6" w14:textId="77777777" w:rsidTr="00A82753">
        <w:tc>
          <w:tcPr>
            <w:tcW w:w="440" w:type="dxa"/>
          </w:tcPr>
          <w:p w14:paraId="22F540E3"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13</w:t>
            </w:r>
          </w:p>
        </w:tc>
        <w:tc>
          <w:tcPr>
            <w:tcW w:w="8614" w:type="dxa"/>
          </w:tcPr>
          <w:p w14:paraId="35C7122B"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triglycerides.mp.</w:t>
            </w:r>
          </w:p>
        </w:tc>
      </w:tr>
      <w:tr w:rsidR="000745F8" w:rsidRPr="0062442A" w14:paraId="340D249A" w14:textId="77777777" w:rsidTr="00A82753">
        <w:tc>
          <w:tcPr>
            <w:tcW w:w="440" w:type="dxa"/>
          </w:tcPr>
          <w:p w14:paraId="6A2DEBD4"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14</w:t>
            </w:r>
          </w:p>
        </w:tc>
        <w:tc>
          <w:tcPr>
            <w:tcW w:w="8614" w:type="dxa"/>
          </w:tcPr>
          <w:p w14:paraId="7EBD0246"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12 or 13</w:t>
            </w:r>
          </w:p>
        </w:tc>
      </w:tr>
      <w:tr w:rsidR="000745F8" w:rsidRPr="0062442A" w14:paraId="48FAB827" w14:textId="77777777" w:rsidTr="00A82753">
        <w:tc>
          <w:tcPr>
            <w:tcW w:w="440" w:type="dxa"/>
          </w:tcPr>
          <w:p w14:paraId="7741F472" w14:textId="77777777" w:rsidR="000745F8" w:rsidRPr="0062442A" w:rsidRDefault="000745F8" w:rsidP="00A82753">
            <w:pPr>
              <w:jc w:val="both"/>
              <w:rPr>
                <w:rFonts w:ascii="Arial" w:hAnsi="Arial" w:cs="Arial"/>
                <w:sz w:val="20"/>
                <w:szCs w:val="20"/>
                <w:lang w:val="en-GB"/>
              </w:rPr>
            </w:pPr>
          </w:p>
        </w:tc>
        <w:tc>
          <w:tcPr>
            <w:tcW w:w="8614" w:type="dxa"/>
          </w:tcPr>
          <w:p w14:paraId="384BA4B6" w14:textId="77777777" w:rsidR="000745F8" w:rsidRPr="0062442A" w:rsidRDefault="000745F8" w:rsidP="00A82753">
            <w:pPr>
              <w:jc w:val="both"/>
              <w:rPr>
                <w:rFonts w:ascii="Arial" w:hAnsi="Arial" w:cs="Arial"/>
                <w:sz w:val="20"/>
                <w:szCs w:val="20"/>
                <w:lang w:val="en-GB"/>
              </w:rPr>
            </w:pPr>
          </w:p>
        </w:tc>
      </w:tr>
      <w:tr w:rsidR="000745F8" w:rsidRPr="0062442A" w14:paraId="274AB2BE" w14:textId="77777777" w:rsidTr="00A82753">
        <w:tc>
          <w:tcPr>
            <w:tcW w:w="440" w:type="dxa"/>
          </w:tcPr>
          <w:p w14:paraId="5577886F"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15</w:t>
            </w:r>
          </w:p>
        </w:tc>
        <w:tc>
          <w:tcPr>
            <w:tcW w:w="8614" w:type="dxa"/>
          </w:tcPr>
          <w:p w14:paraId="65B9E31D"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dyslipidemi$.mp.</w:t>
            </w:r>
          </w:p>
        </w:tc>
      </w:tr>
      <w:tr w:rsidR="000745F8" w:rsidRPr="0062442A" w14:paraId="2558B3F9" w14:textId="77777777" w:rsidTr="00A82753">
        <w:tc>
          <w:tcPr>
            <w:tcW w:w="440" w:type="dxa"/>
          </w:tcPr>
          <w:p w14:paraId="77B7E961"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16</w:t>
            </w:r>
          </w:p>
        </w:tc>
        <w:tc>
          <w:tcPr>
            <w:tcW w:w="8614" w:type="dxa"/>
          </w:tcPr>
          <w:p w14:paraId="65811D94"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lipid disorder.mp.</w:t>
            </w:r>
          </w:p>
        </w:tc>
      </w:tr>
      <w:tr w:rsidR="000745F8" w:rsidRPr="0062442A" w14:paraId="4A560655" w14:textId="77777777" w:rsidTr="00A82753">
        <w:tc>
          <w:tcPr>
            <w:tcW w:w="440" w:type="dxa"/>
          </w:tcPr>
          <w:p w14:paraId="56FD1EF0"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17</w:t>
            </w:r>
          </w:p>
        </w:tc>
        <w:tc>
          <w:tcPr>
            <w:tcW w:w="8614" w:type="dxa"/>
          </w:tcPr>
          <w:p w14:paraId="4798C1F7"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hypercholesterolemia.mp.</w:t>
            </w:r>
          </w:p>
        </w:tc>
      </w:tr>
      <w:tr w:rsidR="000745F8" w:rsidRPr="0062442A" w14:paraId="59C06049" w14:textId="77777777" w:rsidTr="00A82753">
        <w:tc>
          <w:tcPr>
            <w:tcW w:w="440" w:type="dxa"/>
          </w:tcPr>
          <w:p w14:paraId="613DD068"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18</w:t>
            </w:r>
          </w:p>
        </w:tc>
        <w:tc>
          <w:tcPr>
            <w:tcW w:w="8614" w:type="dxa"/>
          </w:tcPr>
          <w:p w14:paraId="1B710458"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hypertriglyceridemia.mp.</w:t>
            </w:r>
          </w:p>
        </w:tc>
      </w:tr>
      <w:tr w:rsidR="000745F8" w:rsidRPr="0062442A" w14:paraId="4B62F8C1" w14:textId="77777777" w:rsidTr="00A82753">
        <w:tc>
          <w:tcPr>
            <w:tcW w:w="440" w:type="dxa"/>
          </w:tcPr>
          <w:p w14:paraId="443AB2D3"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19</w:t>
            </w:r>
          </w:p>
        </w:tc>
        <w:tc>
          <w:tcPr>
            <w:tcW w:w="8614" w:type="dxa"/>
          </w:tcPr>
          <w:p w14:paraId="1AEB2E7C"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hyperlipidemia.mp.</w:t>
            </w:r>
          </w:p>
        </w:tc>
      </w:tr>
      <w:tr w:rsidR="000745F8" w:rsidRPr="0062442A" w14:paraId="3872C49B" w14:textId="77777777" w:rsidTr="00A82753">
        <w:tc>
          <w:tcPr>
            <w:tcW w:w="440" w:type="dxa"/>
          </w:tcPr>
          <w:p w14:paraId="2EEDD650"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20</w:t>
            </w:r>
          </w:p>
        </w:tc>
        <w:tc>
          <w:tcPr>
            <w:tcW w:w="8614" w:type="dxa"/>
          </w:tcPr>
          <w:p w14:paraId="75437880"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15 or 16 or 17 or 18 or 19</w:t>
            </w:r>
          </w:p>
        </w:tc>
      </w:tr>
      <w:tr w:rsidR="000745F8" w:rsidRPr="0062442A" w14:paraId="63F16154" w14:textId="77777777" w:rsidTr="00A82753">
        <w:tc>
          <w:tcPr>
            <w:tcW w:w="440" w:type="dxa"/>
          </w:tcPr>
          <w:p w14:paraId="25ED3CC3" w14:textId="77777777" w:rsidR="000745F8" w:rsidRPr="0062442A" w:rsidRDefault="000745F8" w:rsidP="00A82753">
            <w:pPr>
              <w:jc w:val="both"/>
              <w:rPr>
                <w:rFonts w:ascii="Arial" w:hAnsi="Arial" w:cs="Arial"/>
                <w:sz w:val="20"/>
                <w:szCs w:val="20"/>
                <w:lang w:val="en-GB"/>
              </w:rPr>
            </w:pPr>
          </w:p>
        </w:tc>
        <w:tc>
          <w:tcPr>
            <w:tcW w:w="8614" w:type="dxa"/>
          </w:tcPr>
          <w:p w14:paraId="1940BF23" w14:textId="77777777" w:rsidR="000745F8" w:rsidRPr="0062442A" w:rsidRDefault="000745F8" w:rsidP="00A82753">
            <w:pPr>
              <w:jc w:val="both"/>
              <w:rPr>
                <w:rFonts w:ascii="Arial" w:hAnsi="Arial" w:cs="Arial"/>
                <w:sz w:val="20"/>
                <w:szCs w:val="20"/>
                <w:lang w:val="en-GB"/>
              </w:rPr>
            </w:pPr>
          </w:p>
        </w:tc>
      </w:tr>
      <w:tr w:rsidR="000745F8" w:rsidRPr="0062442A" w14:paraId="6E1FEE67" w14:textId="77777777" w:rsidTr="00A82753">
        <w:tc>
          <w:tcPr>
            <w:tcW w:w="440" w:type="dxa"/>
          </w:tcPr>
          <w:p w14:paraId="3E2FB586"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21</w:t>
            </w:r>
          </w:p>
        </w:tc>
        <w:tc>
          <w:tcPr>
            <w:tcW w:w="8614" w:type="dxa"/>
          </w:tcPr>
          <w:p w14:paraId="47539FA2"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3 or 7 or 11 or 14 or 20</w:t>
            </w:r>
          </w:p>
        </w:tc>
      </w:tr>
      <w:tr w:rsidR="000745F8" w:rsidRPr="0062442A" w14:paraId="3535A2ED" w14:textId="77777777" w:rsidTr="00A82753">
        <w:tc>
          <w:tcPr>
            <w:tcW w:w="440" w:type="dxa"/>
          </w:tcPr>
          <w:p w14:paraId="5A09DC7A" w14:textId="77777777" w:rsidR="000745F8" w:rsidRPr="0062442A" w:rsidRDefault="000745F8" w:rsidP="00A82753">
            <w:pPr>
              <w:jc w:val="both"/>
              <w:rPr>
                <w:rFonts w:ascii="Arial" w:hAnsi="Arial" w:cs="Arial"/>
                <w:sz w:val="20"/>
                <w:szCs w:val="20"/>
                <w:lang w:val="en-GB"/>
              </w:rPr>
            </w:pPr>
          </w:p>
        </w:tc>
        <w:tc>
          <w:tcPr>
            <w:tcW w:w="8614" w:type="dxa"/>
          </w:tcPr>
          <w:p w14:paraId="475C2649" w14:textId="77777777" w:rsidR="000745F8" w:rsidRPr="0062442A" w:rsidRDefault="000745F8" w:rsidP="00A82753">
            <w:pPr>
              <w:jc w:val="both"/>
              <w:rPr>
                <w:rFonts w:ascii="Arial" w:hAnsi="Arial" w:cs="Arial"/>
                <w:sz w:val="20"/>
                <w:szCs w:val="20"/>
                <w:lang w:val="en-GB"/>
              </w:rPr>
            </w:pPr>
          </w:p>
        </w:tc>
      </w:tr>
      <w:tr w:rsidR="000745F8" w:rsidRPr="0062442A" w14:paraId="741D41FC" w14:textId="77777777" w:rsidTr="00A82753">
        <w:tc>
          <w:tcPr>
            <w:tcW w:w="440" w:type="dxa"/>
          </w:tcPr>
          <w:p w14:paraId="65B820DB"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22</w:t>
            </w:r>
          </w:p>
        </w:tc>
        <w:tc>
          <w:tcPr>
            <w:tcW w:w="8614" w:type="dxa"/>
          </w:tcPr>
          <w:p w14:paraId="63D16BB1" w14:textId="77777777" w:rsidR="000745F8" w:rsidRPr="0062442A" w:rsidRDefault="000745F8" w:rsidP="00A82753">
            <w:pPr>
              <w:jc w:val="both"/>
              <w:rPr>
                <w:rFonts w:ascii="Arial" w:hAnsi="Arial" w:cs="Arial"/>
                <w:sz w:val="20"/>
                <w:szCs w:val="20"/>
                <w:shd w:val="clear" w:color="auto" w:fill="FFFFFF"/>
                <w:lang w:val="en-US"/>
              </w:rPr>
            </w:pPr>
            <w:r w:rsidRPr="0062442A">
              <w:rPr>
                <w:rFonts w:ascii="Arial" w:hAnsi="Arial" w:cs="Arial"/>
                <w:sz w:val="20"/>
                <w:szCs w:val="20"/>
                <w:shd w:val="clear" w:color="auto" w:fill="FFFFFF"/>
                <w:lang w:val="en-US"/>
              </w:rPr>
              <w:t xml:space="preserve">(("Antigua and Barbuda") or ("Argentina") or ("Bahamas") or ("Barbados") or ("Belize") or ("Bolivia") or ("Brazil") or ("United States Virgin Islands") or ("British Virgin Islands") or ("Chile") or ("Colombia") or ("Costa Rica") or ("Cuba") or ("Dominica") or ("Dominican Republic") or ("Ecuador") or ("El Salvador") or ("Grenada") or ("Guatemala") or ("Guyana") or ("Haiti") or ("Honduras") or ("Jamaica") or ("Mexico") or ("Nicaragua") or ("Panama") or ("Paraguay") or ("Peru") or ("Puerto Rico") or ("Saint Kitts and Nevis") or ("Saint Lucia") or ("Saint Vincent and the Grenadines") or ("Suriname") or ("Trinidad and Tobago") or ("West Indies") or ("Uruguay") or ("Venezuela") or ("Latin America") or </w:t>
            </w:r>
            <w:proofErr w:type="spellStart"/>
            <w:r w:rsidRPr="0062442A">
              <w:rPr>
                <w:rFonts w:ascii="Arial" w:hAnsi="Arial" w:cs="Arial"/>
                <w:sz w:val="20"/>
                <w:szCs w:val="20"/>
                <w:shd w:val="clear" w:color="auto" w:fill="FFFFFF"/>
                <w:lang w:val="en-US"/>
              </w:rPr>
              <w:t>latin</w:t>
            </w:r>
            <w:proofErr w:type="spellEnd"/>
            <w:r w:rsidRPr="0062442A">
              <w:rPr>
                <w:rFonts w:ascii="Arial" w:hAnsi="Arial" w:cs="Arial"/>
                <w:sz w:val="20"/>
                <w:szCs w:val="20"/>
                <w:shd w:val="clear" w:color="auto" w:fill="FFFFFF"/>
                <w:lang w:val="en-US"/>
              </w:rPr>
              <w:t xml:space="preserve"> </w:t>
            </w:r>
            <w:proofErr w:type="spellStart"/>
            <w:r w:rsidRPr="0062442A">
              <w:rPr>
                <w:rFonts w:ascii="Arial" w:hAnsi="Arial" w:cs="Arial"/>
                <w:sz w:val="20"/>
                <w:szCs w:val="20"/>
                <w:shd w:val="clear" w:color="auto" w:fill="FFFFFF"/>
                <w:lang w:val="en-US"/>
              </w:rPr>
              <w:t>amer</w:t>
            </w:r>
            <w:proofErr w:type="spellEnd"/>
            <w:r w:rsidRPr="0062442A">
              <w:rPr>
                <w:rFonts w:ascii="Arial" w:hAnsi="Arial" w:cs="Arial"/>
                <w:sz w:val="20"/>
                <w:szCs w:val="20"/>
                <w:shd w:val="clear" w:color="auto" w:fill="FFFFFF"/>
                <w:lang w:val="en-US"/>
              </w:rPr>
              <w:t xml:space="preserve">$ or ("South America") or south </w:t>
            </w:r>
            <w:proofErr w:type="spellStart"/>
            <w:r w:rsidRPr="0062442A">
              <w:rPr>
                <w:rFonts w:ascii="Arial" w:hAnsi="Arial" w:cs="Arial"/>
                <w:sz w:val="20"/>
                <w:szCs w:val="20"/>
                <w:shd w:val="clear" w:color="auto" w:fill="FFFFFF"/>
                <w:lang w:val="en-US"/>
              </w:rPr>
              <w:t>amer</w:t>
            </w:r>
            <w:proofErr w:type="spellEnd"/>
            <w:r w:rsidRPr="0062442A">
              <w:rPr>
                <w:rFonts w:ascii="Arial" w:hAnsi="Arial" w:cs="Arial"/>
                <w:sz w:val="20"/>
                <w:szCs w:val="20"/>
                <w:shd w:val="clear" w:color="auto" w:fill="FFFFFF"/>
                <w:lang w:val="en-US"/>
              </w:rPr>
              <w:t xml:space="preserve">$ or ("Central America") or central </w:t>
            </w:r>
            <w:proofErr w:type="spellStart"/>
            <w:r w:rsidRPr="0062442A">
              <w:rPr>
                <w:rFonts w:ascii="Arial" w:hAnsi="Arial" w:cs="Arial"/>
                <w:sz w:val="20"/>
                <w:szCs w:val="20"/>
                <w:shd w:val="clear" w:color="auto" w:fill="FFFFFF"/>
                <w:lang w:val="en-US"/>
              </w:rPr>
              <w:t>amer</w:t>
            </w:r>
            <w:proofErr w:type="spellEnd"/>
            <w:r w:rsidRPr="0062442A">
              <w:rPr>
                <w:rFonts w:ascii="Arial" w:hAnsi="Arial" w:cs="Arial"/>
                <w:sz w:val="20"/>
                <w:szCs w:val="20"/>
                <w:shd w:val="clear" w:color="auto" w:fill="FFFFFF"/>
                <w:lang w:val="en-US"/>
              </w:rPr>
              <w:t>$ or ("Caribbean Region"))</w:t>
            </w:r>
          </w:p>
        </w:tc>
      </w:tr>
      <w:tr w:rsidR="000745F8" w:rsidRPr="0062442A" w14:paraId="2C137F03" w14:textId="77777777" w:rsidTr="00A82753">
        <w:tc>
          <w:tcPr>
            <w:tcW w:w="440" w:type="dxa"/>
          </w:tcPr>
          <w:p w14:paraId="217954D6" w14:textId="77777777" w:rsidR="000745F8" w:rsidRPr="0062442A" w:rsidRDefault="000745F8" w:rsidP="00A82753">
            <w:pPr>
              <w:jc w:val="both"/>
              <w:rPr>
                <w:rFonts w:ascii="Arial" w:hAnsi="Arial" w:cs="Arial"/>
                <w:sz w:val="20"/>
                <w:szCs w:val="20"/>
                <w:lang w:val="en-GB"/>
              </w:rPr>
            </w:pPr>
          </w:p>
        </w:tc>
        <w:tc>
          <w:tcPr>
            <w:tcW w:w="8614" w:type="dxa"/>
          </w:tcPr>
          <w:p w14:paraId="46B86BFC" w14:textId="77777777" w:rsidR="000745F8" w:rsidRPr="0062442A" w:rsidRDefault="000745F8" w:rsidP="00A82753">
            <w:pPr>
              <w:jc w:val="both"/>
              <w:rPr>
                <w:rFonts w:ascii="Arial" w:hAnsi="Arial" w:cs="Arial"/>
                <w:sz w:val="20"/>
                <w:szCs w:val="20"/>
                <w:shd w:val="clear" w:color="auto" w:fill="FFFFFF"/>
                <w:lang w:val="en-US"/>
              </w:rPr>
            </w:pPr>
          </w:p>
        </w:tc>
      </w:tr>
      <w:tr w:rsidR="000745F8" w:rsidRPr="0062442A" w14:paraId="08C3F8A3" w14:textId="77777777" w:rsidTr="00A82753">
        <w:tc>
          <w:tcPr>
            <w:tcW w:w="440" w:type="dxa"/>
          </w:tcPr>
          <w:p w14:paraId="02FC4F1D"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23</w:t>
            </w:r>
          </w:p>
        </w:tc>
        <w:tc>
          <w:tcPr>
            <w:tcW w:w="8614" w:type="dxa"/>
          </w:tcPr>
          <w:p w14:paraId="2473C7C8" w14:textId="77777777" w:rsidR="000745F8" w:rsidRPr="0062442A" w:rsidRDefault="000745F8" w:rsidP="00A82753">
            <w:pPr>
              <w:jc w:val="both"/>
              <w:rPr>
                <w:rFonts w:ascii="Arial" w:hAnsi="Arial" w:cs="Arial"/>
                <w:sz w:val="20"/>
                <w:szCs w:val="20"/>
                <w:shd w:val="clear" w:color="auto" w:fill="FFFFFF"/>
                <w:lang w:val="en-US"/>
              </w:rPr>
            </w:pPr>
            <w:r w:rsidRPr="0062442A">
              <w:rPr>
                <w:rFonts w:ascii="Arial" w:hAnsi="Arial" w:cs="Arial"/>
                <w:sz w:val="20"/>
                <w:szCs w:val="20"/>
                <w:shd w:val="clear" w:color="auto" w:fill="FFFFFF"/>
                <w:lang w:val="en-US"/>
              </w:rPr>
              <w:t>21 and 22</w:t>
            </w:r>
          </w:p>
        </w:tc>
      </w:tr>
      <w:tr w:rsidR="000745F8" w:rsidRPr="0062442A" w14:paraId="6480DFC0" w14:textId="77777777" w:rsidTr="00A82753">
        <w:tc>
          <w:tcPr>
            <w:tcW w:w="440" w:type="dxa"/>
          </w:tcPr>
          <w:p w14:paraId="61263970"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24</w:t>
            </w:r>
          </w:p>
        </w:tc>
        <w:tc>
          <w:tcPr>
            <w:tcW w:w="8614" w:type="dxa"/>
          </w:tcPr>
          <w:p w14:paraId="12766EAF" w14:textId="77777777" w:rsidR="000745F8" w:rsidRPr="0062442A" w:rsidRDefault="000745F8" w:rsidP="00A82753">
            <w:pPr>
              <w:jc w:val="both"/>
              <w:rPr>
                <w:rFonts w:ascii="Arial" w:hAnsi="Arial" w:cs="Arial"/>
                <w:sz w:val="20"/>
                <w:szCs w:val="20"/>
                <w:shd w:val="clear" w:color="auto" w:fill="FFFFFF"/>
                <w:lang w:val="en-US"/>
              </w:rPr>
            </w:pPr>
            <w:r w:rsidRPr="0062442A">
              <w:rPr>
                <w:rFonts w:ascii="Arial" w:hAnsi="Arial" w:cs="Arial"/>
                <w:sz w:val="20"/>
                <w:szCs w:val="20"/>
                <w:shd w:val="clear" w:color="auto" w:fill="FFFFFF"/>
                <w:lang w:val="en-US"/>
              </w:rPr>
              <w:t>exp animals/ not humans.sh.</w:t>
            </w:r>
          </w:p>
        </w:tc>
      </w:tr>
      <w:tr w:rsidR="000745F8" w:rsidRPr="0062442A" w14:paraId="2CAD09EF" w14:textId="77777777" w:rsidTr="00A82753">
        <w:tc>
          <w:tcPr>
            <w:tcW w:w="440" w:type="dxa"/>
          </w:tcPr>
          <w:p w14:paraId="3F14C116"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25</w:t>
            </w:r>
          </w:p>
        </w:tc>
        <w:tc>
          <w:tcPr>
            <w:tcW w:w="8614" w:type="dxa"/>
          </w:tcPr>
          <w:p w14:paraId="1A4037E5" w14:textId="77777777" w:rsidR="000745F8" w:rsidRPr="0062442A" w:rsidRDefault="000745F8" w:rsidP="00A82753">
            <w:pPr>
              <w:jc w:val="both"/>
              <w:rPr>
                <w:rFonts w:ascii="Arial" w:hAnsi="Arial" w:cs="Arial"/>
                <w:sz w:val="20"/>
                <w:szCs w:val="20"/>
                <w:shd w:val="clear" w:color="auto" w:fill="FFFFFF"/>
              </w:rPr>
            </w:pPr>
            <w:r w:rsidRPr="0062442A">
              <w:rPr>
                <w:rFonts w:ascii="Arial" w:hAnsi="Arial" w:cs="Arial"/>
                <w:sz w:val="20"/>
                <w:szCs w:val="20"/>
                <w:shd w:val="clear" w:color="auto" w:fill="FFFFFF"/>
              </w:rPr>
              <w:t xml:space="preserve">23 </w:t>
            </w:r>
            <w:proofErr w:type="spellStart"/>
            <w:r w:rsidRPr="0062442A">
              <w:rPr>
                <w:rFonts w:ascii="Arial" w:hAnsi="Arial" w:cs="Arial"/>
                <w:sz w:val="20"/>
                <w:szCs w:val="20"/>
                <w:shd w:val="clear" w:color="auto" w:fill="FFFFFF"/>
              </w:rPr>
              <w:t>not</w:t>
            </w:r>
            <w:proofErr w:type="spellEnd"/>
            <w:r w:rsidRPr="0062442A">
              <w:rPr>
                <w:rFonts w:ascii="Arial" w:hAnsi="Arial" w:cs="Arial"/>
                <w:sz w:val="20"/>
                <w:szCs w:val="20"/>
                <w:shd w:val="clear" w:color="auto" w:fill="FFFFFF"/>
              </w:rPr>
              <w:t xml:space="preserve"> 24</w:t>
            </w:r>
          </w:p>
        </w:tc>
      </w:tr>
      <w:tr w:rsidR="000745F8" w:rsidRPr="0062442A" w14:paraId="5F13BDB8" w14:textId="77777777" w:rsidTr="00A82753">
        <w:tc>
          <w:tcPr>
            <w:tcW w:w="440" w:type="dxa"/>
          </w:tcPr>
          <w:p w14:paraId="0562E314" w14:textId="77777777" w:rsidR="000745F8" w:rsidRPr="0062442A" w:rsidRDefault="000745F8" w:rsidP="00A82753">
            <w:pPr>
              <w:jc w:val="both"/>
              <w:rPr>
                <w:rFonts w:ascii="Arial" w:hAnsi="Arial" w:cs="Arial"/>
                <w:sz w:val="20"/>
                <w:szCs w:val="20"/>
                <w:lang w:val="en-GB"/>
              </w:rPr>
            </w:pPr>
            <w:r w:rsidRPr="0062442A">
              <w:rPr>
                <w:rFonts w:ascii="Arial" w:hAnsi="Arial" w:cs="Arial"/>
                <w:sz w:val="20"/>
                <w:szCs w:val="20"/>
                <w:lang w:val="en-GB"/>
              </w:rPr>
              <w:t>26</w:t>
            </w:r>
          </w:p>
        </w:tc>
        <w:tc>
          <w:tcPr>
            <w:tcW w:w="8614" w:type="dxa"/>
          </w:tcPr>
          <w:p w14:paraId="3DAE3428" w14:textId="77777777" w:rsidR="000745F8" w:rsidRPr="0062442A" w:rsidRDefault="000745F8" w:rsidP="00A82753">
            <w:pPr>
              <w:jc w:val="both"/>
              <w:rPr>
                <w:rFonts w:ascii="Arial" w:hAnsi="Arial" w:cs="Arial"/>
                <w:sz w:val="20"/>
                <w:szCs w:val="20"/>
                <w:shd w:val="clear" w:color="auto" w:fill="FFFFFF"/>
              </w:rPr>
            </w:pPr>
            <w:proofErr w:type="spellStart"/>
            <w:r w:rsidRPr="0062442A">
              <w:rPr>
                <w:rFonts w:ascii="Arial" w:hAnsi="Arial" w:cs="Arial"/>
                <w:sz w:val="20"/>
                <w:szCs w:val="20"/>
                <w:shd w:val="clear" w:color="auto" w:fill="FFFFFF"/>
              </w:rPr>
              <w:t>remove</w:t>
            </w:r>
            <w:proofErr w:type="spellEnd"/>
            <w:r w:rsidRPr="0062442A">
              <w:rPr>
                <w:rFonts w:ascii="Arial" w:hAnsi="Arial" w:cs="Arial"/>
                <w:sz w:val="20"/>
                <w:szCs w:val="20"/>
                <w:shd w:val="clear" w:color="auto" w:fill="FFFFFF"/>
              </w:rPr>
              <w:t xml:space="preserve"> </w:t>
            </w:r>
            <w:proofErr w:type="spellStart"/>
            <w:r w:rsidRPr="0062442A">
              <w:rPr>
                <w:rFonts w:ascii="Arial" w:hAnsi="Arial" w:cs="Arial"/>
                <w:sz w:val="20"/>
                <w:szCs w:val="20"/>
                <w:shd w:val="clear" w:color="auto" w:fill="FFFFFF"/>
              </w:rPr>
              <w:t>duplicates</w:t>
            </w:r>
            <w:proofErr w:type="spellEnd"/>
            <w:r w:rsidRPr="0062442A">
              <w:rPr>
                <w:rFonts w:ascii="Arial" w:hAnsi="Arial" w:cs="Arial"/>
                <w:sz w:val="20"/>
                <w:szCs w:val="20"/>
                <w:shd w:val="clear" w:color="auto" w:fill="FFFFFF"/>
              </w:rPr>
              <w:t xml:space="preserve"> </w:t>
            </w:r>
            <w:proofErr w:type="spellStart"/>
            <w:r w:rsidRPr="0062442A">
              <w:rPr>
                <w:rFonts w:ascii="Arial" w:hAnsi="Arial" w:cs="Arial"/>
                <w:sz w:val="20"/>
                <w:szCs w:val="20"/>
                <w:shd w:val="clear" w:color="auto" w:fill="FFFFFF"/>
              </w:rPr>
              <w:t>from</w:t>
            </w:r>
            <w:proofErr w:type="spellEnd"/>
            <w:r w:rsidRPr="0062442A">
              <w:rPr>
                <w:rFonts w:ascii="Arial" w:hAnsi="Arial" w:cs="Arial"/>
                <w:sz w:val="20"/>
                <w:szCs w:val="20"/>
                <w:shd w:val="clear" w:color="auto" w:fill="FFFFFF"/>
              </w:rPr>
              <w:t xml:space="preserve"> 25</w:t>
            </w:r>
          </w:p>
        </w:tc>
      </w:tr>
    </w:tbl>
    <w:p w14:paraId="136217DC" w14:textId="77777777" w:rsidR="000745F8" w:rsidRPr="0062442A" w:rsidRDefault="000745F8" w:rsidP="000745F8">
      <w:pPr>
        <w:rPr>
          <w:rFonts w:ascii="Arial" w:hAnsi="Arial" w:cs="Arial"/>
          <w:sz w:val="20"/>
          <w:szCs w:val="20"/>
        </w:rPr>
      </w:pPr>
    </w:p>
    <w:p w14:paraId="353A087F" w14:textId="77777777" w:rsidR="000745F8" w:rsidRPr="0062442A" w:rsidRDefault="000745F8" w:rsidP="000745F8">
      <w:pPr>
        <w:rPr>
          <w:rFonts w:ascii="Arial" w:hAnsi="Arial" w:cs="Arial"/>
          <w:sz w:val="20"/>
          <w:szCs w:val="20"/>
        </w:rPr>
      </w:pPr>
    </w:p>
    <w:p w14:paraId="0E64C51C" w14:textId="77777777" w:rsidR="000745F8" w:rsidRPr="0062442A" w:rsidRDefault="000745F8" w:rsidP="000745F8">
      <w:pPr>
        <w:pStyle w:val="Heading2"/>
        <w:rPr>
          <w:rFonts w:ascii="Arial" w:hAnsi="Arial" w:cs="Arial"/>
          <w:b/>
          <w:color w:val="auto"/>
          <w:sz w:val="20"/>
          <w:szCs w:val="20"/>
        </w:rPr>
      </w:pPr>
      <w:bookmarkStart w:id="4" w:name="_Toc42494719"/>
      <w:r w:rsidRPr="0062442A">
        <w:rPr>
          <w:rFonts w:ascii="Arial" w:hAnsi="Arial" w:cs="Arial"/>
          <w:b/>
          <w:color w:val="auto"/>
          <w:sz w:val="20"/>
          <w:szCs w:val="20"/>
        </w:rPr>
        <w:t>SCOPUS</w:t>
      </w:r>
      <w:bookmarkEnd w:id="4"/>
    </w:p>
    <w:p w14:paraId="4AEA75E6" w14:textId="77777777" w:rsidR="000745F8" w:rsidRPr="0062442A" w:rsidRDefault="000745F8" w:rsidP="000745F8">
      <w:pPr>
        <w:rPr>
          <w:rFonts w:ascii="Arial" w:hAnsi="Arial" w:cs="Arial"/>
          <w:sz w:val="20"/>
          <w:szCs w:val="20"/>
        </w:rPr>
      </w:pPr>
    </w:p>
    <w:p w14:paraId="1FB9D146" w14:textId="77777777" w:rsidR="000745F8" w:rsidRPr="0062442A" w:rsidRDefault="000745F8" w:rsidP="000745F8">
      <w:pPr>
        <w:jc w:val="both"/>
        <w:rPr>
          <w:rFonts w:ascii="Arial" w:hAnsi="Arial" w:cs="Arial"/>
          <w:sz w:val="20"/>
          <w:szCs w:val="20"/>
          <w:lang w:val="en-US"/>
        </w:rPr>
      </w:pPr>
      <w:r w:rsidRPr="0062442A">
        <w:rPr>
          <w:rFonts w:ascii="Arial" w:hAnsi="Arial" w:cs="Arial"/>
          <w:sz w:val="20"/>
          <w:szCs w:val="20"/>
          <w:lang w:val="en-US"/>
        </w:rPr>
        <w:t>(TITLE-ABS-KEY(cholesterol) OR TITLE-ABS-KEY(LDL cholesterol) OR TITLE-ABS-KEY(low density lipoprotein cholesterol) OR TITLE-ABS-KEY(HDL cholesterol) OR TITLE-ABS-KEY(high density lipoprotein cholesterol) OR TITLE-ABS-KEY(triglycerides) OR TITLE-ABS-KEY(</w:t>
      </w:r>
      <w:proofErr w:type="spellStart"/>
      <w:r w:rsidRPr="0062442A">
        <w:rPr>
          <w:rFonts w:ascii="Arial" w:hAnsi="Arial" w:cs="Arial"/>
          <w:sz w:val="20"/>
          <w:szCs w:val="20"/>
          <w:lang w:val="en-US"/>
        </w:rPr>
        <w:t>dyslipidemi</w:t>
      </w:r>
      <w:proofErr w:type="spellEnd"/>
      <w:r w:rsidRPr="0062442A">
        <w:rPr>
          <w:rFonts w:ascii="Arial" w:hAnsi="Arial" w:cs="Arial"/>
          <w:sz w:val="20"/>
          <w:szCs w:val="20"/>
          <w:lang w:val="en-US"/>
        </w:rPr>
        <w:t>*) OR TITLE-ABS-KEY(lipid disorder) OR TITLE-ABS-KEY(hypercholesterolemia) OR TITLE-ABS-</w:t>
      </w:r>
      <w:r w:rsidRPr="0062442A">
        <w:rPr>
          <w:rFonts w:ascii="Arial" w:hAnsi="Arial" w:cs="Arial"/>
          <w:sz w:val="20"/>
          <w:szCs w:val="20"/>
          <w:lang w:val="en-US"/>
        </w:rPr>
        <w:lastRenderedPageBreak/>
        <w:t xml:space="preserve">KEY(hypertriglyceridemia) OR TITLE-ABS-KEY(hyperlipidemia)) AND </w:t>
      </w:r>
      <w:r w:rsidRPr="0062442A">
        <w:rPr>
          <w:rFonts w:ascii="Arial" w:hAnsi="Arial" w:cs="Arial"/>
          <w:sz w:val="20"/>
          <w:szCs w:val="20"/>
          <w:shd w:val="clear" w:color="auto" w:fill="FFFFFF"/>
          <w:lang w:val="en-US"/>
        </w:rPr>
        <w:t>(TITLE-ABS-KEY("Antigua and Barbuda") or TITLE-ABS-KEY("Argentina") or TITLE-ABS-KEY("Bahamas") or TITLE-ABS-KEY("Barbados") or TITLE-ABS-KEY("Belize") or TITLE-ABS-KEY("Bolivia") or TITLE-ABS-KEY("Brazil") or TITLE-ABS-KEY("United States Virgin Islands") or TITLE-ABS-KEY("British Virgin Islands") or TITLE-ABS-KEY("Chile") or TITLE-ABS-KEY("Colombia") or TITLE-ABS-KEY("Costa Rica") or TITLE-ABS-KEY("Cuba") or TITLE-ABS-KEY("Dominica") or TITLE-ABS-KEY("Dominican Republic") or TITLE-ABS-KEY("Ecuador") or TITLE-ABS-KEY("El Salvador") or TITLE-ABS-KEY("Grenada") or TITLE-ABS-KEY("Guatemala") or TITLE-ABS-KEY("Guyana") or TITLE-ABS-KEY("Haiti") or TITLE-ABS-KEY("Honduras") or TITLE-ABS-KEY("Jamaica") or TITLE-ABS-KEY("Mexico") or TITLE-ABS-KEY("Nicaragua") or TITLE-ABS-KEY("Panama") or TITLE-ABS-KEY("Paraguay") or TITLE-ABS-KEY("Peru") or TITLE-ABS-KEY("Puerto Rico") or TITLE-ABS-KEY("Saint Kitts and Nevis") or TITLE-ABS-KEY("Saint Lucia") or TITLE-ABS-KEY("Saint Vincent and the Grenadines") or TITLE-ABS-KEY("Suriname") or TITLE-ABS-KEY("Trinidad and Tobago") or TITLE-ABS-KEY("West Indies") or TITLE-ABS-KEY("Uruguay") or TITLE-ABS-KEY("Venezuela") or TITLE-ABS-KEY("Latin America") or TITLE-ABS-KEY(</w:t>
      </w:r>
      <w:proofErr w:type="spellStart"/>
      <w:r w:rsidRPr="0062442A">
        <w:rPr>
          <w:rFonts w:ascii="Arial" w:hAnsi="Arial" w:cs="Arial"/>
          <w:sz w:val="20"/>
          <w:szCs w:val="20"/>
          <w:shd w:val="clear" w:color="auto" w:fill="FFFFFF"/>
          <w:lang w:val="en-US"/>
        </w:rPr>
        <w:t>latin</w:t>
      </w:r>
      <w:proofErr w:type="spellEnd"/>
      <w:r w:rsidRPr="0062442A">
        <w:rPr>
          <w:rFonts w:ascii="Arial" w:hAnsi="Arial" w:cs="Arial"/>
          <w:sz w:val="20"/>
          <w:szCs w:val="20"/>
          <w:shd w:val="clear" w:color="auto" w:fill="FFFFFF"/>
          <w:lang w:val="en-US"/>
        </w:rPr>
        <w:t xml:space="preserve"> </w:t>
      </w:r>
      <w:proofErr w:type="spellStart"/>
      <w:r w:rsidRPr="0062442A">
        <w:rPr>
          <w:rFonts w:ascii="Arial" w:hAnsi="Arial" w:cs="Arial"/>
          <w:sz w:val="20"/>
          <w:szCs w:val="20"/>
          <w:shd w:val="clear" w:color="auto" w:fill="FFFFFF"/>
          <w:lang w:val="en-US"/>
        </w:rPr>
        <w:t>amer</w:t>
      </w:r>
      <w:proofErr w:type="spellEnd"/>
      <w:r w:rsidRPr="0062442A">
        <w:rPr>
          <w:rFonts w:ascii="Arial" w:hAnsi="Arial" w:cs="Arial"/>
          <w:sz w:val="20"/>
          <w:szCs w:val="20"/>
          <w:shd w:val="clear" w:color="auto" w:fill="FFFFFF"/>
          <w:lang w:val="en-US"/>
        </w:rPr>
        <w:t xml:space="preserve">$) or TITLE-ABS-KEY("South America") or TITLE-ABS-KEY(south </w:t>
      </w:r>
      <w:proofErr w:type="spellStart"/>
      <w:r w:rsidRPr="0062442A">
        <w:rPr>
          <w:rFonts w:ascii="Arial" w:hAnsi="Arial" w:cs="Arial"/>
          <w:sz w:val="20"/>
          <w:szCs w:val="20"/>
          <w:shd w:val="clear" w:color="auto" w:fill="FFFFFF"/>
          <w:lang w:val="en-US"/>
        </w:rPr>
        <w:t>amer</w:t>
      </w:r>
      <w:proofErr w:type="spellEnd"/>
      <w:r w:rsidRPr="0062442A">
        <w:rPr>
          <w:rFonts w:ascii="Arial" w:hAnsi="Arial" w:cs="Arial"/>
          <w:sz w:val="20"/>
          <w:szCs w:val="20"/>
          <w:shd w:val="clear" w:color="auto" w:fill="FFFFFF"/>
          <w:lang w:val="en-US"/>
        </w:rPr>
        <w:t xml:space="preserve">$) or TITLE-ABS-KEY("Central America") or TITLE-ABS-KEY(central </w:t>
      </w:r>
      <w:proofErr w:type="spellStart"/>
      <w:r w:rsidRPr="0062442A">
        <w:rPr>
          <w:rFonts w:ascii="Arial" w:hAnsi="Arial" w:cs="Arial"/>
          <w:sz w:val="20"/>
          <w:szCs w:val="20"/>
          <w:shd w:val="clear" w:color="auto" w:fill="FFFFFF"/>
          <w:lang w:val="en-US"/>
        </w:rPr>
        <w:t>amer</w:t>
      </w:r>
      <w:proofErr w:type="spellEnd"/>
      <w:r w:rsidRPr="0062442A">
        <w:rPr>
          <w:rFonts w:ascii="Arial" w:hAnsi="Arial" w:cs="Arial"/>
          <w:sz w:val="20"/>
          <w:szCs w:val="20"/>
          <w:shd w:val="clear" w:color="auto" w:fill="FFFFFF"/>
          <w:lang w:val="en-US"/>
        </w:rPr>
        <w:t xml:space="preserve">$) or TITLE-ABS-KEY("Caribbean Region")) </w:t>
      </w:r>
      <w:r w:rsidRPr="0062442A">
        <w:rPr>
          <w:rFonts w:ascii="Arial" w:hAnsi="Arial" w:cs="Arial"/>
          <w:sz w:val="20"/>
          <w:szCs w:val="20"/>
          <w:lang w:val="en-US"/>
        </w:rPr>
        <w:t>NOT DBCOLL(</w:t>
      </w:r>
      <w:proofErr w:type="spellStart"/>
      <w:r w:rsidRPr="0062442A">
        <w:rPr>
          <w:rFonts w:ascii="Arial" w:hAnsi="Arial" w:cs="Arial"/>
          <w:sz w:val="20"/>
          <w:szCs w:val="20"/>
          <w:lang w:val="en-US"/>
        </w:rPr>
        <w:t>medl</w:t>
      </w:r>
      <w:proofErr w:type="spellEnd"/>
      <w:r w:rsidRPr="0062442A">
        <w:rPr>
          <w:rFonts w:ascii="Arial" w:hAnsi="Arial" w:cs="Arial"/>
          <w:sz w:val="20"/>
          <w:szCs w:val="20"/>
          <w:lang w:val="en-US"/>
        </w:rPr>
        <w:t>) AND  (LIMIT-TO ( DOCTYPE , "ar"))  AND  ( LIMIT-TO(SUBJAREA, "MEDI"))</w:t>
      </w:r>
    </w:p>
    <w:p w14:paraId="369E204E" w14:textId="77777777" w:rsidR="000745F8" w:rsidRPr="0062442A" w:rsidRDefault="000745F8" w:rsidP="000745F8">
      <w:pPr>
        <w:jc w:val="both"/>
        <w:rPr>
          <w:rFonts w:ascii="Arial" w:hAnsi="Arial" w:cs="Arial"/>
          <w:sz w:val="20"/>
          <w:szCs w:val="20"/>
          <w:shd w:val="clear" w:color="auto" w:fill="FFFFFF"/>
          <w:lang w:val="en-US"/>
        </w:rPr>
      </w:pPr>
    </w:p>
    <w:p w14:paraId="6B4A1AD0" w14:textId="77777777" w:rsidR="000745F8" w:rsidRPr="0062442A" w:rsidRDefault="000745F8" w:rsidP="000745F8">
      <w:pPr>
        <w:pStyle w:val="Heading2"/>
        <w:rPr>
          <w:rFonts w:ascii="Arial" w:hAnsi="Arial" w:cs="Arial"/>
          <w:b/>
          <w:color w:val="auto"/>
          <w:sz w:val="20"/>
          <w:szCs w:val="20"/>
          <w:lang w:val="es-PE"/>
        </w:rPr>
      </w:pPr>
      <w:bookmarkStart w:id="5" w:name="_Toc42494720"/>
      <w:r w:rsidRPr="0062442A">
        <w:rPr>
          <w:rFonts w:ascii="Arial" w:hAnsi="Arial" w:cs="Arial"/>
          <w:b/>
          <w:color w:val="auto"/>
          <w:sz w:val="20"/>
          <w:szCs w:val="20"/>
          <w:lang w:val="es-PE"/>
        </w:rPr>
        <w:t>LILACS</w:t>
      </w:r>
      <w:bookmarkEnd w:id="5"/>
    </w:p>
    <w:p w14:paraId="14F38C89" w14:textId="77777777" w:rsidR="000745F8" w:rsidRPr="0062442A" w:rsidRDefault="000745F8" w:rsidP="000745F8">
      <w:pPr>
        <w:rPr>
          <w:rFonts w:ascii="Arial" w:hAnsi="Arial" w:cs="Arial"/>
          <w:sz w:val="20"/>
          <w:szCs w:val="20"/>
          <w:lang w:val="es-PE"/>
        </w:rPr>
      </w:pPr>
    </w:p>
    <w:p w14:paraId="5E6317B1" w14:textId="77777777" w:rsidR="000745F8" w:rsidRPr="0062442A" w:rsidRDefault="000745F8" w:rsidP="000745F8">
      <w:pPr>
        <w:jc w:val="both"/>
        <w:rPr>
          <w:rFonts w:ascii="Arial" w:hAnsi="Arial" w:cs="Arial"/>
          <w:sz w:val="20"/>
          <w:szCs w:val="20"/>
          <w:lang w:val="es-ES_tradnl"/>
        </w:rPr>
      </w:pPr>
      <w:r w:rsidRPr="0062442A">
        <w:rPr>
          <w:rFonts w:ascii="Arial" w:hAnsi="Arial" w:cs="Arial"/>
          <w:sz w:val="20"/>
          <w:szCs w:val="20"/>
          <w:lang w:val="es-ES_tradnl"/>
        </w:rPr>
        <w:t>((colesterol) OR (LDL colesterol) OR (lipoproteína de baja densidad) OR (HDL colesterol) OR (lipoproteína de alta densidad) OR (</w:t>
      </w:r>
      <w:proofErr w:type="spellStart"/>
      <w:r w:rsidRPr="0062442A">
        <w:rPr>
          <w:rFonts w:ascii="Arial" w:hAnsi="Arial" w:cs="Arial"/>
          <w:sz w:val="20"/>
          <w:szCs w:val="20"/>
          <w:lang w:val="es-ES_tradnl"/>
        </w:rPr>
        <w:t>trigliceridos</w:t>
      </w:r>
      <w:proofErr w:type="spellEnd"/>
      <w:r w:rsidRPr="0062442A">
        <w:rPr>
          <w:rFonts w:ascii="Arial" w:hAnsi="Arial" w:cs="Arial"/>
          <w:sz w:val="20"/>
          <w:szCs w:val="20"/>
          <w:lang w:val="es-ES_tradnl"/>
        </w:rPr>
        <w:t>) OR (dislipidemias) OR (hipercolesterolemia) OR (</w:t>
      </w:r>
      <w:proofErr w:type="spellStart"/>
      <w:r w:rsidRPr="0062442A">
        <w:rPr>
          <w:rFonts w:ascii="Arial" w:hAnsi="Arial" w:cs="Arial"/>
          <w:sz w:val="20"/>
          <w:szCs w:val="20"/>
          <w:lang w:val="es-ES_tradnl"/>
        </w:rPr>
        <w:t>hipertrigliceridemia</w:t>
      </w:r>
      <w:proofErr w:type="spellEnd"/>
      <w:r w:rsidRPr="0062442A">
        <w:rPr>
          <w:rFonts w:ascii="Arial" w:hAnsi="Arial" w:cs="Arial"/>
          <w:sz w:val="20"/>
          <w:szCs w:val="20"/>
          <w:lang w:val="es-ES_tradnl"/>
        </w:rPr>
        <w:t>) OR (hiperlipidemia)) AND</w:t>
      </w:r>
      <w:r w:rsidRPr="0062442A">
        <w:rPr>
          <w:rFonts w:ascii="Arial" w:hAnsi="Arial" w:cs="Arial"/>
          <w:sz w:val="20"/>
          <w:szCs w:val="20"/>
          <w:shd w:val="clear" w:color="auto" w:fill="FFFFFF"/>
          <w:lang w:val="es-ES_tradnl"/>
        </w:rPr>
        <w:t xml:space="preserve">(("Antigua y Barbuda")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("Argentina")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("Aruba")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("Bahamas")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("Barbados")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("Belice")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("Bolivia")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("Brasil")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("Islas Vírgenes de los Estados Unidos")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("Islas Vírgenes Británicas")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("Islas Caimán")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("Chile")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("Colombia")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("Costa Rica")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("Cuba")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("Curazao")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("Dominica")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("Republica Dominicana")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("Ecuador")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("El Salvador")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("Granada")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("Guatemala")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("Guyana")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("Haití")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("Honduras")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("Jamaica")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("México")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("Nicaragua")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("Panamá")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("Paraguay")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("Perú")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("Puerto Rico")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("San Cristóbal y Nieves ")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("Santa Lucía")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("San Vicente y las Granadinas ")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("Surinam")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("Trinidad y Tobago")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("Turcas y Caicos ")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("Uruguay")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("Venezuela")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("América Latina")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("Latinoamérica")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("América del Sur")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("Sudamérica")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("Suramérica​")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("América Central")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("Centroamérica")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("América del Centro") </w:t>
      </w:r>
      <w:proofErr w:type="spellStart"/>
      <w:r w:rsidRPr="0062442A">
        <w:rPr>
          <w:rFonts w:ascii="Arial" w:hAnsi="Arial" w:cs="Arial"/>
          <w:sz w:val="20"/>
          <w:szCs w:val="20"/>
          <w:shd w:val="clear" w:color="auto" w:fill="FFFFFF"/>
          <w:lang w:val="es-ES_tradnl"/>
        </w:rPr>
        <w:t>or</w:t>
      </w:r>
      <w:proofErr w:type="spellEnd"/>
      <w:r w:rsidRPr="0062442A">
        <w:rPr>
          <w:rFonts w:ascii="Arial" w:hAnsi="Arial" w:cs="Arial"/>
          <w:sz w:val="20"/>
          <w:szCs w:val="20"/>
          <w:shd w:val="clear" w:color="auto" w:fill="FFFFFF"/>
          <w:lang w:val="es-ES_tradnl"/>
        </w:rPr>
        <w:t xml:space="preserve"> ("Caribe"))</w:t>
      </w:r>
    </w:p>
    <w:p w14:paraId="4595D261" w14:textId="77777777" w:rsidR="00782576" w:rsidRDefault="00782576">
      <w:pPr>
        <w:rPr>
          <w:lang w:val="es-ES_tradnl"/>
        </w:rPr>
      </w:pPr>
      <w:r>
        <w:rPr>
          <w:lang w:val="es-ES_tradnl"/>
        </w:rPr>
        <w:br w:type="page"/>
      </w:r>
    </w:p>
    <w:p w14:paraId="35DE2AD8" w14:textId="77777777" w:rsidR="00782576" w:rsidRPr="0062442A" w:rsidRDefault="00782576" w:rsidP="00782576">
      <w:pPr>
        <w:pStyle w:val="Heading1"/>
        <w:jc w:val="both"/>
        <w:rPr>
          <w:rFonts w:ascii="Arial" w:hAnsi="Arial" w:cs="Arial"/>
          <w:color w:val="auto"/>
          <w:sz w:val="20"/>
          <w:szCs w:val="20"/>
          <w:lang w:val="en-GB"/>
        </w:rPr>
      </w:pPr>
      <w:bookmarkStart w:id="6" w:name="_Toc42494721"/>
      <w:r w:rsidRPr="0062442A">
        <w:rPr>
          <w:rFonts w:ascii="Arial" w:hAnsi="Arial" w:cs="Arial"/>
          <w:color w:val="auto"/>
          <w:sz w:val="20"/>
          <w:szCs w:val="20"/>
          <w:lang w:val="en-GB"/>
        </w:rPr>
        <w:lastRenderedPageBreak/>
        <w:t>Risk of bias assessment</w:t>
      </w:r>
      <w:bookmarkEnd w:id="6"/>
      <w:r w:rsidRPr="0062442A">
        <w:rPr>
          <w:rFonts w:ascii="Arial" w:hAnsi="Arial" w:cs="Arial"/>
          <w:color w:val="auto"/>
          <w:sz w:val="20"/>
          <w:szCs w:val="20"/>
          <w:lang w:val="en-GB"/>
        </w:rPr>
        <w:t xml:space="preserve"> </w:t>
      </w:r>
    </w:p>
    <w:p w14:paraId="53BD831C" w14:textId="77777777" w:rsidR="00782576" w:rsidRPr="0062442A" w:rsidRDefault="00782576" w:rsidP="00782576">
      <w:pPr>
        <w:pStyle w:val="NoSpacing"/>
        <w:jc w:val="both"/>
        <w:rPr>
          <w:rFonts w:ascii="Arial" w:hAnsi="Arial" w:cs="Arial"/>
          <w:sz w:val="20"/>
          <w:szCs w:val="20"/>
          <w:lang w:val="en-GB"/>
        </w:rPr>
      </w:pPr>
    </w:p>
    <w:p w14:paraId="6E52ED42" w14:textId="7974CA1F"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As described in the main document, we followed the recommendations and tool by Hoy and colleagues.</w:t>
      </w:r>
      <w:r w:rsidRPr="0062442A">
        <w:rPr>
          <w:rStyle w:val="FootnoteReference"/>
          <w:rFonts w:ascii="Arial" w:hAnsi="Arial" w:cs="Arial"/>
          <w:sz w:val="20"/>
          <w:szCs w:val="20"/>
          <w:lang w:val="en-GB"/>
        </w:rPr>
        <w:footnoteReference w:id="1"/>
      </w:r>
      <w:r w:rsidRPr="0062442A">
        <w:rPr>
          <w:rFonts w:ascii="Arial" w:hAnsi="Arial" w:cs="Arial"/>
          <w:sz w:val="20"/>
          <w:szCs w:val="20"/>
          <w:lang w:val="en-GB"/>
        </w:rPr>
        <w:t xml:space="preserve"> Below we described our rational</w:t>
      </w:r>
      <w:r w:rsidR="00B27338" w:rsidRPr="0062442A">
        <w:rPr>
          <w:rFonts w:ascii="Arial" w:hAnsi="Arial" w:cs="Arial"/>
          <w:sz w:val="20"/>
          <w:szCs w:val="20"/>
          <w:lang w:val="en-GB"/>
        </w:rPr>
        <w:t>e</w:t>
      </w:r>
      <w:r w:rsidRPr="0062442A">
        <w:rPr>
          <w:rFonts w:ascii="Arial" w:hAnsi="Arial" w:cs="Arial"/>
          <w:sz w:val="20"/>
          <w:szCs w:val="20"/>
          <w:lang w:val="en-GB"/>
        </w:rPr>
        <w:t xml:space="preserve"> for grading each of the ten criteria in the risk of bias (</w:t>
      </w:r>
      <w:proofErr w:type="spellStart"/>
      <w:r w:rsidRPr="0062442A">
        <w:rPr>
          <w:rFonts w:ascii="Arial" w:hAnsi="Arial" w:cs="Arial"/>
          <w:sz w:val="20"/>
          <w:szCs w:val="20"/>
          <w:lang w:val="en-GB"/>
        </w:rPr>
        <w:t>RoB</w:t>
      </w:r>
      <w:proofErr w:type="spellEnd"/>
      <w:r w:rsidRPr="0062442A">
        <w:rPr>
          <w:rFonts w:ascii="Arial" w:hAnsi="Arial" w:cs="Arial"/>
          <w:sz w:val="20"/>
          <w:szCs w:val="20"/>
          <w:lang w:val="en-GB"/>
        </w:rPr>
        <w:t>) assessment tool.</w:t>
      </w:r>
    </w:p>
    <w:p w14:paraId="7FCDE802" w14:textId="77777777" w:rsidR="00782576" w:rsidRPr="0062442A" w:rsidRDefault="00782576" w:rsidP="00782576">
      <w:pPr>
        <w:pStyle w:val="NoSpacing"/>
        <w:jc w:val="both"/>
        <w:rPr>
          <w:rFonts w:ascii="Arial" w:hAnsi="Arial" w:cs="Arial"/>
          <w:sz w:val="20"/>
          <w:szCs w:val="20"/>
          <w:lang w:val="en-GB"/>
        </w:rPr>
      </w:pPr>
    </w:p>
    <w:p w14:paraId="194A9408" w14:textId="1D356CCF"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 xml:space="preserve">The first item in the </w:t>
      </w:r>
      <w:proofErr w:type="spellStart"/>
      <w:r w:rsidRPr="0062442A">
        <w:rPr>
          <w:rFonts w:ascii="Arial" w:hAnsi="Arial" w:cs="Arial"/>
          <w:sz w:val="20"/>
          <w:szCs w:val="20"/>
          <w:lang w:val="en-GB"/>
        </w:rPr>
        <w:t>RoB</w:t>
      </w:r>
      <w:proofErr w:type="spellEnd"/>
      <w:r w:rsidRPr="0062442A">
        <w:rPr>
          <w:rFonts w:ascii="Arial" w:hAnsi="Arial" w:cs="Arial"/>
          <w:sz w:val="20"/>
          <w:szCs w:val="20"/>
          <w:lang w:val="en-GB"/>
        </w:rPr>
        <w:t xml:space="preserve"> tool is: </w:t>
      </w:r>
      <w:r w:rsidRPr="0062442A">
        <w:rPr>
          <w:rFonts w:ascii="Arial" w:hAnsi="Arial" w:cs="Arial"/>
          <w:i/>
          <w:iCs/>
          <w:sz w:val="20"/>
          <w:szCs w:val="20"/>
          <w:lang w:val="en-GB"/>
        </w:rPr>
        <w:t xml:space="preserve">Was the study’s target population a close representation of the national population in relation to relevant variables, e.g. age, sex, occupation? </w:t>
      </w:r>
      <w:r w:rsidRPr="0062442A">
        <w:rPr>
          <w:rFonts w:ascii="Arial" w:hAnsi="Arial" w:cs="Arial"/>
          <w:sz w:val="20"/>
          <w:szCs w:val="20"/>
          <w:lang w:val="en-GB"/>
        </w:rPr>
        <w:t>We considered</w:t>
      </w:r>
      <w:r w:rsidR="00382452">
        <w:rPr>
          <w:rFonts w:ascii="Arial" w:hAnsi="Arial" w:cs="Arial"/>
          <w:sz w:val="20"/>
          <w:szCs w:val="20"/>
          <w:lang w:val="en-GB"/>
        </w:rPr>
        <w:t xml:space="preserve"> the selected studies to be </w:t>
      </w:r>
      <w:r w:rsidRPr="0062442A">
        <w:rPr>
          <w:rFonts w:ascii="Arial" w:hAnsi="Arial" w:cs="Arial"/>
          <w:sz w:val="20"/>
          <w:szCs w:val="20"/>
          <w:lang w:val="en-GB"/>
        </w:rPr>
        <w:t>“low</w:t>
      </w:r>
      <w:r w:rsidR="00382452">
        <w:rPr>
          <w:rFonts w:ascii="Arial" w:hAnsi="Arial" w:cs="Arial"/>
          <w:sz w:val="20"/>
          <w:szCs w:val="20"/>
          <w:lang w:val="en-GB"/>
        </w:rPr>
        <w:t xml:space="preserve"> </w:t>
      </w:r>
      <w:r w:rsidRPr="0062442A">
        <w:rPr>
          <w:rFonts w:ascii="Arial" w:hAnsi="Arial" w:cs="Arial"/>
          <w:sz w:val="20"/>
          <w:szCs w:val="20"/>
          <w:lang w:val="en-GB"/>
        </w:rPr>
        <w:t>risk of bias</w:t>
      </w:r>
      <w:r w:rsidR="00382452">
        <w:rPr>
          <w:rFonts w:ascii="Arial" w:hAnsi="Arial" w:cs="Arial"/>
          <w:sz w:val="20"/>
          <w:szCs w:val="20"/>
          <w:lang w:val="en-GB"/>
        </w:rPr>
        <w:t>”</w:t>
      </w:r>
      <w:r w:rsidRPr="0062442A">
        <w:rPr>
          <w:rFonts w:ascii="Arial" w:hAnsi="Arial" w:cs="Arial"/>
          <w:sz w:val="20"/>
          <w:szCs w:val="20"/>
          <w:lang w:val="en-GB"/>
        </w:rPr>
        <w:t xml:space="preserve"> because we only include</w:t>
      </w:r>
      <w:r w:rsidR="00483A39">
        <w:rPr>
          <w:rFonts w:ascii="Arial" w:hAnsi="Arial" w:cs="Arial"/>
          <w:sz w:val="20"/>
          <w:szCs w:val="20"/>
          <w:lang w:val="en-GB"/>
        </w:rPr>
        <w:t>d</w:t>
      </w:r>
      <w:r w:rsidRPr="0062442A">
        <w:rPr>
          <w:rFonts w:ascii="Arial" w:hAnsi="Arial" w:cs="Arial"/>
          <w:sz w:val="20"/>
          <w:szCs w:val="20"/>
          <w:lang w:val="en-GB"/>
        </w:rPr>
        <w:t xml:space="preserve"> population-based studies with random sampling of the general population</w:t>
      </w:r>
      <w:r w:rsidR="00B27338" w:rsidRPr="0062442A">
        <w:rPr>
          <w:rFonts w:ascii="Arial" w:hAnsi="Arial" w:cs="Arial"/>
          <w:sz w:val="20"/>
          <w:szCs w:val="20"/>
          <w:lang w:val="en-GB"/>
        </w:rPr>
        <w:t xml:space="preserve">; also, </w:t>
      </w:r>
      <w:r w:rsidRPr="0062442A">
        <w:rPr>
          <w:rFonts w:ascii="Arial" w:hAnsi="Arial" w:cs="Arial"/>
          <w:sz w:val="20"/>
          <w:szCs w:val="20"/>
          <w:lang w:val="en-GB"/>
        </w:rPr>
        <w:t>we excluded studies with one population group alone (e.g., smokers). Whether a community study is a close representation of the country, is of course arguable. However, that study would still be “more representative” than one with a selected or convenience sample. For this item the possible outcomes were “low risk of bias” and “high risk of bias”. We considered our selected studies as “low risk of bias” because even when they were not national surveys, they may still be representative</w:t>
      </w:r>
      <w:r w:rsidR="00B27338" w:rsidRPr="0062442A">
        <w:rPr>
          <w:rFonts w:ascii="Arial" w:hAnsi="Arial" w:cs="Arial"/>
          <w:sz w:val="20"/>
          <w:szCs w:val="20"/>
          <w:lang w:val="en-GB"/>
        </w:rPr>
        <w:t xml:space="preserve"> or informative</w:t>
      </w:r>
      <w:r w:rsidRPr="0062442A">
        <w:rPr>
          <w:rFonts w:ascii="Arial" w:hAnsi="Arial" w:cs="Arial"/>
          <w:sz w:val="20"/>
          <w:szCs w:val="20"/>
          <w:lang w:val="en-GB"/>
        </w:rPr>
        <w:t xml:space="preserve"> of the general population. </w:t>
      </w:r>
    </w:p>
    <w:p w14:paraId="5D1DC1C2" w14:textId="77777777" w:rsidR="00782576" w:rsidRPr="0062442A" w:rsidRDefault="00782576" w:rsidP="00782576">
      <w:pPr>
        <w:pStyle w:val="NoSpacing"/>
        <w:jc w:val="both"/>
        <w:rPr>
          <w:rFonts w:ascii="Arial" w:hAnsi="Arial" w:cs="Arial"/>
          <w:sz w:val="20"/>
          <w:szCs w:val="20"/>
          <w:lang w:val="en-GB"/>
        </w:rPr>
      </w:pPr>
    </w:p>
    <w:p w14:paraId="47D8BBB5" w14:textId="1D7A47A9"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 xml:space="preserve">The second item in the </w:t>
      </w:r>
      <w:proofErr w:type="spellStart"/>
      <w:r w:rsidRPr="0062442A">
        <w:rPr>
          <w:rFonts w:ascii="Arial" w:hAnsi="Arial" w:cs="Arial"/>
          <w:sz w:val="20"/>
          <w:szCs w:val="20"/>
          <w:lang w:val="en-GB"/>
        </w:rPr>
        <w:t>RoB</w:t>
      </w:r>
      <w:proofErr w:type="spellEnd"/>
      <w:r w:rsidRPr="0062442A">
        <w:rPr>
          <w:rFonts w:ascii="Arial" w:hAnsi="Arial" w:cs="Arial"/>
          <w:sz w:val="20"/>
          <w:szCs w:val="20"/>
          <w:lang w:val="en-GB"/>
        </w:rPr>
        <w:t xml:space="preserve"> tool is: </w:t>
      </w:r>
      <w:r w:rsidRPr="0062442A">
        <w:rPr>
          <w:rFonts w:ascii="Arial" w:hAnsi="Arial" w:cs="Arial"/>
          <w:i/>
          <w:iCs/>
          <w:sz w:val="20"/>
          <w:szCs w:val="20"/>
          <w:lang w:val="en-GB"/>
        </w:rPr>
        <w:t>Was the sampling frame a true or close representation of the target</w:t>
      </w:r>
      <w:r w:rsidR="00FB1270" w:rsidRPr="0062442A">
        <w:rPr>
          <w:rFonts w:ascii="Arial" w:hAnsi="Arial" w:cs="Arial"/>
          <w:i/>
          <w:iCs/>
          <w:sz w:val="20"/>
          <w:szCs w:val="20"/>
          <w:lang w:val="en-GB"/>
        </w:rPr>
        <w:t xml:space="preserve"> </w:t>
      </w:r>
      <w:r w:rsidRPr="0062442A">
        <w:rPr>
          <w:rFonts w:ascii="Arial" w:hAnsi="Arial" w:cs="Arial"/>
          <w:i/>
          <w:iCs/>
          <w:sz w:val="20"/>
          <w:szCs w:val="20"/>
          <w:lang w:val="en-GB"/>
        </w:rPr>
        <w:t xml:space="preserve">population? </w:t>
      </w:r>
      <w:r w:rsidRPr="0062442A">
        <w:rPr>
          <w:rFonts w:ascii="Arial" w:hAnsi="Arial" w:cs="Arial"/>
          <w:sz w:val="20"/>
          <w:szCs w:val="20"/>
          <w:lang w:val="en-GB"/>
        </w:rPr>
        <w:t>We followed a similar logic as above. Because of the study design -population-based with random sampling- we considered that all selected studies were a true (in the case of national surveys or studies in multiple cities) or close representation (in the case of small studies conducted in a limited area)</w:t>
      </w:r>
      <w:r w:rsidR="00FB1270" w:rsidRPr="0062442A">
        <w:rPr>
          <w:rFonts w:ascii="Arial" w:hAnsi="Arial" w:cs="Arial"/>
          <w:sz w:val="20"/>
          <w:szCs w:val="20"/>
          <w:lang w:val="en-GB"/>
        </w:rPr>
        <w:t xml:space="preserve"> of the target population</w:t>
      </w:r>
      <w:r w:rsidRPr="0062442A">
        <w:rPr>
          <w:rFonts w:ascii="Arial" w:hAnsi="Arial" w:cs="Arial"/>
          <w:sz w:val="20"/>
          <w:szCs w:val="20"/>
          <w:lang w:val="en-GB"/>
        </w:rPr>
        <w:t xml:space="preserve">. Studies were deemed as “low risk of bias”. </w:t>
      </w:r>
    </w:p>
    <w:p w14:paraId="60A5DEC7" w14:textId="77777777" w:rsidR="00782576" w:rsidRPr="0062442A" w:rsidRDefault="00782576" w:rsidP="00782576">
      <w:pPr>
        <w:pStyle w:val="NoSpacing"/>
        <w:jc w:val="both"/>
        <w:rPr>
          <w:rFonts w:ascii="Arial" w:hAnsi="Arial" w:cs="Arial"/>
          <w:sz w:val="20"/>
          <w:szCs w:val="20"/>
          <w:lang w:val="en-GB"/>
        </w:rPr>
      </w:pPr>
    </w:p>
    <w:p w14:paraId="566051D5" w14:textId="057E6CFB"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 xml:space="preserve">The third item in the </w:t>
      </w:r>
      <w:proofErr w:type="spellStart"/>
      <w:r w:rsidRPr="0062442A">
        <w:rPr>
          <w:rFonts w:ascii="Arial" w:hAnsi="Arial" w:cs="Arial"/>
          <w:sz w:val="20"/>
          <w:szCs w:val="20"/>
          <w:lang w:val="en-GB"/>
        </w:rPr>
        <w:t>RoB</w:t>
      </w:r>
      <w:proofErr w:type="spellEnd"/>
      <w:r w:rsidR="00C85C18">
        <w:rPr>
          <w:rFonts w:ascii="Arial" w:hAnsi="Arial" w:cs="Arial"/>
          <w:sz w:val="20"/>
          <w:szCs w:val="20"/>
          <w:lang w:val="en-GB"/>
        </w:rPr>
        <w:t xml:space="preserve"> tool</w:t>
      </w:r>
      <w:r w:rsidRPr="0062442A">
        <w:rPr>
          <w:rFonts w:ascii="Arial" w:hAnsi="Arial" w:cs="Arial"/>
          <w:sz w:val="20"/>
          <w:szCs w:val="20"/>
          <w:lang w:val="en-GB"/>
        </w:rPr>
        <w:t xml:space="preserve"> is: </w:t>
      </w:r>
      <w:r w:rsidRPr="0062442A">
        <w:rPr>
          <w:rFonts w:ascii="Arial" w:hAnsi="Arial" w:cs="Arial"/>
          <w:i/>
          <w:iCs/>
          <w:sz w:val="20"/>
          <w:szCs w:val="20"/>
          <w:lang w:val="en-GB"/>
        </w:rPr>
        <w:t xml:space="preserve">Was some form of random selection used to select the sample, OR, was a census undertaken? </w:t>
      </w:r>
      <w:r w:rsidRPr="0062442A">
        <w:rPr>
          <w:rFonts w:ascii="Arial" w:hAnsi="Arial" w:cs="Arial"/>
          <w:sz w:val="20"/>
          <w:szCs w:val="20"/>
          <w:lang w:val="en-GB"/>
        </w:rPr>
        <w:t xml:space="preserve">As with the two first items, our inclusion criteria already prevented us from having studies with no random selection of the study population. Studies were regarded as “low risk of bias”. </w:t>
      </w:r>
    </w:p>
    <w:p w14:paraId="4830348A" w14:textId="77777777" w:rsidR="00782576" w:rsidRPr="0062442A" w:rsidRDefault="00782576" w:rsidP="00782576">
      <w:pPr>
        <w:pStyle w:val="NoSpacing"/>
        <w:jc w:val="both"/>
        <w:rPr>
          <w:rFonts w:ascii="Arial" w:hAnsi="Arial" w:cs="Arial"/>
          <w:sz w:val="20"/>
          <w:szCs w:val="20"/>
          <w:lang w:val="en-GB"/>
        </w:rPr>
      </w:pPr>
    </w:p>
    <w:p w14:paraId="7C5C7C01" w14:textId="3B02E32F"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 xml:space="preserve">The fourth item in the </w:t>
      </w:r>
      <w:proofErr w:type="spellStart"/>
      <w:r w:rsidRPr="0062442A">
        <w:rPr>
          <w:rFonts w:ascii="Arial" w:hAnsi="Arial" w:cs="Arial"/>
          <w:sz w:val="20"/>
          <w:szCs w:val="20"/>
          <w:lang w:val="en-GB"/>
        </w:rPr>
        <w:t>RoB</w:t>
      </w:r>
      <w:proofErr w:type="spellEnd"/>
      <w:r w:rsidR="00C85C18" w:rsidRPr="00C85C18">
        <w:rPr>
          <w:rFonts w:ascii="Arial" w:hAnsi="Arial" w:cs="Arial"/>
          <w:sz w:val="20"/>
          <w:szCs w:val="20"/>
          <w:lang w:val="en-GB"/>
        </w:rPr>
        <w:t xml:space="preserve"> </w:t>
      </w:r>
      <w:r w:rsidR="00C85C18">
        <w:rPr>
          <w:rFonts w:ascii="Arial" w:hAnsi="Arial" w:cs="Arial"/>
          <w:sz w:val="20"/>
          <w:szCs w:val="20"/>
          <w:lang w:val="en-GB"/>
        </w:rPr>
        <w:t>tool</w:t>
      </w:r>
      <w:r w:rsidRPr="0062442A">
        <w:rPr>
          <w:rFonts w:ascii="Arial" w:hAnsi="Arial" w:cs="Arial"/>
          <w:sz w:val="20"/>
          <w:szCs w:val="20"/>
          <w:lang w:val="en-GB"/>
        </w:rPr>
        <w:t xml:space="preserve"> is: </w:t>
      </w:r>
      <w:r w:rsidRPr="0062442A">
        <w:rPr>
          <w:rFonts w:ascii="Arial" w:hAnsi="Arial" w:cs="Arial"/>
          <w:i/>
          <w:iCs/>
          <w:sz w:val="20"/>
          <w:szCs w:val="20"/>
          <w:lang w:val="en-GB"/>
        </w:rPr>
        <w:t>Was the likelihood of non-response bias minimal?</w:t>
      </w:r>
      <w:r w:rsidRPr="0062442A">
        <w:rPr>
          <w:rFonts w:ascii="Arial" w:hAnsi="Arial" w:cs="Arial"/>
          <w:sz w:val="20"/>
          <w:szCs w:val="20"/>
          <w:lang w:val="en-GB"/>
        </w:rPr>
        <w:t xml:space="preserve"> Following the recommendations by the </w:t>
      </w:r>
      <w:proofErr w:type="spellStart"/>
      <w:r w:rsidRPr="0062442A">
        <w:rPr>
          <w:rFonts w:ascii="Arial" w:hAnsi="Arial" w:cs="Arial"/>
          <w:sz w:val="20"/>
          <w:szCs w:val="20"/>
          <w:lang w:val="en-GB"/>
        </w:rPr>
        <w:t>RoB</w:t>
      </w:r>
      <w:proofErr w:type="spellEnd"/>
      <w:r w:rsidRPr="0062442A">
        <w:rPr>
          <w:rFonts w:ascii="Arial" w:hAnsi="Arial" w:cs="Arial"/>
          <w:sz w:val="20"/>
          <w:szCs w:val="20"/>
          <w:lang w:val="en-GB"/>
        </w:rPr>
        <w:t xml:space="preserve"> tool, some studies did not meet the threshold for “low risk of bias” with regards to the response rate.  When evidence was available, reports were classified as low or high risk of bias. </w:t>
      </w:r>
    </w:p>
    <w:p w14:paraId="030E2575" w14:textId="77777777" w:rsidR="00782576" w:rsidRPr="0062442A" w:rsidRDefault="00782576" w:rsidP="00782576">
      <w:pPr>
        <w:pStyle w:val="NoSpacing"/>
        <w:jc w:val="both"/>
        <w:rPr>
          <w:rFonts w:ascii="Arial" w:hAnsi="Arial" w:cs="Arial"/>
          <w:sz w:val="20"/>
          <w:szCs w:val="20"/>
          <w:lang w:val="en-GB"/>
        </w:rPr>
      </w:pPr>
    </w:p>
    <w:p w14:paraId="50BFACFB" w14:textId="78D26414"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 xml:space="preserve">The fifth item in the </w:t>
      </w:r>
      <w:proofErr w:type="spellStart"/>
      <w:r w:rsidRPr="0062442A">
        <w:rPr>
          <w:rFonts w:ascii="Arial" w:hAnsi="Arial" w:cs="Arial"/>
          <w:sz w:val="20"/>
          <w:szCs w:val="20"/>
          <w:lang w:val="en-GB"/>
        </w:rPr>
        <w:t>RoB</w:t>
      </w:r>
      <w:proofErr w:type="spellEnd"/>
      <w:r w:rsidRPr="0062442A">
        <w:rPr>
          <w:rFonts w:ascii="Arial" w:hAnsi="Arial" w:cs="Arial"/>
          <w:sz w:val="20"/>
          <w:szCs w:val="20"/>
          <w:lang w:val="en-GB"/>
        </w:rPr>
        <w:t xml:space="preserve"> </w:t>
      </w:r>
      <w:r w:rsidR="00C85C18">
        <w:rPr>
          <w:rFonts w:ascii="Arial" w:hAnsi="Arial" w:cs="Arial"/>
          <w:sz w:val="20"/>
          <w:szCs w:val="20"/>
          <w:lang w:val="en-GB"/>
        </w:rPr>
        <w:t>tool</w:t>
      </w:r>
      <w:r w:rsidR="00C85C18" w:rsidRPr="0062442A">
        <w:rPr>
          <w:rFonts w:ascii="Arial" w:hAnsi="Arial" w:cs="Arial"/>
          <w:sz w:val="20"/>
          <w:szCs w:val="20"/>
          <w:lang w:val="en-GB"/>
        </w:rPr>
        <w:t xml:space="preserve"> </w:t>
      </w:r>
      <w:r w:rsidRPr="0062442A">
        <w:rPr>
          <w:rFonts w:ascii="Arial" w:hAnsi="Arial" w:cs="Arial"/>
          <w:sz w:val="20"/>
          <w:szCs w:val="20"/>
          <w:lang w:val="en-GB"/>
        </w:rPr>
        <w:t xml:space="preserve">is: </w:t>
      </w:r>
      <w:r w:rsidRPr="0062442A">
        <w:rPr>
          <w:rFonts w:ascii="Arial" w:hAnsi="Arial" w:cs="Arial"/>
          <w:i/>
          <w:iCs/>
          <w:sz w:val="20"/>
          <w:szCs w:val="20"/>
          <w:lang w:val="en-GB"/>
        </w:rPr>
        <w:t>Were data collected directly from the subjects (as opposed to a proxy)?</w:t>
      </w:r>
      <w:r w:rsidRPr="0062442A">
        <w:rPr>
          <w:rFonts w:ascii="Arial" w:hAnsi="Arial" w:cs="Arial"/>
          <w:sz w:val="20"/>
          <w:szCs w:val="20"/>
          <w:lang w:val="en-GB"/>
        </w:rPr>
        <w:t xml:space="preserve"> All studies were deemed as “low risk of bias” in this item because of our selection criteria. We only included studies with direct measurement of any lipid biomarkers. This, by definition, implies that data were collected directly from the subjects. </w:t>
      </w:r>
    </w:p>
    <w:p w14:paraId="645BEADB" w14:textId="77777777" w:rsidR="00782576" w:rsidRPr="0062442A" w:rsidRDefault="00782576" w:rsidP="00782576">
      <w:pPr>
        <w:pStyle w:val="NoSpacing"/>
        <w:jc w:val="both"/>
        <w:rPr>
          <w:rFonts w:ascii="Arial" w:hAnsi="Arial" w:cs="Arial"/>
          <w:sz w:val="20"/>
          <w:szCs w:val="20"/>
          <w:lang w:val="en-GB"/>
        </w:rPr>
      </w:pPr>
    </w:p>
    <w:p w14:paraId="354DC3F4" w14:textId="6724973C"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 xml:space="preserve">The sixth item in the </w:t>
      </w:r>
      <w:proofErr w:type="spellStart"/>
      <w:r w:rsidRPr="0062442A">
        <w:rPr>
          <w:rFonts w:ascii="Arial" w:hAnsi="Arial" w:cs="Arial"/>
          <w:sz w:val="20"/>
          <w:szCs w:val="20"/>
          <w:lang w:val="en-GB"/>
        </w:rPr>
        <w:t>RoB</w:t>
      </w:r>
      <w:proofErr w:type="spellEnd"/>
      <w:r w:rsidRPr="0062442A">
        <w:rPr>
          <w:rFonts w:ascii="Arial" w:hAnsi="Arial" w:cs="Arial"/>
          <w:sz w:val="20"/>
          <w:szCs w:val="20"/>
          <w:lang w:val="en-GB"/>
        </w:rPr>
        <w:t xml:space="preserve"> </w:t>
      </w:r>
      <w:r w:rsidR="00C85C18">
        <w:rPr>
          <w:rFonts w:ascii="Arial" w:hAnsi="Arial" w:cs="Arial"/>
          <w:sz w:val="20"/>
          <w:szCs w:val="20"/>
          <w:lang w:val="en-GB"/>
        </w:rPr>
        <w:t>tool</w:t>
      </w:r>
      <w:r w:rsidR="00C85C18" w:rsidRPr="0062442A">
        <w:rPr>
          <w:rFonts w:ascii="Arial" w:hAnsi="Arial" w:cs="Arial"/>
          <w:sz w:val="20"/>
          <w:szCs w:val="20"/>
          <w:lang w:val="en-GB"/>
        </w:rPr>
        <w:t xml:space="preserve"> </w:t>
      </w:r>
      <w:r w:rsidRPr="0062442A">
        <w:rPr>
          <w:rFonts w:ascii="Arial" w:hAnsi="Arial" w:cs="Arial"/>
          <w:sz w:val="20"/>
          <w:szCs w:val="20"/>
          <w:lang w:val="en-GB"/>
        </w:rPr>
        <w:t xml:space="preserve">is: </w:t>
      </w:r>
      <w:r w:rsidRPr="0062442A">
        <w:rPr>
          <w:rFonts w:ascii="Arial" w:hAnsi="Arial" w:cs="Arial"/>
          <w:i/>
          <w:iCs/>
          <w:sz w:val="20"/>
          <w:szCs w:val="20"/>
          <w:lang w:val="en-GB"/>
        </w:rPr>
        <w:t>Was an acceptable case definition used in the study?</w:t>
      </w:r>
      <w:r w:rsidRPr="0062442A">
        <w:rPr>
          <w:rFonts w:ascii="Arial" w:hAnsi="Arial" w:cs="Arial"/>
          <w:sz w:val="20"/>
          <w:szCs w:val="20"/>
          <w:lang w:val="en-GB"/>
        </w:rPr>
        <w:t xml:space="preserve"> Half of our work </w:t>
      </w:r>
      <w:r w:rsidR="00483A39">
        <w:rPr>
          <w:rFonts w:ascii="Arial" w:hAnsi="Arial" w:cs="Arial"/>
          <w:sz w:val="20"/>
          <w:szCs w:val="20"/>
          <w:lang w:val="en-GB"/>
        </w:rPr>
        <w:t>wa</w:t>
      </w:r>
      <w:r w:rsidRPr="0062442A">
        <w:rPr>
          <w:rFonts w:ascii="Arial" w:hAnsi="Arial" w:cs="Arial"/>
          <w:sz w:val="20"/>
          <w:szCs w:val="20"/>
          <w:lang w:val="en-GB"/>
        </w:rPr>
        <w:t xml:space="preserve">s about mean levels of lipid biomarkers. As these were numeric variables, there is no case definition. The other half of our work was about prevalence estimates of dyslipidaemia traits. Here, not all studies used the same case definitions, and there could be potential explanations: </w:t>
      </w:r>
      <w:proofErr w:type="spellStart"/>
      <w:r w:rsidRPr="0062442A">
        <w:rPr>
          <w:rFonts w:ascii="Arial" w:hAnsi="Arial" w:cs="Arial"/>
          <w:sz w:val="20"/>
          <w:szCs w:val="20"/>
          <w:lang w:val="en-GB"/>
        </w:rPr>
        <w:t>i</w:t>
      </w:r>
      <w:proofErr w:type="spellEnd"/>
      <w:r w:rsidRPr="0062442A">
        <w:rPr>
          <w:rFonts w:ascii="Arial" w:hAnsi="Arial" w:cs="Arial"/>
          <w:sz w:val="20"/>
          <w:szCs w:val="20"/>
          <w:lang w:val="en-GB"/>
        </w:rPr>
        <w:t>) case definitions ha</w:t>
      </w:r>
      <w:r w:rsidR="00FB1270" w:rsidRPr="0062442A">
        <w:rPr>
          <w:rFonts w:ascii="Arial" w:hAnsi="Arial" w:cs="Arial"/>
          <w:sz w:val="20"/>
          <w:szCs w:val="20"/>
          <w:lang w:val="en-GB"/>
        </w:rPr>
        <w:t>ve</w:t>
      </w:r>
      <w:r w:rsidRPr="0062442A">
        <w:rPr>
          <w:rFonts w:ascii="Arial" w:hAnsi="Arial" w:cs="Arial"/>
          <w:sz w:val="20"/>
          <w:szCs w:val="20"/>
          <w:lang w:val="en-GB"/>
        </w:rPr>
        <w:t xml:space="preserve"> changed over the years, and old studies may have adhered to recommendations available at the time; ii) rather than using international recommendations, some studies used local guidelines; and iii) some studies used a different definition (e.g., percentiles) based on their research question. Regardless of these potential issues, the case definition </w:t>
      </w:r>
      <w:r w:rsidR="00FB1270" w:rsidRPr="0062442A">
        <w:rPr>
          <w:rFonts w:ascii="Arial" w:hAnsi="Arial" w:cs="Arial"/>
          <w:sz w:val="20"/>
          <w:szCs w:val="20"/>
          <w:lang w:val="en-GB"/>
        </w:rPr>
        <w:t xml:space="preserve">in </w:t>
      </w:r>
      <w:r w:rsidRPr="0062442A">
        <w:rPr>
          <w:rFonts w:ascii="Arial" w:hAnsi="Arial" w:cs="Arial"/>
          <w:sz w:val="20"/>
          <w:szCs w:val="20"/>
          <w:lang w:val="en-GB"/>
        </w:rPr>
        <w:t xml:space="preserve">the original study was not “wrong”; these were just different yet accurate within their time period, geographic scope and aims. Studies were classified as “low risk of bias”. </w:t>
      </w:r>
      <w:r w:rsidR="00FB1270" w:rsidRPr="0062442A">
        <w:rPr>
          <w:rFonts w:ascii="Arial" w:hAnsi="Arial" w:cs="Arial"/>
          <w:sz w:val="20"/>
          <w:szCs w:val="20"/>
          <w:lang w:val="en-GB"/>
        </w:rPr>
        <w:t xml:space="preserve">Finally, regarding our pooled prevalence estimates (see Table 1 in the main document), only consistent definitions were pooled. </w:t>
      </w:r>
    </w:p>
    <w:p w14:paraId="03632CCE" w14:textId="77777777" w:rsidR="00782576" w:rsidRPr="0062442A" w:rsidRDefault="00782576" w:rsidP="00782576">
      <w:pPr>
        <w:pStyle w:val="NoSpacing"/>
        <w:jc w:val="both"/>
        <w:rPr>
          <w:rFonts w:ascii="Arial" w:hAnsi="Arial" w:cs="Arial"/>
          <w:sz w:val="20"/>
          <w:szCs w:val="20"/>
          <w:lang w:val="en-GB"/>
        </w:rPr>
      </w:pPr>
    </w:p>
    <w:p w14:paraId="23F59BA1" w14:textId="6F6B874C"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 xml:space="preserve">The seventh item in the </w:t>
      </w:r>
      <w:proofErr w:type="spellStart"/>
      <w:r w:rsidRPr="0062442A">
        <w:rPr>
          <w:rFonts w:ascii="Arial" w:hAnsi="Arial" w:cs="Arial"/>
          <w:sz w:val="20"/>
          <w:szCs w:val="20"/>
          <w:lang w:val="en-GB"/>
        </w:rPr>
        <w:t>RoB</w:t>
      </w:r>
      <w:proofErr w:type="spellEnd"/>
      <w:r w:rsidRPr="0062442A">
        <w:rPr>
          <w:rFonts w:ascii="Arial" w:hAnsi="Arial" w:cs="Arial"/>
          <w:sz w:val="20"/>
          <w:szCs w:val="20"/>
          <w:lang w:val="en-GB"/>
        </w:rPr>
        <w:t xml:space="preserve"> </w:t>
      </w:r>
      <w:r w:rsidR="00C85C18">
        <w:rPr>
          <w:rFonts w:ascii="Arial" w:hAnsi="Arial" w:cs="Arial"/>
          <w:sz w:val="20"/>
          <w:szCs w:val="20"/>
          <w:lang w:val="en-GB"/>
        </w:rPr>
        <w:t>tool</w:t>
      </w:r>
      <w:r w:rsidR="00C85C18" w:rsidRPr="0062442A">
        <w:rPr>
          <w:rFonts w:ascii="Arial" w:hAnsi="Arial" w:cs="Arial"/>
          <w:sz w:val="20"/>
          <w:szCs w:val="20"/>
          <w:lang w:val="en-GB"/>
        </w:rPr>
        <w:t xml:space="preserve"> </w:t>
      </w:r>
      <w:r w:rsidRPr="0062442A">
        <w:rPr>
          <w:rFonts w:ascii="Arial" w:hAnsi="Arial" w:cs="Arial"/>
          <w:sz w:val="20"/>
          <w:szCs w:val="20"/>
          <w:lang w:val="en-GB"/>
        </w:rPr>
        <w:t xml:space="preserve">is: </w:t>
      </w:r>
      <w:r w:rsidRPr="0062442A">
        <w:rPr>
          <w:rFonts w:ascii="Arial" w:hAnsi="Arial" w:cs="Arial"/>
          <w:i/>
          <w:iCs/>
          <w:sz w:val="20"/>
          <w:szCs w:val="20"/>
          <w:lang w:val="en-GB"/>
        </w:rPr>
        <w:t>Was the study instrument that measured the parameter of interest (</w:t>
      </w:r>
      <w:proofErr w:type="spellStart"/>
      <w:proofErr w:type="gramStart"/>
      <w:r w:rsidRPr="0062442A">
        <w:rPr>
          <w:rFonts w:ascii="Arial" w:hAnsi="Arial" w:cs="Arial"/>
          <w:i/>
          <w:iCs/>
          <w:sz w:val="20"/>
          <w:szCs w:val="20"/>
          <w:lang w:val="en-GB"/>
        </w:rPr>
        <w:t>e.g</w:t>
      </w:r>
      <w:proofErr w:type="spellEnd"/>
      <w:proofErr w:type="gramEnd"/>
      <w:r w:rsidR="004755A4" w:rsidRPr="0062442A">
        <w:rPr>
          <w:rFonts w:ascii="Arial" w:hAnsi="Arial" w:cs="Arial"/>
          <w:i/>
          <w:iCs/>
          <w:sz w:val="20"/>
          <w:szCs w:val="20"/>
          <w:lang w:val="en-GB"/>
        </w:rPr>
        <w:t xml:space="preserve"> </w:t>
      </w:r>
      <w:r w:rsidRPr="0062442A">
        <w:rPr>
          <w:rFonts w:ascii="Arial" w:hAnsi="Arial" w:cs="Arial"/>
          <w:i/>
          <w:iCs/>
          <w:sz w:val="20"/>
          <w:szCs w:val="20"/>
          <w:lang w:val="en-GB"/>
        </w:rPr>
        <w:t>.prevalence of low back pain) shown to have reliability and validity (if necessary)?</w:t>
      </w:r>
      <w:r w:rsidRPr="0062442A">
        <w:rPr>
          <w:rFonts w:ascii="Arial" w:hAnsi="Arial" w:cs="Arial"/>
          <w:sz w:val="20"/>
          <w:szCs w:val="20"/>
          <w:lang w:val="en-GB"/>
        </w:rPr>
        <w:t xml:space="preserve"> We considered studies met criteria for “low risk of bias” because they all measured lipid biomarkers, which is a reliable source of information. Information was not self-reported o gathered from other written sources. </w:t>
      </w:r>
    </w:p>
    <w:p w14:paraId="2060230B" w14:textId="77777777" w:rsidR="00782576" w:rsidRPr="0062442A" w:rsidRDefault="00782576" w:rsidP="00782576">
      <w:pPr>
        <w:pStyle w:val="NoSpacing"/>
        <w:jc w:val="both"/>
        <w:rPr>
          <w:rFonts w:ascii="Arial" w:hAnsi="Arial" w:cs="Arial"/>
          <w:sz w:val="20"/>
          <w:szCs w:val="20"/>
          <w:lang w:val="en-GB"/>
        </w:rPr>
      </w:pPr>
    </w:p>
    <w:p w14:paraId="232D0F46" w14:textId="72FEAF60"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 xml:space="preserve">The </w:t>
      </w:r>
      <w:r w:rsidR="00222B61" w:rsidRPr="0062442A">
        <w:rPr>
          <w:rFonts w:ascii="Arial" w:hAnsi="Arial" w:cs="Arial"/>
          <w:sz w:val="20"/>
          <w:szCs w:val="20"/>
          <w:lang w:val="en-GB"/>
        </w:rPr>
        <w:t>eight</w:t>
      </w:r>
      <w:r w:rsidR="00222B61">
        <w:rPr>
          <w:rFonts w:ascii="Arial" w:hAnsi="Arial" w:cs="Arial"/>
          <w:sz w:val="20"/>
          <w:szCs w:val="20"/>
          <w:lang w:val="en-GB"/>
        </w:rPr>
        <w:t>h</w:t>
      </w:r>
      <w:r w:rsidRPr="0062442A">
        <w:rPr>
          <w:rFonts w:ascii="Arial" w:hAnsi="Arial" w:cs="Arial"/>
          <w:sz w:val="20"/>
          <w:szCs w:val="20"/>
          <w:lang w:val="en-GB"/>
        </w:rPr>
        <w:t xml:space="preserve"> item in the </w:t>
      </w:r>
      <w:proofErr w:type="spellStart"/>
      <w:r w:rsidRPr="0062442A">
        <w:rPr>
          <w:rFonts w:ascii="Arial" w:hAnsi="Arial" w:cs="Arial"/>
          <w:sz w:val="20"/>
          <w:szCs w:val="20"/>
          <w:lang w:val="en-GB"/>
        </w:rPr>
        <w:t>RoB</w:t>
      </w:r>
      <w:proofErr w:type="spellEnd"/>
      <w:r w:rsidR="00C85C18" w:rsidRPr="00C85C18">
        <w:rPr>
          <w:rFonts w:ascii="Arial" w:hAnsi="Arial" w:cs="Arial"/>
          <w:sz w:val="20"/>
          <w:szCs w:val="20"/>
          <w:lang w:val="en-GB"/>
        </w:rPr>
        <w:t xml:space="preserve"> </w:t>
      </w:r>
      <w:r w:rsidR="00C85C18">
        <w:rPr>
          <w:rFonts w:ascii="Arial" w:hAnsi="Arial" w:cs="Arial"/>
          <w:sz w:val="20"/>
          <w:szCs w:val="20"/>
          <w:lang w:val="en-GB"/>
        </w:rPr>
        <w:t>tool</w:t>
      </w:r>
      <w:r w:rsidRPr="0062442A">
        <w:rPr>
          <w:rFonts w:ascii="Arial" w:hAnsi="Arial" w:cs="Arial"/>
          <w:sz w:val="20"/>
          <w:szCs w:val="20"/>
          <w:lang w:val="en-GB"/>
        </w:rPr>
        <w:t xml:space="preserve"> is: </w:t>
      </w:r>
      <w:r w:rsidRPr="0062442A">
        <w:rPr>
          <w:rFonts w:ascii="Arial" w:hAnsi="Arial" w:cs="Arial"/>
          <w:i/>
          <w:iCs/>
          <w:sz w:val="20"/>
          <w:szCs w:val="20"/>
          <w:lang w:val="en-GB"/>
        </w:rPr>
        <w:t>Was the same mode of data collection used for all subjects?</w:t>
      </w:r>
      <w:r w:rsidRPr="0062442A">
        <w:rPr>
          <w:rFonts w:ascii="Arial" w:hAnsi="Arial" w:cs="Arial"/>
          <w:sz w:val="20"/>
          <w:szCs w:val="20"/>
          <w:lang w:val="en-GB"/>
        </w:rPr>
        <w:t xml:space="preserve"> The methodology followed by the epidemiological studies of interest, requires a consistent protocol for all </w:t>
      </w:r>
      <w:r w:rsidRPr="0062442A">
        <w:rPr>
          <w:rFonts w:ascii="Arial" w:hAnsi="Arial" w:cs="Arial"/>
          <w:sz w:val="20"/>
          <w:szCs w:val="20"/>
          <w:lang w:val="en-GB"/>
        </w:rPr>
        <w:lastRenderedPageBreak/>
        <w:t xml:space="preserve">subjects. Data and blood samples collection, as well as laboratory procedures, were consistent for all subjects. We considered studies as “low risk of bias”. </w:t>
      </w:r>
    </w:p>
    <w:p w14:paraId="12AFC5B4" w14:textId="77777777" w:rsidR="00782576" w:rsidRPr="0062442A" w:rsidRDefault="00782576" w:rsidP="00782576">
      <w:pPr>
        <w:pStyle w:val="NoSpacing"/>
        <w:jc w:val="both"/>
        <w:rPr>
          <w:rFonts w:ascii="Arial" w:hAnsi="Arial" w:cs="Arial"/>
          <w:sz w:val="20"/>
          <w:szCs w:val="20"/>
          <w:lang w:val="en-GB"/>
        </w:rPr>
      </w:pPr>
    </w:p>
    <w:p w14:paraId="7C4032A0" w14:textId="6D7DB1A4"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 xml:space="preserve">The ninth item in the </w:t>
      </w:r>
      <w:proofErr w:type="spellStart"/>
      <w:r w:rsidRPr="0062442A">
        <w:rPr>
          <w:rFonts w:ascii="Arial" w:hAnsi="Arial" w:cs="Arial"/>
          <w:sz w:val="20"/>
          <w:szCs w:val="20"/>
          <w:lang w:val="en-GB"/>
        </w:rPr>
        <w:t>RoB</w:t>
      </w:r>
      <w:proofErr w:type="spellEnd"/>
      <w:r w:rsidRPr="0062442A">
        <w:rPr>
          <w:rFonts w:ascii="Arial" w:hAnsi="Arial" w:cs="Arial"/>
          <w:sz w:val="20"/>
          <w:szCs w:val="20"/>
          <w:lang w:val="en-GB"/>
        </w:rPr>
        <w:t xml:space="preserve"> </w:t>
      </w:r>
      <w:r w:rsidR="00C85C18">
        <w:rPr>
          <w:rFonts w:ascii="Arial" w:hAnsi="Arial" w:cs="Arial"/>
          <w:sz w:val="20"/>
          <w:szCs w:val="20"/>
          <w:lang w:val="en-GB"/>
        </w:rPr>
        <w:t>tool</w:t>
      </w:r>
      <w:r w:rsidR="00C85C18" w:rsidRPr="0062442A">
        <w:rPr>
          <w:rFonts w:ascii="Arial" w:hAnsi="Arial" w:cs="Arial"/>
          <w:sz w:val="20"/>
          <w:szCs w:val="20"/>
          <w:lang w:val="en-GB"/>
        </w:rPr>
        <w:t xml:space="preserve"> </w:t>
      </w:r>
      <w:r w:rsidRPr="0062442A">
        <w:rPr>
          <w:rFonts w:ascii="Arial" w:hAnsi="Arial" w:cs="Arial"/>
          <w:sz w:val="20"/>
          <w:szCs w:val="20"/>
          <w:lang w:val="en-GB"/>
        </w:rPr>
        <w:t xml:space="preserve">is: </w:t>
      </w:r>
      <w:r w:rsidRPr="0062442A">
        <w:rPr>
          <w:rFonts w:ascii="Arial" w:hAnsi="Arial" w:cs="Arial"/>
          <w:i/>
          <w:iCs/>
          <w:sz w:val="20"/>
          <w:szCs w:val="20"/>
          <w:lang w:val="en-GB"/>
        </w:rPr>
        <w:t xml:space="preserve">Was the length of the shortest prevalence period for the parameter of Interest appropriate? </w:t>
      </w:r>
      <w:r w:rsidRPr="0062442A">
        <w:rPr>
          <w:rFonts w:ascii="Arial" w:hAnsi="Arial" w:cs="Arial"/>
          <w:sz w:val="20"/>
          <w:szCs w:val="20"/>
          <w:lang w:val="en-GB"/>
        </w:rPr>
        <w:t xml:space="preserve">We were interested in the point prevalence of dyslipidaemia traits; that is, the prevalence at the time of data collation. Studies met these criteria, thus classified as “low risk of bias”. </w:t>
      </w:r>
      <w:r w:rsidR="003E45CA" w:rsidRPr="0062442A">
        <w:rPr>
          <w:rFonts w:ascii="Arial" w:hAnsi="Arial" w:cs="Arial"/>
          <w:sz w:val="20"/>
          <w:szCs w:val="20"/>
          <w:lang w:val="en-GB"/>
        </w:rPr>
        <w:t>This item would not apply for mean levels.</w:t>
      </w:r>
    </w:p>
    <w:p w14:paraId="45E312B8" w14:textId="77777777" w:rsidR="00782576" w:rsidRPr="0062442A" w:rsidRDefault="00782576" w:rsidP="00782576">
      <w:pPr>
        <w:pStyle w:val="NoSpacing"/>
        <w:jc w:val="both"/>
        <w:rPr>
          <w:rFonts w:ascii="Arial" w:hAnsi="Arial" w:cs="Arial"/>
          <w:sz w:val="20"/>
          <w:szCs w:val="20"/>
          <w:lang w:val="en-GB"/>
        </w:rPr>
      </w:pPr>
    </w:p>
    <w:p w14:paraId="6B06E285" w14:textId="0A14CA4E"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 xml:space="preserve">The tenth item in the </w:t>
      </w:r>
      <w:proofErr w:type="spellStart"/>
      <w:r w:rsidRPr="0062442A">
        <w:rPr>
          <w:rFonts w:ascii="Arial" w:hAnsi="Arial" w:cs="Arial"/>
          <w:sz w:val="20"/>
          <w:szCs w:val="20"/>
          <w:lang w:val="en-GB"/>
        </w:rPr>
        <w:t>RoB</w:t>
      </w:r>
      <w:proofErr w:type="spellEnd"/>
      <w:r w:rsidRPr="0062442A">
        <w:rPr>
          <w:rFonts w:ascii="Arial" w:hAnsi="Arial" w:cs="Arial"/>
          <w:sz w:val="20"/>
          <w:szCs w:val="20"/>
          <w:lang w:val="en-GB"/>
        </w:rPr>
        <w:t xml:space="preserve"> </w:t>
      </w:r>
      <w:r w:rsidR="00C85C18">
        <w:rPr>
          <w:rFonts w:ascii="Arial" w:hAnsi="Arial" w:cs="Arial"/>
          <w:sz w:val="20"/>
          <w:szCs w:val="20"/>
          <w:lang w:val="en-GB"/>
        </w:rPr>
        <w:t>tool</w:t>
      </w:r>
      <w:r w:rsidR="00C85C18" w:rsidRPr="0062442A">
        <w:rPr>
          <w:rFonts w:ascii="Arial" w:hAnsi="Arial" w:cs="Arial"/>
          <w:sz w:val="20"/>
          <w:szCs w:val="20"/>
          <w:lang w:val="en-GB"/>
        </w:rPr>
        <w:t xml:space="preserve"> </w:t>
      </w:r>
      <w:r w:rsidRPr="0062442A">
        <w:rPr>
          <w:rFonts w:ascii="Arial" w:hAnsi="Arial" w:cs="Arial"/>
          <w:sz w:val="20"/>
          <w:szCs w:val="20"/>
          <w:lang w:val="en-GB"/>
        </w:rPr>
        <w:t xml:space="preserve">is: </w:t>
      </w:r>
      <w:r w:rsidRPr="0062442A">
        <w:rPr>
          <w:rFonts w:ascii="Arial" w:hAnsi="Arial" w:cs="Arial"/>
          <w:i/>
          <w:iCs/>
          <w:sz w:val="20"/>
          <w:szCs w:val="20"/>
          <w:lang w:val="en-GB"/>
        </w:rPr>
        <w:t>Were the numerator(s) and denominator(s) for the parameter of interest</w:t>
      </w:r>
      <w:r w:rsidR="003E45CA" w:rsidRPr="0062442A">
        <w:rPr>
          <w:rFonts w:ascii="Arial" w:hAnsi="Arial" w:cs="Arial"/>
          <w:i/>
          <w:iCs/>
          <w:sz w:val="20"/>
          <w:szCs w:val="20"/>
          <w:lang w:val="en-GB"/>
        </w:rPr>
        <w:t xml:space="preserve"> </w:t>
      </w:r>
      <w:r w:rsidRPr="0062442A">
        <w:rPr>
          <w:rFonts w:ascii="Arial" w:hAnsi="Arial" w:cs="Arial"/>
          <w:i/>
          <w:iCs/>
          <w:sz w:val="20"/>
          <w:szCs w:val="20"/>
          <w:lang w:val="en-GB"/>
        </w:rPr>
        <w:t>appropriate?</w:t>
      </w:r>
      <w:r w:rsidRPr="0062442A">
        <w:rPr>
          <w:rFonts w:ascii="Arial" w:hAnsi="Arial" w:cs="Arial"/>
          <w:sz w:val="20"/>
          <w:szCs w:val="20"/>
          <w:lang w:val="en-GB"/>
        </w:rPr>
        <w:t xml:space="preserve"> For our research question, the numerator and denominator were adequate; for example, number of people with high total cholesterol over the total study population. Consequently, we thought all studies were “low risk of bias”. </w:t>
      </w:r>
    </w:p>
    <w:p w14:paraId="022CF198" w14:textId="77777777" w:rsidR="00782576" w:rsidRPr="0062442A" w:rsidRDefault="00782576" w:rsidP="00782576">
      <w:pPr>
        <w:pStyle w:val="NoSpacing"/>
        <w:jc w:val="both"/>
        <w:rPr>
          <w:rFonts w:ascii="Arial" w:hAnsi="Arial" w:cs="Arial"/>
          <w:sz w:val="20"/>
          <w:szCs w:val="20"/>
          <w:lang w:val="en-GB"/>
        </w:rPr>
      </w:pPr>
    </w:p>
    <w:p w14:paraId="113D0FA4" w14:textId="1C0A9894"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 xml:space="preserve">Finally, the overall summary proposed by this </w:t>
      </w:r>
      <w:proofErr w:type="spellStart"/>
      <w:r w:rsidRPr="0062442A">
        <w:rPr>
          <w:rFonts w:ascii="Arial" w:hAnsi="Arial" w:cs="Arial"/>
          <w:sz w:val="20"/>
          <w:szCs w:val="20"/>
          <w:lang w:val="en-GB"/>
        </w:rPr>
        <w:t>RoB</w:t>
      </w:r>
      <w:proofErr w:type="spellEnd"/>
      <w:r w:rsidRPr="0062442A">
        <w:rPr>
          <w:rFonts w:ascii="Arial" w:hAnsi="Arial" w:cs="Arial"/>
          <w:sz w:val="20"/>
          <w:szCs w:val="20"/>
          <w:lang w:val="en-GB"/>
        </w:rPr>
        <w:t xml:space="preserve"> tool has three options: </w:t>
      </w:r>
      <w:proofErr w:type="spellStart"/>
      <w:r w:rsidRPr="00222B61">
        <w:rPr>
          <w:rFonts w:ascii="Arial" w:hAnsi="Arial" w:cs="Arial"/>
          <w:i/>
          <w:iCs/>
          <w:sz w:val="20"/>
          <w:szCs w:val="20"/>
          <w:lang w:val="en-GB"/>
        </w:rPr>
        <w:t>i</w:t>
      </w:r>
      <w:proofErr w:type="spellEnd"/>
      <w:r w:rsidRPr="00222B61">
        <w:rPr>
          <w:rFonts w:ascii="Arial" w:hAnsi="Arial" w:cs="Arial"/>
          <w:i/>
          <w:iCs/>
          <w:sz w:val="20"/>
          <w:szCs w:val="20"/>
          <w:lang w:val="en-GB"/>
        </w:rPr>
        <w:t>) low risk of bias when further research is very unlikely to change our confidence in the estimate; ii) moderate risk of bias when further research is likely to have an important impact on our confidence in the estimate and may change the estimate; and iii) high risk of bias when further research is very likely to have an important impact on our confidence in the estimate and is likely to change the estimate.</w:t>
      </w:r>
      <w:r w:rsidRPr="0062442A">
        <w:rPr>
          <w:rFonts w:ascii="Arial" w:hAnsi="Arial" w:cs="Arial"/>
          <w:sz w:val="20"/>
          <w:szCs w:val="20"/>
          <w:lang w:val="en-GB"/>
        </w:rPr>
        <w:t xml:space="preserve"> Because most -if not all- studies were “low risk of bias” in most items, but we cannot guarantee studies were completely free risk of bias, we deemed all studies as “moderate risk of bias”. In some cases, further research could change our confidence in the estimates, but still, we would not expect the estimates to change dramatically.</w:t>
      </w:r>
      <w:r w:rsidR="003E45CA" w:rsidRPr="0062442A">
        <w:rPr>
          <w:rFonts w:ascii="Arial" w:hAnsi="Arial" w:cs="Arial"/>
          <w:sz w:val="20"/>
          <w:szCs w:val="20"/>
          <w:lang w:val="en-GB"/>
        </w:rPr>
        <w:t xml:space="preserve"> This because we sought population-based studies with random sampling of the general population, and where lipid biomarkers were measured with laboratory-based methods. </w:t>
      </w:r>
      <w:r w:rsidRPr="0062442A">
        <w:rPr>
          <w:rFonts w:ascii="Arial" w:hAnsi="Arial" w:cs="Arial"/>
          <w:sz w:val="20"/>
          <w:szCs w:val="20"/>
          <w:lang w:val="en-GB"/>
        </w:rPr>
        <w:t xml:space="preserve"> </w:t>
      </w:r>
    </w:p>
    <w:p w14:paraId="6E8DBBA1" w14:textId="77777777" w:rsidR="00782576" w:rsidRPr="0062442A" w:rsidRDefault="00782576" w:rsidP="00782576">
      <w:pPr>
        <w:pStyle w:val="NoSpacing"/>
        <w:jc w:val="both"/>
        <w:rPr>
          <w:rFonts w:ascii="Arial" w:hAnsi="Arial" w:cs="Arial"/>
          <w:sz w:val="20"/>
          <w:szCs w:val="20"/>
          <w:lang w:val="en-GB"/>
        </w:rPr>
      </w:pPr>
    </w:p>
    <w:p w14:paraId="4E63F10B" w14:textId="527C9058" w:rsidR="00782576" w:rsidRPr="0062442A" w:rsidRDefault="00782576" w:rsidP="00782576">
      <w:pPr>
        <w:pStyle w:val="NoSpacing"/>
        <w:jc w:val="both"/>
        <w:rPr>
          <w:rFonts w:ascii="Arial" w:hAnsi="Arial" w:cs="Arial"/>
          <w:sz w:val="20"/>
          <w:szCs w:val="20"/>
          <w:lang w:val="en-GB"/>
        </w:rPr>
      </w:pPr>
      <w:r w:rsidRPr="0062442A">
        <w:rPr>
          <w:rFonts w:ascii="Arial" w:hAnsi="Arial" w:cs="Arial"/>
          <w:sz w:val="20"/>
          <w:szCs w:val="20"/>
          <w:lang w:val="en-GB"/>
        </w:rPr>
        <w:t xml:space="preserve">A limitation of our methodology is that we assessed </w:t>
      </w:r>
      <w:r w:rsidR="00F6741B" w:rsidRPr="0062442A">
        <w:rPr>
          <w:rFonts w:ascii="Arial" w:hAnsi="Arial" w:cs="Arial"/>
          <w:sz w:val="20"/>
          <w:szCs w:val="20"/>
          <w:lang w:val="en-GB"/>
        </w:rPr>
        <w:t xml:space="preserve">the </w:t>
      </w:r>
      <w:proofErr w:type="spellStart"/>
      <w:r w:rsidRPr="0062442A">
        <w:rPr>
          <w:rFonts w:ascii="Arial" w:hAnsi="Arial" w:cs="Arial"/>
          <w:sz w:val="20"/>
          <w:szCs w:val="20"/>
          <w:lang w:val="en-GB"/>
        </w:rPr>
        <w:t>RoB</w:t>
      </w:r>
      <w:proofErr w:type="spellEnd"/>
      <w:r w:rsidRPr="0062442A">
        <w:rPr>
          <w:rFonts w:ascii="Arial" w:hAnsi="Arial" w:cs="Arial"/>
          <w:sz w:val="20"/>
          <w:szCs w:val="20"/>
          <w:lang w:val="en-GB"/>
        </w:rPr>
        <w:t xml:space="preserve"> based on the information available in each selected report (or paper), which may not contain all details to make a comprehensive assessment of the original study. Ideally, we would have needed to investigate the original protocol, but certainly this does not happen often in any systematic review. Moreover, because of our original selection criteria, we strongly consider that the selected reports do not provide biased information to affect our results</w:t>
      </w:r>
      <w:r w:rsidR="00F6741B" w:rsidRPr="0062442A">
        <w:rPr>
          <w:rFonts w:ascii="Arial" w:hAnsi="Arial" w:cs="Arial"/>
          <w:sz w:val="20"/>
          <w:szCs w:val="20"/>
          <w:lang w:val="en-GB"/>
        </w:rPr>
        <w:t xml:space="preserve"> or conclusions</w:t>
      </w:r>
      <w:r w:rsidRPr="0062442A">
        <w:rPr>
          <w:rFonts w:ascii="Arial" w:hAnsi="Arial" w:cs="Arial"/>
          <w:sz w:val="20"/>
          <w:szCs w:val="20"/>
          <w:lang w:val="en-GB"/>
        </w:rPr>
        <w:t xml:space="preserve">. </w:t>
      </w:r>
    </w:p>
    <w:p w14:paraId="1A90DCC9" w14:textId="7E64E5B9" w:rsidR="00675F01" w:rsidRPr="0062442A" w:rsidRDefault="00675F01" w:rsidP="00782576">
      <w:pPr>
        <w:pStyle w:val="NoSpacing"/>
        <w:jc w:val="both"/>
        <w:rPr>
          <w:rFonts w:ascii="Arial" w:hAnsi="Arial" w:cs="Arial"/>
          <w:sz w:val="20"/>
          <w:szCs w:val="20"/>
          <w:lang w:val="en-GB"/>
        </w:rPr>
      </w:pPr>
      <w:r w:rsidRPr="0062442A">
        <w:rPr>
          <w:rFonts w:ascii="Arial" w:hAnsi="Arial" w:cs="Arial"/>
          <w:sz w:val="20"/>
          <w:szCs w:val="20"/>
          <w:lang w:val="en-GB"/>
        </w:rPr>
        <w:br w:type="page"/>
      </w:r>
    </w:p>
    <w:p w14:paraId="1ED785DE" w14:textId="77777777" w:rsidR="00DF16A9" w:rsidRPr="00782576" w:rsidRDefault="00DF16A9" w:rsidP="00675F01">
      <w:pPr>
        <w:pStyle w:val="Heading1"/>
        <w:rPr>
          <w:rFonts w:asciiTheme="minorHAnsi" w:hAnsiTheme="minorHAnsi"/>
          <w:color w:val="auto"/>
          <w:sz w:val="22"/>
          <w:szCs w:val="22"/>
          <w:lang w:val="en-GB"/>
        </w:rPr>
        <w:sectPr w:rsidR="00DF16A9" w:rsidRPr="00782576">
          <w:pgSz w:w="11906" w:h="16838"/>
          <w:pgMar w:top="1440" w:right="1440" w:bottom="1440" w:left="1440" w:header="708" w:footer="708" w:gutter="0"/>
          <w:cols w:space="708"/>
          <w:docGrid w:linePitch="360"/>
        </w:sectPr>
      </w:pPr>
    </w:p>
    <w:p w14:paraId="580A47D8" w14:textId="2F34C54F" w:rsidR="001D4C97" w:rsidRPr="00665066" w:rsidRDefault="001D4C97" w:rsidP="001D4C97">
      <w:pPr>
        <w:pStyle w:val="Heading1"/>
        <w:jc w:val="both"/>
        <w:rPr>
          <w:rFonts w:ascii="Arial" w:hAnsi="Arial" w:cs="Arial"/>
          <w:color w:val="auto"/>
          <w:sz w:val="20"/>
          <w:szCs w:val="20"/>
          <w:lang w:val="en-GB"/>
        </w:rPr>
      </w:pPr>
      <w:bookmarkStart w:id="7" w:name="_Toc42494722"/>
      <w:r w:rsidRPr="00665066">
        <w:rPr>
          <w:rFonts w:ascii="Arial" w:hAnsi="Arial" w:cs="Arial"/>
          <w:color w:val="auto"/>
          <w:sz w:val="20"/>
          <w:szCs w:val="20"/>
          <w:lang w:val="en-GB"/>
        </w:rPr>
        <w:lastRenderedPageBreak/>
        <w:t>Supplementary Table 1: Characteristics of the analysed studies (</w:t>
      </w:r>
      <w:r w:rsidR="00D16702" w:rsidRPr="00665066">
        <w:rPr>
          <w:rFonts w:ascii="Arial" w:hAnsi="Arial" w:cs="Arial"/>
          <w:color w:val="auto"/>
          <w:sz w:val="20"/>
          <w:szCs w:val="20"/>
          <w:lang w:val="en-GB"/>
        </w:rPr>
        <w:t>19</w:t>
      </w:r>
      <w:r w:rsidR="0062442A" w:rsidRPr="00665066">
        <w:rPr>
          <w:rFonts w:ascii="Arial" w:hAnsi="Arial" w:cs="Arial"/>
          <w:color w:val="auto"/>
          <w:sz w:val="20"/>
          <w:szCs w:val="20"/>
          <w:lang w:val="en-GB"/>
        </w:rPr>
        <w:t>7</w:t>
      </w:r>
      <w:r w:rsidR="00E572E4" w:rsidRPr="00665066">
        <w:rPr>
          <w:rFonts w:ascii="Arial" w:hAnsi="Arial" w:cs="Arial"/>
          <w:color w:val="auto"/>
          <w:sz w:val="20"/>
          <w:szCs w:val="20"/>
          <w:lang w:val="en-GB"/>
        </w:rPr>
        <w:t xml:space="preserve"> studies</w:t>
      </w:r>
      <w:r w:rsidRPr="00665066">
        <w:rPr>
          <w:rFonts w:ascii="Arial" w:hAnsi="Arial" w:cs="Arial"/>
          <w:color w:val="auto"/>
          <w:sz w:val="20"/>
          <w:szCs w:val="20"/>
          <w:lang w:val="en-GB"/>
        </w:rPr>
        <w:t>)</w:t>
      </w:r>
      <w:bookmarkEnd w:id="7"/>
    </w:p>
    <w:p w14:paraId="2D7761E8" w14:textId="1730EBC4" w:rsidR="002B4173" w:rsidRPr="00665066" w:rsidRDefault="00D16702" w:rsidP="00665066">
      <w:pPr>
        <w:pStyle w:val="NoSpacing"/>
        <w:rPr>
          <w:rFonts w:ascii="Arial" w:hAnsi="Arial" w:cs="Arial"/>
          <w:sz w:val="20"/>
          <w:szCs w:val="20"/>
        </w:rPr>
      </w:pPr>
      <w:r w:rsidRPr="00665066">
        <w:rPr>
          <w:rFonts w:ascii="Arial" w:hAnsi="Arial" w:cs="Arial"/>
          <w:sz w:val="20"/>
          <w:szCs w:val="20"/>
        </w:rPr>
        <w:t xml:space="preserve">NI: no </w:t>
      </w:r>
      <w:proofErr w:type="spellStart"/>
      <w:r w:rsidRPr="00665066">
        <w:rPr>
          <w:rFonts w:ascii="Arial" w:hAnsi="Arial" w:cs="Arial"/>
          <w:sz w:val="20"/>
          <w:szCs w:val="20"/>
        </w:rPr>
        <w:t>information</w:t>
      </w:r>
      <w:proofErr w:type="spellEnd"/>
    </w:p>
    <w:p w14:paraId="4835C0F4" w14:textId="2ECC892E" w:rsidR="00665066" w:rsidRPr="00665066" w:rsidRDefault="00665066" w:rsidP="00665066">
      <w:pPr>
        <w:pStyle w:val="NoSpacing"/>
        <w:rPr>
          <w:rFonts w:ascii="Arial" w:hAnsi="Arial" w:cs="Arial"/>
          <w:sz w:val="20"/>
          <w:szCs w:val="20"/>
        </w:rPr>
      </w:pPr>
    </w:p>
    <w:tbl>
      <w:tblPr>
        <w:tblW w:w="5000" w:type="pct"/>
        <w:tblLook w:val="04A0" w:firstRow="1" w:lastRow="0" w:firstColumn="1" w:lastColumn="0" w:noHBand="0" w:noVBand="1"/>
      </w:tblPr>
      <w:tblGrid>
        <w:gridCol w:w="1693"/>
        <w:gridCol w:w="2910"/>
        <w:gridCol w:w="1762"/>
        <w:gridCol w:w="1728"/>
        <w:gridCol w:w="1702"/>
        <w:gridCol w:w="1057"/>
        <w:gridCol w:w="1199"/>
        <w:gridCol w:w="1338"/>
        <w:gridCol w:w="785"/>
      </w:tblGrid>
      <w:tr w:rsidR="00665066" w:rsidRPr="009E0769" w14:paraId="10D0E6D0" w14:textId="77777777" w:rsidTr="0054001C">
        <w:trPr>
          <w:trHeight w:val="300"/>
        </w:trPr>
        <w:tc>
          <w:tcPr>
            <w:tcW w:w="53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1381BF1" w14:textId="77777777" w:rsidR="00665066" w:rsidRPr="009E0769" w:rsidRDefault="00665066" w:rsidP="0054001C">
            <w:pPr>
              <w:spacing w:after="0" w:line="240" w:lineRule="auto"/>
              <w:jc w:val="center"/>
              <w:rPr>
                <w:rFonts w:ascii="Arial" w:eastAsia="Times New Roman" w:hAnsi="Arial" w:cs="Arial"/>
                <w:b/>
                <w:bCs/>
                <w:color w:val="000000"/>
                <w:sz w:val="16"/>
                <w:szCs w:val="16"/>
                <w:lang w:eastAsia="en-GB"/>
              </w:rPr>
            </w:pPr>
            <w:r w:rsidRPr="009E0769">
              <w:rPr>
                <w:rFonts w:ascii="Arial" w:eastAsia="Times New Roman" w:hAnsi="Arial" w:cs="Arial"/>
                <w:b/>
                <w:bCs/>
                <w:color w:val="000000"/>
                <w:sz w:val="16"/>
                <w:szCs w:val="16"/>
                <w:lang w:eastAsia="en-GB"/>
              </w:rPr>
              <w:t>Country</w:t>
            </w:r>
          </w:p>
        </w:tc>
        <w:tc>
          <w:tcPr>
            <w:tcW w:w="1053" w:type="pct"/>
            <w:tcBorders>
              <w:top w:val="single" w:sz="4" w:space="0" w:color="auto"/>
              <w:left w:val="nil"/>
              <w:bottom w:val="single" w:sz="4" w:space="0" w:color="auto"/>
              <w:right w:val="single" w:sz="4" w:space="0" w:color="auto"/>
            </w:tcBorders>
            <w:shd w:val="clear" w:color="000000" w:fill="BFBFBF"/>
            <w:noWrap/>
            <w:vAlign w:val="bottom"/>
            <w:hideMark/>
          </w:tcPr>
          <w:p w14:paraId="7094DB71" w14:textId="77777777" w:rsidR="00665066" w:rsidRPr="009E0769" w:rsidRDefault="00665066" w:rsidP="0054001C">
            <w:pPr>
              <w:spacing w:after="0" w:line="240" w:lineRule="auto"/>
              <w:jc w:val="center"/>
              <w:rPr>
                <w:rFonts w:ascii="Arial" w:eastAsia="Times New Roman" w:hAnsi="Arial" w:cs="Arial"/>
                <w:b/>
                <w:bCs/>
                <w:color w:val="000000"/>
                <w:sz w:val="16"/>
                <w:szCs w:val="16"/>
                <w:lang w:eastAsia="en-GB"/>
              </w:rPr>
            </w:pPr>
            <w:r w:rsidRPr="009E0769">
              <w:rPr>
                <w:rFonts w:ascii="Arial" w:eastAsia="Times New Roman" w:hAnsi="Arial" w:cs="Arial"/>
                <w:b/>
                <w:bCs/>
                <w:color w:val="000000"/>
                <w:sz w:val="16"/>
                <w:szCs w:val="16"/>
                <w:lang w:eastAsia="en-GB"/>
              </w:rPr>
              <w:t>1st author</w:t>
            </w:r>
          </w:p>
        </w:tc>
        <w:tc>
          <w:tcPr>
            <w:tcW w:w="648" w:type="pct"/>
            <w:tcBorders>
              <w:top w:val="single" w:sz="4" w:space="0" w:color="auto"/>
              <w:left w:val="nil"/>
              <w:bottom w:val="single" w:sz="4" w:space="0" w:color="auto"/>
              <w:right w:val="single" w:sz="4" w:space="0" w:color="auto"/>
            </w:tcBorders>
            <w:shd w:val="clear" w:color="000000" w:fill="BFBFBF"/>
            <w:noWrap/>
            <w:vAlign w:val="bottom"/>
            <w:hideMark/>
          </w:tcPr>
          <w:p w14:paraId="19B377A9" w14:textId="77777777" w:rsidR="00665066" w:rsidRPr="009E0769" w:rsidRDefault="00665066" w:rsidP="0054001C">
            <w:pPr>
              <w:spacing w:after="0" w:line="240" w:lineRule="auto"/>
              <w:jc w:val="center"/>
              <w:rPr>
                <w:rFonts w:ascii="Arial" w:eastAsia="Times New Roman" w:hAnsi="Arial" w:cs="Arial"/>
                <w:b/>
                <w:bCs/>
                <w:color w:val="000000"/>
                <w:sz w:val="16"/>
                <w:szCs w:val="16"/>
                <w:lang w:eastAsia="en-GB"/>
              </w:rPr>
            </w:pPr>
            <w:r w:rsidRPr="009E0769">
              <w:rPr>
                <w:rFonts w:ascii="Arial" w:eastAsia="Times New Roman" w:hAnsi="Arial" w:cs="Arial"/>
                <w:b/>
                <w:bCs/>
                <w:color w:val="000000"/>
                <w:sz w:val="16"/>
                <w:szCs w:val="16"/>
                <w:lang w:eastAsia="en-GB"/>
              </w:rPr>
              <w:t>Publication year</w:t>
            </w:r>
          </w:p>
        </w:tc>
        <w:tc>
          <w:tcPr>
            <w:tcW w:w="598" w:type="pct"/>
            <w:tcBorders>
              <w:top w:val="single" w:sz="4" w:space="0" w:color="auto"/>
              <w:left w:val="nil"/>
              <w:bottom w:val="single" w:sz="4" w:space="0" w:color="auto"/>
              <w:right w:val="single" w:sz="4" w:space="0" w:color="auto"/>
            </w:tcBorders>
            <w:shd w:val="clear" w:color="000000" w:fill="BFBFBF"/>
            <w:noWrap/>
            <w:vAlign w:val="bottom"/>
            <w:hideMark/>
          </w:tcPr>
          <w:p w14:paraId="150260BE" w14:textId="77777777" w:rsidR="00665066" w:rsidRPr="009E0769" w:rsidRDefault="00665066" w:rsidP="0054001C">
            <w:pPr>
              <w:spacing w:after="0" w:line="240" w:lineRule="auto"/>
              <w:jc w:val="center"/>
              <w:rPr>
                <w:rFonts w:ascii="Arial" w:eastAsia="Times New Roman" w:hAnsi="Arial" w:cs="Arial"/>
                <w:b/>
                <w:bCs/>
                <w:color w:val="000000"/>
                <w:sz w:val="16"/>
                <w:szCs w:val="16"/>
                <w:lang w:eastAsia="en-GB"/>
              </w:rPr>
            </w:pPr>
            <w:r w:rsidRPr="009E0769">
              <w:rPr>
                <w:rFonts w:ascii="Arial" w:eastAsia="Times New Roman" w:hAnsi="Arial" w:cs="Arial"/>
                <w:b/>
                <w:bCs/>
                <w:color w:val="000000"/>
                <w:sz w:val="16"/>
                <w:szCs w:val="16"/>
                <w:lang w:eastAsia="en-GB"/>
              </w:rPr>
              <w:t>Data collection year</w:t>
            </w:r>
          </w:p>
        </w:tc>
        <w:tc>
          <w:tcPr>
            <w:tcW w:w="548" w:type="pct"/>
            <w:tcBorders>
              <w:top w:val="single" w:sz="4" w:space="0" w:color="auto"/>
              <w:left w:val="nil"/>
              <w:bottom w:val="single" w:sz="4" w:space="0" w:color="auto"/>
              <w:right w:val="single" w:sz="4" w:space="0" w:color="auto"/>
            </w:tcBorders>
            <w:shd w:val="clear" w:color="000000" w:fill="BFBFBF"/>
            <w:noWrap/>
            <w:vAlign w:val="bottom"/>
            <w:hideMark/>
          </w:tcPr>
          <w:p w14:paraId="17462467" w14:textId="77777777" w:rsidR="00665066" w:rsidRPr="009E0769" w:rsidRDefault="00665066" w:rsidP="0054001C">
            <w:pPr>
              <w:spacing w:after="0" w:line="240" w:lineRule="auto"/>
              <w:jc w:val="center"/>
              <w:rPr>
                <w:rFonts w:ascii="Arial" w:eastAsia="Times New Roman" w:hAnsi="Arial" w:cs="Arial"/>
                <w:b/>
                <w:bCs/>
                <w:color w:val="000000"/>
                <w:sz w:val="16"/>
                <w:szCs w:val="16"/>
                <w:lang w:eastAsia="en-GB"/>
              </w:rPr>
            </w:pPr>
            <w:r w:rsidRPr="009E0769">
              <w:rPr>
                <w:rFonts w:ascii="Arial" w:eastAsia="Times New Roman" w:hAnsi="Arial" w:cs="Arial"/>
                <w:b/>
                <w:bCs/>
                <w:color w:val="000000"/>
                <w:sz w:val="16"/>
                <w:szCs w:val="16"/>
                <w:lang w:eastAsia="en-GB"/>
              </w:rPr>
              <w:t>Overall sample size</w:t>
            </w:r>
          </w:p>
        </w:tc>
        <w:tc>
          <w:tcPr>
            <w:tcW w:w="399" w:type="pct"/>
            <w:tcBorders>
              <w:top w:val="single" w:sz="4" w:space="0" w:color="auto"/>
              <w:left w:val="nil"/>
              <w:bottom w:val="single" w:sz="4" w:space="0" w:color="auto"/>
              <w:right w:val="single" w:sz="4" w:space="0" w:color="auto"/>
            </w:tcBorders>
            <w:shd w:val="clear" w:color="000000" w:fill="BFBFBF"/>
            <w:noWrap/>
            <w:vAlign w:val="bottom"/>
            <w:hideMark/>
          </w:tcPr>
          <w:p w14:paraId="78EF52EA" w14:textId="77777777" w:rsidR="00665066" w:rsidRPr="009E0769" w:rsidRDefault="00665066" w:rsidP="0054001C">
            <w:pPr>
              <w:spacing w:after="0" w:line="240" w:lineRule="auto"/>
              <w:jc w:val="center"/>
              <w:rPr>
                <w:rFonts w:ascii="Arial" w:eastAsia="Times New Roman" w:hAnsi="Arial" w:cs="Arial"/>
                <w:b/>
                <w:bCs/>
                <w:color w:val="000000"/>
                <w:sz w:val="16"/>
                <w:szCs w:val="16"/>
                <w:lang w:eastAsia="en-GB"/>
              </w:rPr>
            </w:pPr>
            <w:r w:rsidRPr="009E0769">
              <w:rPr>
                <w:rFonts w:ascii="Arial" w:eastAsia="Times New Roman" w:hAnsi="Arial" w:cs="Arial"/>
                <w:b/>
                <w:bCs/>
                <w:color w:val="000000"/>
                <w:sz w:val="16"/>
                <w:szCs w:val="16"/>
                <w:lang w:eastAsia="en-GB"/>
              </w:rPr>
              <w:t>Men (%)</w:t>
            </w:r>
          </w:p>
        </w:tc>
        <w:tc>
          <w:tcPr>
            <w:tcW w:w="449" w:type="pct"/>
            <w:tcBorders>
              <w:top w:val="single" w:sz="4" w:space="0" w:color="auto"/>
              <w:left w:val="nil"/>
              <w:bottom w:val="single" w:sz="4" w:space="0" w:color="auto"/>
              <w:right w:val="single" w:sz="4" w:space="0" w:color="auto"/>
            </w:tcBorders>
            <w:shd w:val="clear" w:color="000000" w:fill="BFBFBF"/>
            <w:noWrap/>
            <w:vAlign w:val="bottom"/>
            <w:hideMark/>
          </w:tcPr>
          <w:p w14:paraId="104CD080" w14:textId="77777777" w:rsidR="00665066" w:rsidRPr="009E0769" w:rsidRDefault="00665066" w:rsidP="0054001C">
            <w:pPr>
              <w:spacing w:after="0" w:line="240" w:lineRule="auto"/>
              <w:jc w:val="center"/>
              <w:rPr>
                <w:rFonts w:ascii="Arial" w:eastAsia="Times New Roman" w:hAnsi="Arial" w:cs="Arial"/>
                <w:b/>
                <w:bCs/>
                <w:color w:val="000000"/>
                <w:sz w:val="16"/>
                <w:szCs w:val="16"/>
                <w:lang w:eastAsia="en-GB"/>
              </w:rPr>
            </w:pPr>
            <w:r w:rsidRPr="009E0769">
              <w:rPr>
                <w:rFonts w:ascii="Arial" w:eastAsia="Times New Roman" w:hAnsi="Arial" w:cs="Arial"/>
                <w:b/>
                <w:bCs/>
                <w:color w:val="000000"/>
                <w:sz w:val="16"/>
                <w:szCs w:val="16"/>
                <w:lang w:eastAsia="en-GB"/>
              </w:rPr>
              <w:t>Age (mean)</w:t>
            </w:r>
          </w:p>
        </w:tc>
        <w:tc>
          <w:tcPr>
            <w:tcW w:w="498" w:type="pct"/>
            <w:tcBorders>
              <w:top w:val="single" w:sz="4" w:space="0" w:color="auto"/>
              <w:left w:val="nil"/>
              <w:bottom w:val="single" w:sz="4" w:space="0" w:color="auto"/>
              <w:right w:val="single" w:sz="4" w:space="0" w:color="auto"/>
            </w:tcBorders>
            <w:shd w:val="clear" w:color="000000" w:fill="BFBFBF"/>
            <w:noWrap/>
            <w:vAlign w:val="bottom"/>
            <w:hideMark/>
          </w:tcPr>
          <w:p w14:paraId="6DE76AC8" w14:textId="77777777" w:rsidR="00665066" w:rsidRPr="009E0769" w:rsidRDefault="00665066" w:rsidP="0054001C">
            <w:pPr>
              <w:spacing w:after="0" w:line="240" w:lineRule="auto"/>
              <w:jc w:val="center"/>
              <w:rPr>
                <w:rFonts w:ascii="Arial" w:eastAsia="Times New Roman" w:hAnsi="Arial" w:cs="Arial"/>
                <w:b/>
                <w:bCs/>
                <w:color w:val="000000"/>
                <w:sz w:val="16"/>
                <w:szCs w:val="16"/>
                <w:lang w:eastAsia="en-GB"/>
              </w:rPr>
            </w:pPr>
            <w:r w:rsidRPr="009E0769">
              <w:rPr>
                <w:rFonts w:ascii="Arial" w:eastAsia="Times New Roman" w:hAnsi="Arial" w:cs="Arial"/>
                <w:b/>
                <w:bCs/>
                <w:color w:val="000000"/>
                <w:sz w:val="16"/>
                <w:szCs w:val="16"/>
                <w:lang w:eastAsia="en-GB"/>
              </w:rPr>
              <w:t>Coverage</w:t>
            </w:r>
          </w:p>
        </w:tc>
        <w:tc>
          <w:tcPr>
            <w:tcW w:w="277" w:type="pct"/>
            <w:tcBorders>
              <w:top w:val="single" w:sz="4" w:space="0" w:color="auto"/>
              <w:left w:val="nil"/>
              <w:bottom w:val="single" w:sz="4" w:space="0" w:color="auto"/>
              <w:right w:val="single" w:sz="4" w:space="0" w:color="auto"/>
            </w:tcBorders>
            <w:shd w:val="clear" w:color="000000" w:fill="BFBFBF"/>
            <w:noWrap/>
            <w:vAlign w:val="bottom"/>
            <w:hideMark/>
          </w:tcPr>
          <w:p w14:paraId="61F861E8" w14:textId="77777777" w:rsidR="00665066" w:rsidRPr="009E0769" w:rsidRDefault="00665066" w:rsidP="0054001C">
            <w:pPr>
              <w:spacing w:after="0" w:line="240" w:lineRule="auto"/>
              <w:jc w:val="center"/>
              <w:rPr>
                <w:rFonts w:ascii="Arial" w:eastAsia="Times New Roman" w:hAnsi="Arial" w:cs="Arial"/>
                <w:b/>
                <w:bCs/>
                <w:color w:val="000000"/>
                <w:sz w:val="16"/>
                <w:szCs w:val="16"/>
                <w:lang w:eastAsia="en-GB"/>
              </w:rPr>
            </w:pPr>
            <w:r w:rsidRPr="009E0769">
              <w:rPr>
                <w:rFonts w:ascii="Arial" w:eastAsia="Times New Roman" w:hAnsi="Arial" w:cs="Arial"/>
                <w:b/>
                <w:bCs/>
                <w:color w:val="000000"/>
                <w:sz w:val="16"/>
                <w:szCs w:val="16"/>
                <w:lang w:eastAsia="en-GB"/>
              </w:rPr>
              <w:t>Fasting</w:t>
            </w:r>
          </w:p>
        </w:tc>
      </w:tr>
      <w:tr w:rsidR="00665066" w:rsidRPr="009E0769" w14:paraId="2900B462"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93371C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Argentina</w:t>
            </w:r>
          </w:p>
        </w:tc>
        <w:tc>
          <w:tcPr>
            <w:tcW w:w="1053" w:type="pct"/>
            <w:tcBorders>
              <w:top w:val="nil"/>
              <w:left w:val="nil"/>
              <w:bottom w:val="single" w:sz="4" w:space="0" w:color="auto"/>
              <w:right w:val="single" w:sz="4" w:space="0" w:color="auto"/>
            </w:tcBorders>
            <w:shd w:val="clear" w:color="auto" w:fill="auto"/>
            <w:noWrap/>
            <w:vAlign w:val="bottom"/>
            <w:hideMark/>
          </w:tcPr>
          <w:p w14:paraId="05A0022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Vinueza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{"citationItems":[{"id":"ITEM-1","itemData":{"ISSN":"0091-7435","abstract":"Objective: The objective of this study was to describe the prevalence of dyslipidemia in the CARMELA study population. Methods: CARMELA was a cross-sectional study of cardiovascular risk conducted between September 2003 and August 2005 in adults (aged 25 to 64 years) living in Barquisimeto (n=1,824), Bogotá (n=1,511), Buenos Aires (n=1,412), Lima (n=1,628), Mexico City (n=1,677), Quito (n=1,620), and Santiago (n=1,605). Dyslipidemia was defined as the presence of one or more of the following conditions: triglycerides. ≥ 200 mg/dL, or total cholesterol (TC) ≥ 240 mg/dL, or HDL cholesterol. &lt; 40 mg/dL, or LDL cholesterol = not optimal, or currently taking antilipemic agents. Results: Prevalence rates of dyslipidemia in men and women were: 75.5% (CI: 71.9-79.1) and 48.7% (CI: 45.4-51.9) in Barquisimeto; 70% (CI: 66.2-73.8) and 47.7% (CI: 43.9-51.5) in Bogotá; 50.4% (CI: 46.8-54.0) and 24.1% (CI: 21.0-27.2) in Buenos Aires; 73.1% (CI: 69.3-76.8) and 62.8% (CI: 59.2-66.5) in Lima; 62.5% (CI: 58.5-66.5) and 37.5% (CI: 33.5-41.6) in Mexico City; 52.2% (CI: 47.9-56.5) and 38.1% (CI: 34.5-41.7) in Quito; and, 50.8% (CI: 47.1-54.4) and 32.8% (CI: 29.3-36.3) in Santiago. Conclusions: Dyslipidemia was disturbingly prevalent and varied across cities. The most frequent dyslipidemia was low HDL-C followed by high triglycerides. The high TC/HDL-C ratios and non-HDL-C levels suggest a high risk of cardiovascular disease. © 2009 Elsevier Inc.","author":[{"dropping-particle":"","family":"Vinueza","given":"R","non-dropping-particle":"","parse-names":false,"suffix":""},{"dropping-particle":"","family":"Boissonnet","given":"C P","non-dropping-particle":"","parse-names":false,"suffix":""},{"dropping-particle":"","family":"Acevedo","given":"M","non-dropping-particle":"","parse-names":false,"suffix":""},{"dropping-particle":"","family":"Uriza","given":"F","non-dropping-particle":"","parse-names":false,"suffix":""},{"dropping-particle":"","family":"Benitez","given":"F J","non-dropping-particle":"","parse-names":false,"suffix":""},{"dropping-particle":"","family":"Silva","given":"H","non-dropping-particle":"","parse-names":false,"suffix":""},{"dropping-particle":"","family":"Schargrodsky","given":"H","non-dropping-particle":"","parse-names":false,"suffix":""},{"dropping-particle":"","family":"Champagne","given":"B","non-dropping-particle":"","parse-names":false,"suffix":""},{"dropping-particle":"","family":"Wilson","given":"E","non-dropping-particle":"","parse-names":false,"suffix":""}],"container-title":"Preventive Medicine","id":"ITEM-1","issue":"3","issued":{"date-parts":[["2010"]]},"page":"106-111","title":"Dyslipidemia in seven Latin American cities: CARMELA study","type":"article-journal","volume":"50"},"uris":["http://www.mendeley.com/documents/?uuid=dec74194-a203-4dec-b7ae-764a9f731745"]}],"mendeley":{"formattedCitation":"&lt;sup&gt;1&lt;/sup&gt;","plainTextFormattedCitation":"1","previouslyFormattedCitation":"&lt;sup&gt;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67F9AD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4863E99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48" w:type="pct"/>
            <w:tcBorders>
              <w:top w:val="nil"/>
              <w:left w:val="nil"/>
              <w:bottom w:val="single" w:sz="4" w:space="0" w:color="auto"/>
              <w:right w:val="single" w:sz="4" w:space="0" w:color="auto"/>
            </w:tcBorders>
            <w:shd w:val="clear" w:color="auto" w:fill="auto"/>
            <w:noWrap/>
            <w:vAlign w:val="bottom"/>
            <w:hideMark/>
          </w:tcPr>
          <w:p w14:paraId="3C045A1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1412</w:t>
            </w:r>
          </w:p>
        </w:tc>
        <w:tc>
          <w:tcPr>
            <w:tcW w:w="399" w:type="pct"/>
            <w:tcBorders>
              <w:top w:val="nil"/>
              <w:left w:val="nil"/>
              <w:bottom w:val="single" w:sz="4" w:space="0" w:color="auto"/>
              <w:right w:val="single" w:sz="4" w:space="0" w:color="auto"/>
            </w:tcBorders>
            <w:shd w:val="clear" w:color="auto" w:fill="auto"/>
            <w:noWrap/>
            <w:vAlign w:val="bottom"/>
            <w:hideMark/>
          </w:tcPr>
          <w:p w14:paraId="0E01B65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72BE17F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01A9C36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8B9550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DC81A33"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B14DEA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Argentina</w:t>
            </w:r>
          </w:p>
        </w:tc>
        <w:tc>
          <w:tcPr>
            <w:tcW w:w="1053" w:type="pct"/>
            <w:tcBorders>
              <w:top w:val="nil"/>
              <w:left w:val="nil"/>
              <w:bottom w:val="single" w:sz="4" w:space="0" w:color="auto"/>
              <w:right w:val="single" w:sz="4" w:space="0" w:color="auto"/>
            </w:tcBorders>
            <w:shd w:val="clear" w:color="auto" w:fill="auto"/>
            <w:noWrap/>
            <w:vAlign w:val="bottom"/>
            <w:hideMark/>
          </w:tcPr>
          <w:p w14:paraId="0AAF9334"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Salazar</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{"citationItems":[{"id":"ITEM-1","itemData":{"abstract":"Background: Metabolic syndrome (MetS) has been shown to predict both risk and CVD events. We have identified sex-specific values for the triglyceride/high-density lipoprotein cholesterol (TG/HDL-C) ratio associated with an unfavourable cardio-metabolic risk profile, but it is not known whether it also predicts CVD outcome. Methods: To quantify risk for CVD outcomes associated with a high TG/HDL-C ratio and to compare this risk with that predicted using MetS, a population longitudinal prospective observational study was performed in Rauch City, Buenos Aires, Argentina. In 2003 surveys were performed on a population random sample of 926 inhabitants. In 2012, 527 women and 269 men were surveyed again in search of new CVD events. The first CVD event was the primary endpoint. Relative risks for CVD events between individuals above and below the TG/HDL-C cut-points, and with or without MetS, were estimated using Cox proportional hazard. Main Outcome: The first CVD event was the primary endpoint. Relative risks for CVD events between individuals above and below the TG/HDL-C cut-points, and with or without MetS, were estimated using Cox proportional hazard. Results: The number of subjects deemed at 'high' CVD risk on the basis of an elevated TG/HDL-C ratio (30%) or having the MetS (35%) was relatively comparable. The unadjusted hazard risk was significantly increased when comparing 'high' versus 'low' risk groups no matter which criteria was used, although it was somewhat higher in those with the MetS (HR = 3.17, 95% CI:1.79-5.60 vs. 2.16, 95% CI:1.24-3.75). However, this difference essentially disappeared when adjusted for sex and age (HR = 2.09, 95% CI:1.18-3.72 vs. 2.01, 95% CI:1.14-3.50 for MetS and TG/HDL-C respectively). Conclusions: An elevated TG/HDL-C ratio appears to be just as effective as the MetS diagnosis in predicting the development of CVD. © 2013 The Association for the Publication of the Journal of Internal Medicine.","author":[{"dropping-particle":"","family":"Salazar","given":"M R","non-dropping-particle":"","parse-names":false,"suffix":""},{"dropping-particle":"","family":"Carbajal","given":"H A","non-dropping-particle":"","parse-names":false,"suffix":""},{"dropping-particle":"","family":"Espeche","given":"W G","non-dropping-particle":"","parse-names":false,"suffix":""},{"dropping-particle":"","family":"Aizpurúa","given":"M","non-dropping-particle":"","parse-names":false,"suffix":""},{"dropping-particle":"","family":"Leiva Sisnieguez","given":"C E","non-dropping-particle":"","parse-names":false,"suffix":""},{"dropping-particle":"","family":"March","given":"C E","non-dropping-particle":"","parse-names":false,"suffix":""},{"dropping-particle":"","family":"Balbín","given":"E","non-dropping-particle":"","parse-names":false,"suffix":""},{"dropping-particle":"","family":"Stavile","given":"R N","non-dropping-particle":"","parse-names":false,"suffix":""},{"dropping-particle":"","family":"Reaven","given":"G M","non-dropping-particle":"","parse-names":false,"suffix":""}],"container-title":"Journal of Internal Medicine","id":"ITEM-1","issue":"6","issued":{"date-parts":[["2013"]]},"page":"595-601","title":"Identifying cardiovascular disease risk and outcome: Use of the plasma triglyceride/high-density lipoprotein cholesterol concentration ratio versus metabolic syndrome criteria","type":"article-journal","volume":"273"},"uris":["http://www.mendeley.com/documents/?uuid=11b43ebf-f6f5-4fd1-be00-b3c252e2e01b"]}],"mendeley":{"formattedCitation":"&lt;sup&gt;2&lt;/sup&gt;","plainTextFormattedCitation":"2","previouslyFormattedCitation":"&lt;sup&gt;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CAEEB2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2D7F6ED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2003</w:t>
            </w:r>
          </w:p>
        </w:tc>
        <w:tc>
          <w:tcPr>
            <w:tcW w:w="548" w:type="pct"/>
            <w:tcBorders>
              <w:top w:val="nil"/>
              <w:left w:val="nil"/>
              <w:bottom w:val="single" w:sz="4" w:space="0" w:color="auto"/>
              <w:right w:val="single" w:sz="4" w:space="0" w:color="auto"/>
            </w:tcBorders>
            <w:shd w:val="clear" w:color="auto" w:fill="auto"/>
            <w:noWrap/>
            <w:vAlign w:val="bottom"/>
            <w:hideMark/>
          </w:tcPr>
          <w:p w14:paraId="0CCCE34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926</w:t>
            </w:r>
          </w:p>
        </w:tc>
        <w:tc>
          <w:tcPr>
            <w:tcW w:w="399" w:type="pct"/>
            <w:tcBorders>
              <w:top w:val="nil"/>
              <w:left w:val="nil"/>
              <w:bottom w:val="single" w:sz="4" w:space="0" w:color="auto"/>
              <w:right w:val="single" w:sz="4" w:space="0" w:color="auto"/>
            </w:tcBorders>
            <w:shd w:val="clear" w:color="auto" w:fill="auto"/>
            <w:noWrap/>
            <w:vAlign w:val="bottom"/>
            <w:hideMark/>
          </w:tcPr>
          <w:p w14:paraId="2B37460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32.83</w:t>
            </w:r>
          </w:p>
        </w:tc>
        <w:tc>
          <w:tcPr>
            <w:tcW w:w="449" w:type="pct"/>
            <w:tcBorders>
              <w:top w:val="nil"/>
              <w:left w:val="nil"/>
              <w:bottom w:val="single" w:sz="4" w:space="0" w:color="auto"/>
              <w:right w:val="single" w:sz="4" w:space="0" w:color="auto"/>
            </w:tcBorders>
            <w:shd w:val="clear" w:color="auto" w:fill="auto"/>
            <w:noWrap/>
            <w:vAlign w:val="bottom"/>
            <w:hideMark/>
          </w:tcPr>
          <w:p w14:paraId="028729D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51.42</w:t>
            </w:r>
          </w:p>
        </w:tc>
        <w:tc>
          <w:tcPr>
            <w:tcW w:w="498" w:type="pct"/>
            <w:tcBorders>
              <w:top w:val="nil"/>
              <w:left w:val="nil"/>
              <w:bottom w:val="single" w:sz="4" w:space="0" w:color="auto"/>
              <w:right w:val="single" w:sz="4" w:space="0" w:color="auto"/>
            </w:tcBorders>
            <w:shd w:val="clear" w:color="auto" w:fill="auto"/>
            <w:noWrap/>
            <w:vAlign w:val="bottom"/>
            <w:hideMark/>
          </w:tcPr>
          <w:p w14:paraId="165D74D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A579A5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C2F8C2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0A1EB4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Argentina</w:t>
            </w:r>
          </w:p>
        </w:tc>
        <w:tc>
          <w:tcPr>
            <w:tcW w:w="1053" w:type="pct"/>
            <w:tcBorders>
              <w:top w:val="nil"/>
              <w:left w:val="nil"/>
              <w:bottom w:val="single" w:sz="4" w:space="0" w:color="auto"/>
              <w:right w:val="single" w:sz="4" w:space="0" w:color="auto"/>
            </w:tcBorders>
            <w:shd w:val="clear" w:color="auto" w:fill="auto"/>
            <w:noWrap/>
            <w:vAlign w:val="bottom"/>
            <w:hideMark/>
          </w:tcPr>
          <w:p w14:paraId="0ECBA09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Rubinstein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Cardiovascular disease is a major cause of death, and its mortality is increasing in Latin America. However, population-based data on cardiovascular disease risk factors are sparse in these countries., METHODS: A total of 7524 men and women, aged 35 to 74 years old, were recruited between February 2010 and December 2011 from randomly selected samples in 4 cities (Bariloche and Marcos Paz, Argentina; Temuco, Chile; and Pando-Barros Blancos, Uruguay) in the Southern Cone of Latin America. Cardiovascular risk factors were measured using standard methods by trained and certified observers., RESULTS: Approximately 85.5% of adults ate less than five servings of fruit or vegetables per day, 35.2% engaged in low physical activity, and 29.7% currently smoked cigarettes. The prevalences of obesity, central obesity, hypertension, chronic kidney disease, dyslipidemia, diabetes, and metabolic syndrome were 35.7%, 52.9%, 40.8%, 2.0%, 58.4%, 12.4%, and 37.4%, respectively. The proportion of individuals with &gt;=3 cardiovascular risk factors, including low intake of fruit and vegetables, low physical activity, current cigarette smoking, obesity or central obesity, hypertension, chronic kidney disease, dyslipidemia, and diabetes, was 68.3%, and the proportion of individuals with &gt;=3 cardiometabolic risk factors, including obesity or central obesity, hypertension, chronic kidney disease, dyslipidemia, and diabetes, was 22.9%., CONCLUSIONS: Cardiovascular disease risk factors are highly prevalent in the general population in the Southern Cone of Latin America. These data suggest that national efforts on the prevention, treatment, and control of cardiovascular risk factors should be a public health priority in the Southern Cone of Latin America.Copyright © 2015. Published by Elsevier Ireland Ltd.","author":[{"dropping-particle":"","family":"Rubinstein","given":"Adolfo L","non-dropping-particle":"","parse-names":false,"suffix":""},{"dropping-particle":"","family":"Irazola","given":"Vilma E","non-dropping-particle":"","parse-names":false,"suffix":""},{"dropping-particle":"","family":"relli","given":"Matias","non-dropping-particle":"","parse-names":false,"suffix":""},{"dropping-particle":"","family":"Elorriaga","given":"Natalia","non-dropping-particle":"","parse-names":false,"suffix":""},{"dropping-particle":"","family":"Gutierrez","given":"Laura","non-dropping-particle":"","parse-names":false,"suffix":""},{"dropping-particle":"","family":"Lanas","given":"Fern","non-dropping-particle":"","parse-names":false,"suffix":""},{"dropping-particle":"","family":"Manfredi","given":"Jose A","non-dropping-particle":"","parse-names":false,"suffix":""},{"dropping-particle":"","family":"Mores","given":"Nora","non-dropping-particle":"","parse-names":false,"suffix":""},{"dropping-particle":"","family":"Olivera","given":"Hector","non-dropping-particle":"","parse-names":false,"suffix":""},{"dropping-particle":"","family":"Poggio","given":"Rosana","non-dropping-particle":"","parse-names":false,"suffix":""},{"dropping-particle":"","family":"Ponzo","given":"Jacqueline","non-dropping-particle":"","parse-names":false,"suffix":""},{"dropping-particle":"","family":"Seron","given":"Pamela","non-dropping-particle":"","parse-names":false,"suffix":""},{"dropping-particle":"","family":"Chen","given":"Chung-Shiuan","non-dropping-particle":"","parse-names":false,"suffix":""},{"dropping-particle":"","family":"Bazzano","given":"Lydia A","non-dropping-particle":"","parse-names":false,"suffix":""},{"dropping-particle":"","family":"He","given":"Jiang","non-dropping-particle":"","parse-names":false,"suffix":""}],"container-title":"International journal of cardiology","id":"ITEM-1","issued":{"date-parts":[["2015"]]},"page":"82-88","title":"Multiple cardiometabolic risk factors in the Southern Cone of Latin America: a population-based study in Argentina, Chile, and Uruguay","type":"article-journal","volume":"183"},"uris":["http://www.mendeley.com/documents/?uuid=960b14ce-e917-470a-84b5-0fcd0c87f178"]}],"mendeley":{"formattedCitation":"&lt;sup&gt;3&lt;/sup&gt;","plainTextFormattedCitation":"3","previouslyFormattedCitation":"&lt;sup&gt;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4DD8C4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325ACF6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48" w:type="pct"/>
            <w:tcBorders>
              <w:top w:val="nil"/>
              <w:left w:val="nil"/>
              <w:bottom w:val="single" w:sz="4" w:space="0" w:color="auto"/>
              <w:right w:val="single" w:sz="4" w:space="0" w:color="auto"/>
            </w:tcBorders>
            <w:shd w:val="clear" w:color="auto" w:fill="auto"/>
            <w:noWrap/>
            <w:vAlign w:val="bottom"/>
            <w:hideMark/>
          </w:tcPr>
          <w:p w14:paraId="60D2FC2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3990</w:t>
            </w:r>
          </w:p>
        </w:tc>
        <w:tc>
          <w:tcPr>
            <w:tcW w:w="399" w:type="pct"/>
            <w:tcBorders>
              <w:top w:val="nil"/>
              <w:left w:val="nil"/>
              <w:bottom w:val="single" w:sz="4" w:space="0" w:color="auto"/>
              <w:right w:val="single" w:sz="4" w:space="0" w:color="auto"/>
            </w:tcBorders>
            <w:shd w:val="clear" w:color="auto" w:fill="auto"/>
            <w:noWrap/>
            <w:vAlign w:val="bottom"/>
            <w:hideMark/>
          </w:tcPr>
          <w:p w14:paraId="191F5EC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638485A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6E087E2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6DCB59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1D7D25E"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721227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Argentina</w:t>
            </w:r>
          </w:p>
        </w:tc>
        <w:tc>
          <w:tcPr>
            <w:tcW w:w="1053" w:type="pct"/>
            <w:tcBorders>
              <w:top w:val="nil"/>
              <w:left w:val="nil"/>
              <w:bottom w:val="single" w:sz="4" w:space="0" w:color="auto"/>
              <w:right w:val="single" w:sz="4" w:space="0" w:color="auto"/>
            </w:tcBorders>
            <w:shd w:val="clear" w:color="auto" w:fill="auto"/>
            <w:noWrap/>
            <w:vAlign w:val="bottom"/>
            <w:hideMark/>
          </w:tcPr>
          <w:p w14:paraId="4D331434"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Salazar</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{"citationItems":[{"id":"ITEM-1","itemData":{"abstract":"The aim of this paper was to study the estimated glomerular filtration rate (eGFR), its changes with age, and its association with systolic blood pressure (SBP) and diastolic BP (DBP), indicators of obesity, dyslipemia, insulin resistance and inflammation on a random population sample. BP, weight, size and waist circumference (WC) were recorded at home. Fasting morning blood samples were analysed. The eGFR was calculated with MDRD (eGFR-MDRD), Cockroft-Gault (eGFR-CG) adjusted to 1.73 m² and reciprocal of serum creatinine (100/serum cretinine). A total of 1016 individuals, 722 females (41.97 ± 0.66 years old) and 294 males (42.06 ± 0.99 years old), completed the laboratory tests. The mean of 100/Scr was 115.13 ± 0.60 (dl/mg), the mean eGFR-CG was 98.48 ± 0.82 ml/min/1.73 m²; the mean eGFR-MDRD was 85.15 ± 0.58 ml/min/1.73 m². The eGFR-MDRD decreased with age and with the number of risk factors in both sexes. The eGFR-MDRD &amp;lt; 60 ml/min/1.73 m² adjusted prevalence was 6.2 per 100 inhabitants (CI 95%, 4.7-7.7), 3.6 (CI 95%, 1.5-5.7) in males and 8.6 (CI 95%, 6.6-10.6) in females. The bivariate analysis showed that the eGFR-MDRD correlates inversely with age, SBP, DBP WC, BMI, serum glucose, serum total cholesterol, LDL cholesterol, serum triglycerides, serum uric acid and, in males, with C-reactive-protein. There was no correlation with either insulinemia or HOMA.The mean eGFR value, its association with cardiovascular risk factors and the prevalence of eGFR &amp;lt; 60 ml/min/1.73 m² found in a rural population of Argentina are similar to those found in other parts of the world. El objetivo fue evaluar en una muestra poblacional aleatoria el filtrado glomerular estimado (FGe), sus cambios con la edad y su asociación con presión arterial sistólica (PAS) y diastólica (PAD), indicadores de obesidad, dislipemia, resistencia a la insulina e inflamación. En cada domicilio fueron medidos presión arterial, peso y talla y perímetro de la cintura (PC). Se analizaron muestras de sangre en ayunas y fue calculado el FGe usando las fórmulas de MDRD (FGe-MDRD) y Cockroft-Gault (FGe-CG) ajustado a 1.73 m², y la inversa de la creatinina sérica (100/CrS). Completaron el protocolo de laboratorio 1016 sujetos, 722 mujeres (41.97 ± 0.66 años) y 294 varones (42.06 ± 0.99 años). La media de 100/Crs fue 115.13 ± 0.60 (dl/mg), la del FGe-CG 98.48 ± 0.82 ml/min/1.73 m² y la del FGe-MDRD 85.15 ± 0.58 ml/min/1.73 m² (CI 95% 84.00-86.29). El FGe-MDRD disminuyó con la edad y con el núme…","author":[{"dropping-particle":"","family":"Salazar","given":"Martín R","non-dropping-particle":"","parse-names":false,"suffix":""},{"dropping-particle":"","family":"Carbajal","given":"Horacio A","non-dropping-particle":"","parse-names":false,"suffix":""},{"dropping-particle":"","family":"Marillet","given":"Alberto G","non-dropping-particle":"","parse-names":false,"suffix":""},{"dropping-particle":"","family":"Gallo","given":"Delfina M","non-dropping-particle":"","parse-names":false,"suffix":""},{"dropping-particle":"","family":"Valli","given":"María L","non-dropping-particle":"","parse-names":false,"suffix":""},{"dropping-particle":"","family":"Novello","given":"Miguel","non-dropping-particle":"","parse-names":false,"suffix":""},{"dropping-particle":"","family":"Echeverría","given":"Raúl F","non-dropping-particle":"","parse-names":false,"suffix":""}],"container-title":"Medicina (B Aires)","id":"ITEM-1","issue":"5","issued":{"date-parts":[["2009"]]},"language":"en","page":"541-546","title":"Glomerular filtration rate, cardiovascular risk factors and insulin resistance","type":"article-journal","volume":"69"},"uris":["http://www.mendeley.com/documents/?uuid=2fd8363f-ff2d-4263-aa9b-be1087bf8233"]}],"mendeley":{"formattedCitation":"&lt;sup&gt;4&lt;/sup&gt;","plainTextFormattedCitation":"4","previouslyFormattedCitation":"&lt;sup&gt;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B9AEFE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98" w:type="pct"/>
            <w:tcBorders>
              <w:top w:val="nil"/>
              <w:left w:val="nil"/>
              <w:bottom w:val="single" w:sz="4" w:space="0" w:color="auto"/>
              <w:right w:val="single" w:sz="4" w:space="0" w:color="auto"/>
            </w:tcBorders>
            <w:shd w:val="clear" w:color="auto" w:fill="auto"/>
            <w:noWrap/>
            <w:vAlign w:val="bottom"/>
            <w:hideMark/>
          </w:tcPr>
          <w:p w14:paraId="41F3133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48" w:type="pct"/>
            <w:tcBorders>
              <w:top w:val="nil"/>
              <w:left w:val="nil"/>
              <w:bottom w:val="single" w:sz="4" w:space="0" w:color="auto"/>
              <w:right w:val="single" w:sz="4" w:space="0" w:color="auto"/>
            </w:tcBorders>
            <w:shd w:val="clear" w:color="auto" w:fill="auto"/>
            <w:noWrap/>
            <w:vAlign w:val="bottom"/>
            <w:hideMark/>
          </w:tcPr>
          <w:p w14:paraId="25340C3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892</w:t>
            </w:r>
          </w:p>
        </w:tc>
        <w:tc>
          <w:tcPr>
            <w:tcW w:w="399" w:type="pct"/>
            <w:tcBorders>
              <w:top w:val="nil"/>
              <w:left w:val="nil"/>
              <w:bottom w:val="single" w:sz="4" w:space="0" w:color="auto"/>
              <w:right w:val="single" w:sz="4" w:space="0" w:color="auto"/>
            </w:tcBorders>
            <w:shd w:val="clear" w:color="auto" w:fill="auto"/>
            <w:noWrap/>
            <w:vAlign w:val="bottom"/>
            <w:hideMark/>
          </w:tcPr>
          <w:p w14:paraId="58C4F2B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28.59</w:t>
            </w:r>
          </w:p>
        </w:tc>
        <w:tc>
          <w:tcPr>
            <w:tcW w:w="449" w:type="pct"/>
            <w:tcBorders>
              <w:top w:val="nil"/>
              <w:left w:val="nil"/>
              <w:bottom w:val="single" w:sz="4" w:space="0" w:color="auto"/>
              <w:right w:val="single" w:sz="4" w:space="0" w:color="auto"/>
            </w:tcBorders>
            <w:shd w:val="clear" w:color="auto" w:fill="auto"/>
            <w:noWrap/>
            <w:vAlign w:val="bottom"/>
            <w:hideMark/>
          </w:tcPr>
          <w:p w14:paraId="16A04FC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w:t>
            </w:r>
          </w:p>
        </w:tc>
        <w:tc>
          <w:tcPr>
            <w:tcW w:w="498" w:type="pct"/>
            <w:tcBorders>
              <w:top w:val="nil"/>
              <w:left w:val="nil"/>
              <w:bottom w:val="single" w:sz="4" w:space="0" w:color="auto"/>
              <w:right w:val="single" w:sz="4" w:space="0" w:color="auto"/>
            </w:tcBorders>
            <w:shd w:val="clear" w:color="auto" w:fill="auto"/>
            <w:noWrap/>
            <w:vAlign w:val="bottom"/>
            <w:hideMark/>
          </w:tcPr>
          <w:p w14:paraId="1F21D52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FFAC15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FC93C36"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FAE169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Argentina</w:t>
            </w:r>
          </w:p>
        </w:tc>
        <w:tc>
          <w:tcPr>
            <w:tcW w:w="1053" w:type="pct"/>
            <w:tcBorders>
              <w:top w:val="nil"/>
              <w:left w:val="nil"/>
              <w:bottom w:val="single" w:sz="4" w:space="0" w:color="auto"/>
              <w:right w:val="single" w:sz="4" w:space="0" w:color="auto"/>
            </w:tcBorders>
            <w:shd w:val="clear" w:color="auto" w:fill="auto"/>
            <w:noWrap/>
            <w:vAlign w:val="bottom"/>
            <w:hideMark/>
          </w:tcPr>
          <w:p w14:paraId="64A6ADA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Carbajal</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{"citationItems":[{"id":"ITEM-1","itemData":{"abstract":"Resumen Como inicio de un programa de prevención primaria de hipertensión arterial (HA) y de enfermedades cardiovasculares en Rauch (Pcia. de Buenos Aires) estudiamos, en una muestra aleatoria de 1523 habitantes de 15-75 años, las prevalencias de HA, diabetes, hipercolesterolemia, tabaquismo y sobrepeso-obesi-dad y analizamos variables que influyen sobre la presión y en el desarrollo de HA (consumos de sodio y alcohol y sobrepeso-obesidad). Las prevalencias de HA fueron 43.20% y 28.50% y las de sobrepeso-obesidad 54.81% y 52.81% en varones y mujeres, respectivamente; ambas aumentaron con la edad. En varones se observaron mar-cados incrementos en las prevalencias de HA y sobrepeso-obesidad entre los grupos de 15-24 y 25-34 años; en mujeres los aumentos fueron más tardíos y graduales. Sólo 32% de los hipertensos conocía su condición y apenas 4% tenía controlada la presión. Las prevalencias de hipercolesterolemia, diabetes y tabaquismo, en varones y mujeres, fueron 26.86, 3.42 y 34.61 y 13.81, 1.53 y 20.83, respectivamente. Los obesos (BMI ≥ 30) y los sujetos con cinturas ≥ 98 y 85 cm en varones y mujeres, respectivamente, tuvieron presiones más altas; la cintura tuvo correlación independiente con la presión. Los resultados de este estudio sugieren que en Rauch la medida de pre-vención primaria más importante es evitar el desarrollo de obesidad central. El pobre conocimiento y control de la HA requieren campañas de detección y esfuerzos para lograr las metas de presión recomendadas. Palabras clave: prevención de la hipertensión arterial, obesidad central Abstract Regional variables associated with high blood pressure in Argentina. We conducted a study in a random sample of 1523 inhabitants (15-75 years old) of Rauch city to determine risk factors prevalence to development hypertension and cardiovascular diseases. We measured blood pressure, weight, height, waist circumference, cholesterol and glucose levels, sodium excretion, and alcohol and tobacco consumption. We found a high prevalence of hypertension (43.20% in men and 28.50% in women), and obesity-overweight (54.81% in men and 44.65% in women), both of them augmented with aging. Only 4% of hypertensive subjects were being controlled and only 32% of them were aware of their condition. Men showed a marked increment of prevalence of hypertension and obesity-overweight between groups of 15-24 years and 25-34 years. Women had delayed and more gradual increments. In male and female respectively, the prevale…","author":[{"dropping-particle":"","family":"Carbajal","given":"Horacio","non-dropping-particle":"","parse-names":false,"suffix":""},{"dropping-particle":"","family":"Salazar","given":"Martin","non-dropping-particle":"","parse-names":false,"suffix":""},{"dropping-particle":"","family":"Riondet","given":"Beatriz","non-dropping-particle":"","parse-names":false,"suffix":""},{"dropping-particle":"","family":"Rodrigo","given":"Horacio","non-dropping-particle":"","parse-names":false,"suffix":""},{"dropping-particle":"","family":"Quaini","given":"Susana","non-dropping-particle":"","parse-names":false,"suffix":""},{"dropping-particle":"","family":"Rechifort","given":"Valentin","non-dropping-particle":"","parse-names":false,"suffix":""},{"dropping-particle":"","family":"Aizpurua","given":"Marcelo","non-dropping-particle":"","parse-names":false,"suffix":""},{"dropping-particle":"","family":"Echeverria","given":"Raul","non-dropping-particle":"","parse-names":false,"suffix":""}],"container-title":"Medicina [B.Aires]","id":"ITEM-1","issued":{"date-parts":[["2001"]]},"page":"801-809","title":"Variables asociadas a hipertensión arterial en una region de la Argentina","type":"article-journal","volume":"61"},"uris":["http://www.mendeley.com/documents/?uuid=14bea3cf-ff5d-495f-b099-9ff1714e0007"]}],"mendeley":{"formattedCitation":"&lt;sup&gt;5&lt;/sup&gt;","plainTextFormattedCitation":"5","previouslyFormattedCitation":"&lt;sup&gt;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95FB82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2001</w:t>
            </w:r>
          </w:p>
        </w:tc>
        <w:tc>
          <w:tcPr>
            <w:tcW w:w="598" w:type="pct"/>
            <w:tcBorders>
              <w:top w:val="nil"/>
              <w:left w:val="nil"/>
              <w:bottom w:val="single" w:sz="4" w:space="0" w:color="auto"/>
              <w:right w:val="single" w:sz="4" w:space="0" w:color="auto"/>
            </w:tcBorders>
            <w:shd w:val="clear" w:color="auto" w:fill="auto"/>
            <w:noWrap/>
            <w:vAlign w:val="bottom"/>
            <w:hideMark/>
          </w:tcPr>
          <w:p w14:paraId="18279E2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42EA578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1523</w:t>
            </w:r>
          </w:p>
        </w:tc>
        <w:tc>
          <w:tcPr>
            <w:tcW w:w="399" w:type="pct"/>
            <w:tcBorders>
              <w:top w:val="nil"/>
              <w:left w:val="nil"/>
              <w:bottom w:val="single" w:sz="4" w:space="0" w:color="auto"/>
              <w:right w:val="single" w:sz="4" w:space="0" w:color="auto"/>
            </w:tcBorders>
            <w:shd w:val="clear" w:color="auto" w:fill="auto"/>
            <w:noWrap/>
            <w:vAlign w:val="bottom"/>
            <w:hideMark/>
          </w:tcPr>
          <w:p w14:paraId="332C42A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36.51</w:t>
            </w:r>
          </w:p>
        </w:tc>
        <w:tc>
          <w:tcPr>
            <w:tcW w:w="449" w:type="pct"/>
            <w:tcBorders>
              <w:top w:val="nil"/>
              <w:left w:val="nil"/>
              <w:bottom w:val="single" w:sz="4" w:space="0" w:color="auto"/>
              <w:right w:val="single" w:sz="4" w:space="0" w:color="auto"/>
            </w:tcBorders>
            <w:shd w:val="clear" w:color="auto" w:fill="auto"/>
            <w:noWrap/>
            <w:vAlign w:val="bottom"/>
            <w:hideMark/>
          </w:tcPr>
          <w:p w14:paraId="44053F5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185B6AB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61A736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E106FD2"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617B3A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Argentina</w:t>
            </w:r>
          </w:p>
        </w:tc>
        <w:tc>
          <w:tcPr>
            <w:tcW w:w="1053" w:type="pct"/>
            <w:tcBorders>
              <w:top w:val="nil"/>
              <w:left w:val="nil"/>
              <w:bottom w:val="single" w:sz="4" w:space="0" w:color="auto"/>
              <w:right w:val="single" w:sz="4" w:space="0" w:color="auto"/>
            </w:tcBorders>
            <w:shd w:val="clear" w:color="auto" w:fill="auto"/>
            <w:noWrap/>
            <w:vAlign w:val="bottom"/>
            <w:hideMark/>
          </w:tcPr>
          <w:p w14:paraId="7653741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Schneider</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{"citationItems":[{"id":"ITEM-1","itemData":{"abstract":"A cross sectional study of 107 women between 20 and 69 years old, living in the town of Cabildo, province of Buenos Aires, Argentina, which describes food intake and analyses its relation to their education, blood cholesterol and serum triglyceride levels. A food frequency questionnaire including questions regarding meal patterns and food use were completed by the participants. Questions regarding educational status were included. A nutritional risk score was created from nine food groups. Total blood cholesterol and serum triglyceride levels were determined. Average total blood cholesterol levels of the women who participated in the present study were higher (209 mg/dl) than those recommended by the National Cholesterol Education Program, while triglyceride values remained within the normal range (124 mg/dl). Total blood cholesterol levels increased with age. Bread, biscuits and cakes were consumed on a daily basis by 98% of the participants and dairy products by 92%, these being mainly full-fat. Meat and fast food intake were very high (96% and 100% respectively). Vegetable and fish intakes were higher among the more educated women. Mayonnaise (58%) and butter (43%) are popular as food dressings and bread spreads respectively, and sunflower oil was the most commonly used for cooking by 94% of the participants. Women with low educational levels (less than 7 years) had higher nutritional risk scores, and thus unhealthier dietary habits than those with more years of formal education. No statistically significant association was found between food groups and cholesterol or triglyceride levels Se realizó un estudio transversal en 107 mujeres, habitantes del pueblo de Cabildo, provincia de Buenos Aires, Argentina, sobre el consumo de alimentos entre mujeres de 20 a 69 años de edad, analizando su relación con la educación, colesterol total y niveles de triglicéridos. Se encuestó a las participantes sobre el tipo y frecuencia de consumo alimentario y el nivel de educación. Se creó un puntaje de riesgo nutricional a partir de nueve grupos de alimentos. Se midieron los niveles de colesterol total y triglicéridos de las participantes. El nivel promedio de colesterol total de las mujeres participantes fue superior (209 mg/dl) al normal según el recomendado por el National Cholesterol Education Program, mientras que el nivel promedio de triglicéridos se mantuvo dentro del rango normal (124 mg/dl). Los niveles de colesterol total aumentaban con la edad. El 98% cons…","author":[{"dropping-particle":"","family":"Schneider","given":"Raúl J","non-dropping-particle":"","parse-names":false,"suffix":""},{"dropping-particle":"","family":"Barengo","given":"Noel","non-dropping-particle":"","parse-names":false,"suffix":""},{"dropping-particle":"","family":"Haapala","given":"Irja","non-dropping-particle":"","parse-names":false,"suffix":""},{"dropping-particle":"","family":"Tavella","given":"Marcelo","non-dropping-particle":"","parse-names":false,"suffix":""}],"container-title":"Medicina (B Aires)","id":"ITEM-1","issue":"6","issued":{"date-parts":[["2006"]]},"language":"en","page":"517-525","title":"Association between dietary habits, education, serum triglycerides and blood cholesterol among women of Cabildo, Buenos Aires","type":"article-journal","volume":"66"},"uris":["http://www.mendeley.com/documents/?uuid=e210bbd4-64c2-49e3-b7d3-3696606e6bd9"]}],"mendeley":{"formattedCitation":"&lt;sup&gt;6&lt;/sup&gt;","plainTextFormattedCitation":"6","previouslyFormattedCitation":"&lt;sup&gt;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A9A7F0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98" w:type="pct"/>
            <w:tcBorders>
              <w:top w:val="nil"/>
              <w:left w:val="nil"/>
              <w:bottom w:val="single" w:sz="4" w:space="0" w:color="auto"/>
              <w:right w:val="single" w:sz="4" w:space="0" w:color="auto"/>
            </w:tcBorders>
            <w:shd w:val="clear" w:color="auto" w:fill="auto"/>
            <w:noWrap/>
            <w:vAlign w:val="bottom"/>
            <w:hideMark/>
          </w:tcPr>
          <w:p w14:paraId="14094C7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2001</w:t>
            </w:r>
          </w:p>
        </w:tc>
        <w:tc>
          <w:tcPr>
            <w:tcW w:w="548" w:type="pct"/>
            <w:tcBorders>
              <w:top w:val="nil"/>
              <w:left w:val="nil"/>
              <w:bottom w:val="single" w:sz="4" w:space="0" w:color="auto"/>
              <w:right w:val="single" w:sz="4" w:space="0" w:color="auto"/>
            </w:tcBorders>
            <w:shd w:val="clear" w:color="auto" w:fill="auto"/>
            <w:noWrap/>
            <w:vAlign w:val="bottom"/>
            <w:hideMark/>
          </w:tcPr>
          <w:p w14:paraId="43C798B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107</w:t>
            </w:r>
          </w:p>
        </w:tc>
        <w:tc>
          <w:tcPr>
            <w:tcW w:w="399" w:type="pct"/>
            <w:tcBorders>
              <w:top w:val="nil"/>
              <w:left w:val="nil"/>
              <w:bottom w:val="single" w:sz="4" w:space="0" w:color="auto"/>
              <w:right w:val="single" w:sz="4" w:space="0" w:color="auto"/>
            </w:tcBorders>
            <w:shd w:val="clear" w:color="auto" w:fill="auto"/>
            <w:noWrap/>
            <w:vAlign w:val="bottom"/>
            <w:hideMark/>
          </w:tcPr>
          <w:p w14:paraId="5B39BD3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0</w:t>
            </w:r>
          </w:p>
        </w:tc>
        <w:tc>
          <w:tcPr>
            <w:tcW w:w="449" w:type="pct"/>
            <w:tcBorders>
              <w:top w:val="nil"/>
              <w:left w:val="nil"/>
              <w:bottom w:val="single" w:sz="4" w:space="0" w:color="auto"/>
              <w:right w:val="single" w:sz="4" w:space="0" w:color="auto"/>
            </w:tcBorders>
            <w:shd w:val="clear" w:color="auto" w:fill="auto"/>
            <w:noWrap/>
            <w:vAlign w:val="bottom"/>
            <w:hideMark/>
          </w:tcPr>
          <w:p w14:paraId="511D4EB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6C62550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36468A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ABBA2A5"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79E7CE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Argentina</w:t>
            </w:r>
          </w:p>
        </w:tc>
        <w:tc>
          <w:tcPr>
            <w:tcW w:w="1053" w:type="pct"/>
            <w:tcBorders>
              <w:top w:val="nil"/>
              <w:left w:val="nil"/>
              <w:bottom w:val="single" w:sz="4" w:space="0" w:color="auto"/>
              <w:right w:val="single" w:sz="4" w:space="0" w:color="auto"/>
            </w:tcBorders>
            <w:shd w:val="clear" w:color="auto" w:fill="auto"/>
            <w:noWrap/>
            <w:vAlign w:val="bottom"/>
            <w:hideMark/>
          </w:tcPr>
          <w:p w14:paraId="062A1A1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Ferrante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{"citationItems":[{"id":"ITEM-1","itemData":{"abstract":"Hasta el momento no contábamos con estimaciones a nivel nacional de los principales factores de riesgo de morbimortalidad por enfermedades cardiovasculares que permitieran una estrategia de promoción y prevención primaria. En el marco del desarrollo de políticas de salud pública, el Ministerio de Salud de la Nación inició las actividades para la realización de la primera \"Encuesta Nacional de Factores de Riesgo\".","author":[{"dropping-particle":"","family":"Ferrante","given":"Daniel","non-dropping-particle":"","parse-names":false,"suffix":""},{"dropping-particle":"","family":"Virgolini","given":"Mario","non-dropping-particle":"","parse-names":false,"suffix":""}],"container-title":"Rev. argent. cardiol","id":"ITEM-1","issued":{"date-parts":[["2007"]]},"page":"20-29","title":"Encuesta Nacional de Factores de Riesgo 2005: resultados principales: prevalencia de factores de riesgo de enfermedades cardiovasculares en la Argentina","type":"article-journal"},"uris":["http://www.mendeley.com/documents/?uuid=b69d549f-5ccb-489a-9fe6-830472daf6cb"]}],"mendeley":{"formattedCitation":"&lt;sup&gt;7&lt;/sup&gt;","plainTextFormattedCitation":"7","previouslyFormattedCitation":"&lt;sup&gt;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838718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4867005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3285A07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41392</w:t>
            </w:r>
          </w:p>
        </w:tc>
        <w:tc>
          <w:tcPr>
            <w:tcW w:w="399" w:type="pct"/>
            <w:tcBorders>
              <w:top w:val="nil"/>
              <w:left w:val="nil"/>
              <w:bottom w:val="single" w:sz="4" w:space="0" w:color="auto"/>
              <w:right w:val="single" w:sz="4" w:space="0" w:color="auto"/>
            </w:tcBorders>
            <w:shd w:val="clear" w:color="auto" w:fill="auto"/>
            <w:noWrap/>
            <w:vAlign w:val="bottom"/>
            <w:hideMark/>
          </w:tcPr>
          <w:p w14:paraId="4B6AB7C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47.5</w:t>
            </w:r>
          </w:p>
        </w:tc>
        <w:tc>
          <w:tcPr>
            <w:tcW w:w="449" w:type="pct"/>
            <w:tcBorders>
              <w:top w:val="nil"/>
              <w:left w:val="nil"/>
              <w:bottom w:val="single" w:sz="4" w:space="0" w:color="auto"/>
              <w:right w:val="single" w:sz="4" w:space="0" w:color="auto"/>
            </w:tcBorders>
            <w:shd w:val="clear" w:color="auto" w:fill="auto"/>
            <w:noWrap/>
            <w:vAlign w:val="bottom"/>
            <w:hideMark/>
          </w:tcPr>
          <w:p w14:paraId="5819E58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4872C6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00BF6CC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56DDCB2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B5B63D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Argentina</w:t>
            </w:r>
          </w:p>
        </w:tc>
        <w:tc>
          <w:tcPr>
            <w:tcW w:w="1053" w:type="pct"/>
            <w:tcBorders>
              <w:top w:val="nil"/>
              <w:left w:val="nil"/>
              <w:bottom w:val="single" w:sz="4" w:space="0" w:color="auto"/>
              <w:right w:val="single" w:sz="4" w:space="0" w:color="auto"/>
            </w:tcBorders>
            <w:shd w:val="clear" w:color="auto" w:fill="auto"/>
            <w:noWrap/>
            <w:vAlign w:val="bottom"/>
            <w:hideMark/>
          </w:tcPr>
          <w:p w14:paraId="1C111FF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Redruello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{"citationItems":[{"id":"ITEM-1","itemData":{"abstract":"Introducción La mortalidad atribuida a las enfermedades cardiovasculares se encuentra en primer lugar y en aumento en los países en vías de desarrollo. En la Argentina, las enfermedades cardiovasculares producen, junto con el cáncer, más del 50% de las muertes anuales. En contraposición a las enfermedades infecciosas, éstas se denominan genéricamente enfermedades no transmisibles y se ha demostrado que son prevenibles en gran medida a través del control y el manejo de los llamados factores de riesgo para el desarrollo de enfermedades cardiovasculares. Es por ello que la información sobre la prevalencia y la variación en el tiempo de estos factores de riesgo es fundamental para realizar una vigilancia epidemiológica del problema de las enfermedades cardiovasculares en la población y, a su vez, para proponer acciones comunitarias preventivas. Objetivos Obtener información sobre los factores de riesgo cardiovascular en la población de Tres Lomas (Buenos Aires), calcular el riesgo cardiovascular global (RCG) y comparar estos resultados con los descriptos para toda la Argentina. Material y métodos Se entrevistaron al azar 522 adultos de Tres Lomas. Se utilizó el cuestionario para vigilancia epidemiológica de la OPS y se realizaron mediciones antropométricas. En 100 individuos se determinaron lípidos y glucemia para estimar el RCG, definido como probabilidad de desarrollar un evento no fatal o muerte coronaria en los próximos 10 años. Por último, estas prevalencias se compararon con las estimadas a nivel nacional. Resultados Hubo menor prevalencia de diabetes (7,7% versus 11,9%; p &amp;lt; 0,0001), tabaquismo (27,7% versus 33,4%; p &amp;lt; 0,0054) y depresión (14,4% versus 22,8%; p &amp;lt; 0,0001), aunque más sobrepeso y obesidad que el promedio país (58,4% versus 49,1%; p &amp;lt; 0,0001). Aunque la medición de la tensión arterial fue más frecuente que el promedio (82,2% versus 68,4%; p&amp;lt; 0,0001), las determinaciones de glucemia (50,2% versus 69,3%; p &amp;lt; 0,0001) y de colesterol (60,3% versus 72,8%; p &amp;lt; 0,0001) fueron menos frecuentes que las esperadas. El consumo de frutas y verduras fue mayor que a nivel nacional (82,6% versus 64,7%; p &amp;lt; 0,0001). Por lo menos un quinto de la población presentaría un RCG moderado [21% (13,1-28,9%)] a alto [12% (5,4-18,6%)]. Conclusiones En Tres Lomas se observó una prevalencia menor de diabetes, tabaquismo y depresión y más sobrepeso y obesidad que el promedio país. El control de la tensión arterial fue más frecuente que el prom…","author":[{"dropping-particle":"","family":"Redruello","given":"Marcela F","non-dropping-particle":"","parse-names":false,"suffix":""},{"dropping-particle":"","family":"Calderón","given":"Gustavo","non-dropping-particle":"","parse-names":false,"suffix":""},{"dropping-particle":"","family":"Masoli","given":"Osvaldo","non-dropping-particle":"","parse-names":false,"suffix":""},{"dropping-particle":"","family":"Mulassi","given":"Andrés","non-dropping-particle":"","parse-names":false,"suffix":""},{"dropping-particle":"","family":"Agüero","given":"Roberto","non-dropping-particle":"","parse-names":false,"suffix":""},{"dropping-particle":"","family":"Bruna","given":"María C","non-dropping-particle":"La","parse-names":false,"suffix":""},{"dropping-particle":"","family":"Sangenis","given":"Patricia","non-dropping-particle":"","parse-names":false,"suffix":""},{"dropping-particle":"","family":"León","given":"Carlos","non-dropping-particle":"","parse-names":false,"suffix":""},{"dropping-particle":"","family":"Mazzei","given":"María E","non-dropping-particle":"","parse-names":false,"suffix":""},{"dropping-particle":"","family":"Tartaglione","given":"Jorge","non-dropping-particle":"","parse-names":false,"suffix":""},{"dropping-particle":"","family":"Borracci","given":"Raúl A","non-dropping-particle":"","parse-names":false,"suffix":""}],"container-title":"Rev Argent Cardiol","id":"ITEM-1","issue":"6","issued":{"date-parts":[["2008"]]},"language":"es","page":"450-458","title":"Prevalencia de factores de riesgo y riesgo cardiovascular global en la población de Tres Lomas","type":"article-journal","volume":"76"},"uris":["http://www.mendeley.com/documents/?uuid=fd889b44-ffdc-431f-8636-2af1801f683d"]}],"mendeley":{"formattedCitation":"&lt;sup&gt;8&lt;/sup&gt;","plainTextFormattedCitation":"8","previouslyFormattedCitation":"&lt;sup&gt;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8052FA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98" w:type="pct"/>
            <w:tcBorders>
              <w:top w:val="nil"/>
              <w:left w:val="nil"/>
              <w:bottom w:val="single" w:sz="4" w:space="0" w:color="auto"/>
              <w:right w:val="single" w:sz="4" w:space="0" w:color="auto"/>
            </w:tcBorders>
            <w:shd w:val="clear" w:color="auto" w:fill="auto"/>
            <w:noWrap/>
            <w:vAlign w:val="bottom"/>
            <w:hideMark/>
          </w:tcPr>
          <w:p w14:paraId="5A023EC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48" w:type="pct"/>
            <w:tcBorders>
              <w:top w:val="nil"/>
              <w:left w:val="nil"/>
              <w:bottom w:val="single" w:sz="4" w:space="0" w:color="auto"/>
              <w:right w:val="single" w:sz="4" w:space="0" w:color="auto"/>
            </w:tcBorders>
            <w:shd w:val="clear" w:color="auto" w:fill="auto"/>
            <w:noWrap/>
            <w:vAlign w:val="bottom"/>
            <w:hideMark/>
          </w:tcPr>
          <w:p w14:paraId="233071E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522</w:t>
            </w:r>
          </w:p>
        </w:tc>
        <w:tc>
          <w:tcPr>
            <w:tcW w:w="399" w:type="pct"/>
            <w:tcBorders>
              <w:top w:val="nil"/>
              <w:left w:val="nil"/>
              <w:bottom w:val="single" w:sz="4" w:space="0" w:color="auto"/>
              <w:right w:val="single" w:sz="4" w:space="0" w:color="auto"/>
            </w:tcBorders>
            <w:shd w:val="clear" w:color="auto" w:fill="auto"/>
            <w:noWrap/>
            <w:vAlign w:val="bottom"/>
            <w:hideMark/>
          </w:tcPr>
          <w:p w14:paraId="148F6C1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w:t>
            </w:r>
          </w:p>
        </w:tc>
        <w:tc>
          <w:tcPr>
            <w:tcW w:w="449" w:type="pct"/>
            <w:tcBorders>
              <w:top w:val="nil"/>
              <w:left w:val="nil"/>
              <w:bottom w:val="single" w:sz="4" w:space="0" w:color="auto"/>
              <w:right w:val="single" w:sz="4" w:space="0" w:color="auto"/>
            </w:tcBorders>
            <w:shd w:val="clear" w:color="auto" w:fill="auto"/>
            <w:noWrap/>
            <w:vAlign w:val="bottom"/>
            <w:hideMark/>
          </w:tcPr>
          <w:p w14:paraId="5D3168E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48.7</w:t>
            </w:r>
          </w:p>
        </w:tc>
        <w:tc>
          <w:tcPr>
            <w:tcW w:w="498" w:type="pct"/>
            <w:tcBorders>
              <w:top w:val="nil"/>
              <w:left w:val="nil"/>
              <w:bottom w:val="single" w:sz="4" w:space="0" w:color="auto"/>
              <w:right w:val="single" w:sz="4" w:space="0" w:color="auto"/>
            </w:tcBorders>
            <w:shd w:val="clear" w:color="auto" w:fill="auto"/>
            <w:noWrap/>
            <w:vAlign w:val="bottom"/>
            <w:hideMark/>
          </w:tcPr>
          <w:p w14:paraId="4B92E7A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DCE855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666F85F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5C820C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Argentina</w:t>
            </w:r>
          </w:p>
        </w:tc>
        <w:tc>
          <w:tcPr>
            <w:tcW w:w="1053" w:type="pct"/>
            <w:tcBorders>
              <w:top w:val="nil"/>
              <w:left w:val="nil"/>
              <w:bottom w:val="single" w:sz="4" w:space="0" w:color="auto"/>
              <w:right w:val="single" w:sz="4" w:space="0" w:color="auto"/>
            </w:tcBorders>
            <w:shd w:val="clear" w:color="auto" w:fill="auto"/>
            <w:noWrap/>
            <w:vAlign w:val="bottom"/>
            <w:hideMark/>
          </w:tcPr>
          <w:p w14:paraId="399EBC0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Ferrante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uthor":[{"dropping-particle":"","family":"Ferrante","given":"Daniel","non-dropping-particle":"","parse-names":false,"suffix":""},{"dropping-particle":"","family":"Linetzky","given":"Bruno","non-dropping-particle":"","parse-names":false,"suffix":""},{"dropping-particle":"","family":"Konfino","given":"Jonatan","non-dropping-particle":"","parse-names":false,"suffix":""},{"dropping-particle":"","family":"King","given":"Ana","non-dropping-particle":"","parse-names":false,"suffix":""},{"dropping-particle":"","family":"Virgolini","given":"Mario","non-dropping-particle":"","parse-names":false,"suffix":""},{"dropping-particle":"","family":"Laspiur","given":"Sebastian","non-dropping-particle":"","parse-names":false,"suffix":""}],"container-title":"Rev Argent Salud Pública","id":"ITEM-1","issue":"6","issued":{"date-parts":[["2011"]]},"page":"34-41","title":"ENCUESTA NACIONAL DE FACTORES DE RIESGO 2009: EVOLUCIÓN DE LA EPIDEMIA DE ENFERMEDADES CRÓNICAS NO TRANSMISIBLES EN ARGENTINA. ESTUDIO DE CORTE TRANSVERSAL","type":"article-journal","volume":"2"},"uris":["http://www.mendeley.com/documents/?uuid=41e27a32-1e67-400f-86b5-fcda3f5d53b3"]}],"mendeley":{"formattedCitation":"&lt;sup&gt;9&lt;/sup&gt;","plainTextFormattedCitation":"9","previouslyFormattedCitation":"&lt;sup&gt;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99F24F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0958FC5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35D506F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34372</w:t>
            </w:r>
          </w:p>
        </w:tc>
        <w:tc>
          <w:tcPr>
            <w:tcW w:w="399" w:type="pct"/>
            <w:tcBorders>
              <w:top w:val="nil"/>
              <w:left w:val="nil"/>
              <w:bottom w:val="single" w:sz="4" w:space="0" w:color="auto"/>
              <w:right w:val="single" w:sz="4" w:space="0" w:color="auto"/>
            </w:tcBorders>
            <w:shd w:val="clear" w:color="auto" w:fill="auto"/>
            <w:noWrap/>
            <w:vAlign w:val="bottom"/>
            <w:hideMark/>
          </w:tcPr>
          <w:p w14:paraId="487A2E5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12519BC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5FD2BE2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32D6686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07C206BC"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F73331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Barbados</w:t>
            </w:r>
          </w:p>
        </w:tc>
        <w:tc>
          <w:tcPr>
            <w:tcW w:w="1053" w:type="pct"/>
            <w:tcBorders>
              <w:top w:val="nil"/>
              <w:left w:val="nil"/>
              <w:bottom w:val="single" w:sz="4" w:space="0" w:color="auto"/>
              <w:right w:val="single" w:sz="4" w:space="0" w:color="auto"/>
            </w:tcBorders>
            <w:shd w:val="clear" w:color="auto" w:fill="auto"/>
            <w:noWrap/>
            <w:vAlign w:val="bottom"/>
            <w:hideMark/>
          </w:tcPr>
          <w:p w14:paraId="617AE0F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Howitt</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{"citationItems":[{"id":"ITEM-1","itemData":{"ISSN":"2044-6055","abstract":"OBJECTIVE: To describe the distribution of diabetes, hypertension and related behavioural and biological risk factors in adults in Barbados by gender, education and occupation., DESIGN: Multistage probability sampling was used to select a representative sample of the adult population (&gt;= 25 years). Participants were interviewed using standard questionnaires, underwent anthropometric and blood pressure measurements, and provided fasting blood for glucose and cholesterol measurements. Standard WHO definitions were used. Data were weighted for sampling and non-response, and were age and sex standardised to the 2010 Barbados population. Weighted prevalence estimates were calculated, and prevalence ratios were calculated for behavioural and biological risk factors by demographic and socioeconomic group., RESULTS: Study response rate was 55.0%, with 764 women, 470 men. Prevalence of obesity was 33.8% (95% CI 30.7% to 37.1%); hypertension 40.6% (95% CI 36.5% to 44.9%); and diabetes 18.7% (95% CI 16.2% to 21.4%). Compared with women, men were less likely to be obese (prevalence ratio 0.5; 95% CI 0.4 to 0.7), or physically inactive (0.5; 0.4 to 0.6), but more likely to smoke tobacco (4.1; 2.5 to 6.7) and consume large amounts of alcohol in a single episode (4.6; 2.7 to 7.6). Both diabetes (0.83; 0.65 to 1.05) and hypertension (0.89; 0.79 to 1.02) were lower in men, but not significantly so. In women, higher educational level was related to higher fruit and vegetable intake, more physical activity, less diabetes and less hypercholesterolaemia (p 0.01-0.04). In men, higher education was related only to less smoking (p 0.04). Differences by occupation were limited to smoking in men and hypercholesterolaemia in women., CONCLUSIONS: In this developing country population, sex appears to be a much stronger determinant of behavioural risk factors, as well as obesity and its related risks, than education or occupation. These findings have implications for meeting the commitments made in the 2011 Rio Political Declaration, to eliminate health inequities.Copyright Published by the BMJ Publishing Group Limited. For permission to use (where not already granted under a licence) please go to http://www.bmj.com/company/products-services/rights-and-licensing/","author":[{"dropping-particle":"","family":"Howitt","given":"Christina","non-dropping-particle":"","parse-names":false,"suffix":""},{"dropping-particle":"","family":"Hambleton","given":"Ian R","non-dropping-particle":"","parse-names":false,"suffix":""},{"dropping-particle":"","family":"Rose","given":"Angela M C","non-dropping-particle":"","parse-names":false,"suffix":""},{"dropping-particle":"","family":"Hennis","given":"Anselm","non-dropping-particle":"","parse-names":false,"suffix":""},{"dropping-particle":"","family":"Samuels","given":"T Alafia","non-dropping-particle":"","parse-names":false,"suffix":""},{"dropping-particle":"","family":"George","given":"Kenneth S","non-dropping-particle":"","parse-names":false,"suffix":""},{"dropping-particle":"","family":"Unwin","given":"Nigel","non-dropping-particle":"","parse-names":false,"suffix":""}],"container-title":"BMJ open","id":"ITEM-1","issue":"12","issued":{"date-parts":[["2015"]]},"page":"e008869","title":"Social distribution of diabetes, hypertension and related risk factors in Barbados: a cross-sectional study","type":"article-journal","volume":"5"},"uris":["http://www.mendeley.com/documents/?uuid=53778329-2ae5-41dd-9449-73bf4b1ec73a"]}],"mendeley":{"formattedCitation":"&lt;sup&gt;10&lt;/sup&gt;","plainTextFormattedCitation":"10","previouslyFormattedCitation":"&lt;sup&gt;10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214B8F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3008009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2012</w:t>
            </w:r>
          </w:p>
        </w:tc>
        <w:tc>
          <w:tcPr>
            <w:tcW w:w="548" w:type="pct"/>
            <w:tcBorders>
              <w:top w:val="nil"/>
              <w:left w:val="nil"/>
              <w:bottom w:val="single" w:sz="4" w:space="0" w:color="auto"/>
              <w:right w:val="single" w:sz="4" w:space="0" w:color="auto"/>
            </w:tcBorders>
            <w:shd w:val="clear" w:color="auto" w:fill="auto"/>
            <w:noWrap/>
            <w:vAlign w:val="bottom"/>
            <w:hideMark/>
          </w:tcPr>
          <w:p w14:paraId="3E0C8C0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1234</w:t>
            </w:r>
          </w:p>
        </w:tc>
        <w:tc>
          <w:tcPr>
            <w:tcW w:w="399" w:type="pct"/>
            <w:tcBorders>
              <w:top w:val="nil"/>
              <w:left w:val="nil"/>
              <w:bottom w:val="single" w:sz="4" w:space="0" w:color="auto"/>
              <w:right w:val="single" w:sz="4" w:space="0" w:color="auto"/>
            </w:tcBorders>
            <w:shd w:val="clear" w:color="auto" w:fill="auto"/>
            <w:noWrap/>
            <w:vAlign w:val="bottom"/>
            <w:hideMark/>
          </w:tcPr>
          <w:p w14:paraId="0264F88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38.09</w:t>
            </w:r>
          </w:p>
        </w:tc>
        <w:tc>
          <w:tcPr>
            <w:tcW w:w="449" w:type="pct"/>
            <w:tcBorders>
              <w:top w:val="nil"/>
              <w:left w:val="nil"/>
              <w:bottom w:val="single" w:sz="4" w:space="0" w:color="auto"/>
              <w:right w:val="single" w:sz="4" w:space="0" w:color="auto"/>
            </w:tcBorders>
            <w:shd w:val="clear" w:color="auto" w:fill="auto"/>
            <w:noWrap/>
            <w:vAlign w:val="bottom"/>
            <w:hideMark/>
          </w:tcPr>
          <w:p w14:paraId="76A03DC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C6E94C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394E313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B5B161E"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9891D4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Belize</w:t>
            </w:r>
          </w:p>
        </w:tc>
        <w:tc>
          <w:tcPr>
            <w:tcW w:w="1053" w:type="pct"/>
            <w:tcBorders>
              <w:top w:val="nil"/>
              <w:left w:val="nil"/>
              <w:bottom w:val="single" w:sz="4" w:space="0" w:color="auto"/>
              <w:right w:val="single" w:sz="4" w:space="0" w:color="auto"/>
            </w:tcBorders>
            <w:shd w:val="clear" w:color="auto" w:fill="auto"/>
            <w:noWrap/>
            <w:vAlign w:val="bottom"/>
            <w:hideMark/>
          </w:tcPr>
          <w:p w14:paraId="5C353BD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Wong-McClure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{"citationItems":[{"id":"ITEM-1","itemData":{"ISSN":"1020-4989 (Print) 1020-4989","abstract":"OBJECTIVE: To report the prevalence of metabolic syndrome (MetS) as found by the Central American Diabetes Initiative (CAMDI) study for five major Central American populations: Belize (national); Costa Rica (San José); Guatemala (Guatemala City); Honduras (Tegucigalpa); and Nicaragua (Managua). METHODS: Study data on 6 185 adults aged 20 years or older with anthropometric and laboratory determination of MetS from population-based surveys were analyzed. Overall, the survey response rate was 82.0%. MetS prevalence was determined according to criteria from the Adult Treatment Panel III of the National Cholesterol Education Program. The study&amp;#039;s protocol was reviewed and approved by the bioethical committee of each country studied. RESULTS: The overall standardized prevalence of MetS in the Central American region was 30.3% (95% confidence interval (CI): 27.1-33.4). There was wide variability by gender and work conditions, with higher prevalence among females and unpaid workers. The standardized percentage of the population free of any component of MetS was lowest in Costa Rica (9.0%; CI: 6.5-11.4) and highest in Honduras (21.1%; CI: 16.4-25.9). CONCLUSIONS: Overall prevalence of MetS in Central America is high. Strengthening surveillance of chronic diseases and establishing effective programs for preventing cardiovascular diseases might reduce the risk of MetS in Central America. OBJETIVO: Notificar la prevalencia del síndrome metabólico (SMet) observada en el estudio de la Iniciativa Centroamericana de Diabetes (CAMDI) llevado a cabo en cinco importantes poblaciones centroamericanas: Belice (nacional); Costa Rica (San José); Guatemala (Ciudad de Guatemala); Honduras (Tegucigalpa); y Nicaragua (Managua). MÉTODOS: Se analizaron los datos de estudio obtenidos de las encuestas poblacionales dirigidas a 6 185 adultos de 20 años de edad o mayores con determinaciones antropométricas y de laboratorio relativas al SMet. En términos generales, la tasa de respuesta a las encuestas fue de 82,0%. Se determinó la prevalencia del SMet según los criterios del tercer informe del Grupo de Expertos en el Tratamiento de Adultos (Adult Treatment Panel III) del Programa Nacional de Educación sobre el Colesterol. El protocolo del estudio fue examinado y aprobado por el comité de bioética de cada uno de los países incluidos en el estudio. RESULTADOS: La prevalencia general estandarizada del SMet en Centroamérica fue de 30,3% (Intervalo de confianza de 95% (IC): 27,1-33,4). S…","author":[{"dropping-particle":"","family":"Wong-McClure","given":"Roy A","non-dropping-particle":"","parse-names":false,"suffix":""},{"dropping-particle":"","family":"Gregg","given":"Edward W","non-dropping-particle":"","parse-names":false,"suffix":""},{"dropping-particle":"","family":"Barceló","given":"Alberto","non-dropping-particle":"","parse-names":false,"suffix":""},{"dropping-particle":"","family":"Lee","given":"Kahye","non-dropping-particle":"","parse-names":false,"suffix":""},{"dropping-particle":"","family":"Abarca-Gómez","given":"Le","non-dropping-particle":"","parse-names":false,"suffix":""},{"dropping-particle":"","family":"Sanabria-López","given":"Laura","non-dropping-particle":"","parse-names":false,"suffix":""},{"dropping-particle":"","family":"Tortós-Guzmán","given":"Jaime","non-dropping-particle":"","parse-names":false,"suffix":""}],"container-title":"Rev Panam Salud Publica","id":"ITEM-1","issue":"3","issued":{"date-parts":[["2015"]]},"language":"en","page":"202-208","title":"Prevalence of metabolic syndrome in Central America: a cross-sectional population-based study","type":"article-journal","volume":"38"},"uris":["http://www.mendeley.com/documents/?uuid=466c808c-ecb8-4baf-b4d6-369197f44afe"]}],"mendeley":{"formattedCitation":"&lt;sup&gt;11&lt;/sup&gt;","plainTextFormattedCitation":"11","previouslyFormattedCitation":"&lt;sup&gt;11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1452AB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55840A7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45915CB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1520</w:t>
            </w:r>
          </w:p>
        </w:tc>
        <w:tc>
          <w:tcPr>
            <w:tcW w:w="399" w:type="pct"/>
            <w:tcBorders>
              <w:top w:val="nil"/>
              <w:left w:val="nil"/>
              <w:bottom w:val="single" w:sz="4" w:space="0" w:color="auto"/>
              <w:right w:val="single" w:sz="4" w:space="0" w:color="auto"/>
            </w:tcBorders>
            <w:shd w:val="clear" w:color="auto" w:fill="auto"/>
            <w:noWrap/>
            <w:vAlign w:val="bottom"/>
            <w:hideMark/>
          </w:tcPr>
          <w:p w14:paraId="749F426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35.4</w:t>
            </w:r>
          </w:p>
        </w:tc>
        <w:tc>
          <w:tcPr>
            <w:tcW w:w="449" w:type="pct"/>
            <w:tcBorders>
              <w:top w:val="nil"/>
              <w:left w:val="nil"/>
              <w:bottom w:val="single" w:sz="4" w:space="0" w:color="auto"/>
              <w:right w:val="single" w:sz="4" w:space="0" w:color="auto"/>
            </w:tcBorders>
            <w:shd w:val="clear" w:color="auto" w:fill="auto"/>
            <w:noWrap/>
            <w:vAlign w:val="bottom"/>
            <w:hideMark/>
          </w:tcPr>
          <w:p w14:paraId="1CC36CC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1030851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306E1CF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734E3B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06C283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104F52A6"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Velasquez-Melendez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{"citationItems":[{"id":"ITEM-1","itemData":{"abstract":"OBJECTIVE: To test association between overweight, central obesity and stature. DESIGN: Cross-sectional study carried-out between 1990-1991. SUBJECTS: 951 adults (387 male and 564 female) aged 20-64 y, resident in the metropolitan area of Sao Paulo, Brazil. MEASUREMENTS: Anthropometry, blood lipid concentrations (total, high density lipoprotein (HDL) and low density lipoprotein (LDL)-cholesterol, triglycerides (TGs) and blood glucose. Body mass index (BMI), waist-to-hip ratio (WHR) and waist circumference were used to identify overweight (BMI &amp;gt; 25 kg/m2), obdominal obesity (WHR tertile 3 and waist circumference tertile 3), respectively. The subjects were categorised as those of short stature (women &amp;lt; 150 cm, men &amp;lt; 162 cm) and those of normal stature (women ≥ 150 cm, men ≥ 162 cm). RESULTS: Prevalence of short stature was 19.6% and 15.4% in men and women, respectively. Short stature women had higher serum concentrations of total cholesterol, LDL-cholesterol, TGs and glucose than those of normal stature. Among men, this difference was not observed, except for glucose concentrations. Short stature women had high BMI and WHR means in some age categories, compared with those of normal stature. Both overweight and high WHR frequencies were greater in short stature women than in those of normal ones. In multivariate analysis, adjusted by age, income, marital status, education, physical activity and tobacco use, only women group with short stature compared with normal stature had significantly risk of overweight an high WHR. In the same group there was no association with waist circumference. Among the men there was significant opposite association with waist circumference. CONCLUSION: Short stature in women can potentially be an independent risk factor for overweight and high WHR.","author":[{"dropping-particle":"","family":"Velásquez-Meléndez","given":"G","non-dropping-particle":"","parse-names":false,"suffix":""},{"dropping-particle":"","family":"Martins","given":"I S","non-dropping-particle":"","parse-names":false,"suffix":""},{"dropping-particle":"","family":"Cervato","given":"A M","non-dropping-particle":"","parse-names":false,"suffix":""},{"dropping-particle":"","family":"Fornés","given":"N S","non-dropping-particle":"","parse-names":false,"suffix":""},{"dropping-particle":"","family":"Marucci","given":"F N M","non-dropping-particle":"De","parse-names":false,"suffix":""},{"dropping-particle":"","family":"Coelho","given":"L T","non-dropping-particle":"","parse-names":false,"suffix":""}],"container-title":"International Journal of Obesity","id":"ITEM-1","issue":"6","issued":{"date-parts":[["1999"]]},"page":"639-644","title":"Relationship between stature, overweight and central obesity in the adult population in Sao Paulo, Brazil","type":"article-journal","volume":"23"},"uris":["http://www.mendeley.com/documents/?uuid=1240a99d-6773-4560-a686-460e3516d638"]}],"mendeley":{"formattedCitation":"&lt;sup&gt;12&lt;/sup&gt;","plainTextFormattedCitation":"12","previouslyFormattedCitation":"&lt;sup&gt;12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E22522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1999</w:t>
            </w:r>
          </w:p>
        </w:tc>
        <w:tc>
          <w:tcPr>
            <w:tcW w:w="598" w:type="pct"/>
            <w:tcBorders>
              <w:top w:val="nil"/>
              <w:left w:val="nil"/>
              <w:bottom w:val="single" w:sz="4" w:space="0" w:color="auto"/>
              <w:right w:val="single" w:sz="4" w:space="0" w:color="auto"/>
            </w:tcBorders>
            <w:shd w:val="clear" w:color="auto" w:fill="auto"/>
            <w:noWrap/>
            <w:vAlign w:val="bottom"/>
            <w:hideMark/>
          </w:tcPr>
          <w:p w14:paraId="15B7076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1991</w:t>
            </w:r>
          </w:p>
        </w:tc>
        <w:tc>
          <w:tcPr>
            <w:tcW w:w="548" w:type="pct"/>
            <w:tcBorders>
              <w:top w:val="nil"/>
              <w:left w:val="nil"/>
              <w:bottom w:val="single" w:sz="4" w:space="0" w:color="auto"/>
              <w:right w:val="single" w:sz="4" w:space="0" w:color="auto"/>
            </w:tcBorders>
            <w:shd w:val="clear" w:color="auto" w:fill="auto"/>
            <w:noWrap/>
            <w:vAlign w:val="bottom"/>
            <w:hideMark/>
          </w:tcPr>
          <w:p w14:paraId="29A2B9D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951</w:t>
            </w:r>
          </w:p>
        </w:tc>
        <w:tc>
          <w:tcPr>
            <w:tcW w:w="399" w:type="pct"/>
            <w:tcBorders>
              <w:top w:val="nil"/>
              <w:left w:val="nil"/>
              <w:bottom w:val="single" w:sz="4" w:space="0" w:color="auto"/>
              <w:right w:val="single" w:sz="4" w:space="0" w:color="auto"/>
            </w:tcBorders>
            <w:shd w:val="clear" w:color="auto" w:fill="auto"/>
            <w:noWrap/>
            <w:vAlign w:val="bottom"/>
            <w:hideMark/>
          </w:tcPr>
          <w:p w14:paraId="62C0C11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40.69</w:t>
            </w:r>
          </w:p>
        </w:tc>
        <w:tc>
          <w:tcPr>
            <w:tcW w:w="449" w:type="pct"/>
            <w:tcBorders>
              <w:top w:val="nil"/>
              <w:left w:val="nil"/>
              <w:bottom w:val="single" w:sz="4" w:space="0" w:color="auto"/>
              <w:right w:val="single" w:sz="4" w:space="0" w:color="auto"/>
            </w:tcBorders>
            <w:shd w:val="clear" w:color="auto" w:fill="auto"/>
            <w:noWrap/>
            <w:vAlign w:val="bottom"/>
            <w:hideMark/>
          </w:tcPr>
          <w:p w14:paraId="17BBF0C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201124A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CB858D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40FF111"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3115C8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6C1811A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Pereira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A causal relationship between plasma cholesterol and blood pressure remains poorly understood. It has been postulated that the decrease in nitric oxide (NO) availability is a potential mechanism by which hypercholesterolemia may stimulate blood pressure elevation. However, evidence supporting the role of the L-arginine-NO pathway on the relationship between hypertension and hypercholesterolemia is still lacking., METHODS AND RESULTS: We tested for an association of the expressed NO synthase (eNOS) Glu298Asp gene variant and plasma levels of lipids and lipoproteins in the determination of systolic blood pressure levels in a 1577 individuals randomly selected from the general population. Significant interactions could be disclosed either between the Glu298Asp gene variant and total-cholesterol (p = 0.02), log-transformed triglycerides (p = 0.004) or non-HDL-cholesterol (p = 0.003) in the determination of systolic blood pressure. In addition, although the presence of the AspAsp genotype did not significantly increase the risk of hypertension in individuals in the 50% lowest percentile of total-cholesterol, presence of this genotype significantly increased the risk of hypertension in individuals in the 50% highest percentile. Finally, in a multiple logistic regression model adjusting for age, sex, diabetes, ethnicity, smoking status and BMI, the AspAsp genotype significantly increased the risk of hypertension only in individuals with total-cholesterol above 209 mg/dL (p = 0.05, odds ratios (OR) = 2.0)., CONCLUSION: Taken together, these results provide evidence supporting the role of the eNOS Glu298Asp gene variant in modulating blood pressure through a relationship with lipid levels.","author":[{"dropping-particle":"","family":"Pereira","given":"A C","non-dropping-particle":"","parse-names":false,"suffix":""},{"dropping-particle":"","family":"Sposito","given":"A C","non-dropping-particle":"","parse-names":false,"suffix":""},{"dropping-particle":"","family":"Mota","given":"G F","non-dropping-particle":"","parse-names":false,"suffix":""},{"dropping-particle":"","family":"Cunha","given":"R S","non-dropping-particle":"","parse-names":false,"suffix":""},{"dropping-particle":"","family":"Herkenhoff","given":"F L","non-dropping-particle":"","parse-names":false,"suffix":""},{"dropping-particle":"","family":"Mill","given":"J G","non-dropping-particle":"","parse-names":false,"suffix":""},{"dropping-particle":"","family":"Krieger","given":"J E","non-dropping-particle":"","parse-names":false,"suffix":""}],"container-title":"Atherosclerosis","id":"ITEM-1","issue":"1","issued":{"date-parts":[["2006"]]},"page":"193-200","title":"Endothelial nitric oxide synthase gene variant modulates the relationship between serum cholesterol levels and blood pressure in the general population: new evidence for a direct effect of lipids in arterial blood pressure","type":"article-journal","volume":"184"},"uris":["http://www.mendeley.com/documents/?uuid=e0f30396-1199-489e-af33-58c83a24a762"]}],"mendeley":{"formattedCitation":"&lt;sup&gt;13&lt;/sup&gt;","plainTextFormattedCitation":"13","previouslyFormattedCitation":"&lt;sup&gt;13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269B5E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98" w:type="pct"/>
            <w:tcBorders>
              <w:top w:val="nil"/>
              <w:left w:val="nil"/>
              <w:bottom w:val="single" w:sz="4" w:space="0" w:color="auto"/>
              <w:right w:val="single" w:sz="4" w:space="0" w:color="auto"/>
            </w:tcBorders>
            <w:shd w:val="clear" w:color="auto" w:fill="auto"/>
            <w:noWrap/>
            <w:vAlign w:val="bottom"/>
            <w:hideMark/>
          </w:tcPr>
          <w:p w14:paraId="5C74BD3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2000</w:t>
            </w:r>
          </w:p>
        </w:tc>
        <w:tc>
          <w:tcPr>
            <w:tcW w:w="548" w:type="pct"/>
            <w:tcBorders>
              <w:top w:val="nil"/>
              <w:left w:val="nil"/>
              <w:bottom w:val="single" w:sz="4" w:space="0" w:color="auto"/>
              <w:right w:val="single" w:sz="4" w:space="0" w:color="auto"/>
            </w:tcBorders>
            <w:shd w:val="clear" w:color="auto" w:fill="auto"/>
            <w:noWrap/>
            <w:vAlign w:val="bottom"/>
            <w:hideMark/>
          </w:tcPr>
          <w:p w14:paraId="058C579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1577</w:t>
            </w:r>
          </w:p>
        </w:tc>
        <w:tc>
          <w:tcPr>
            <w:tcW w:w="399" w:type="pct"/>
            <w:tcBorders>
              <w:top w:val="nil"/>
              <w:left w:val="nil"/>
              <w:bottom w:val="single" w:sz="4" w:space="0" w:color="auto"/>
              <w:right w:val="single" w:sz="4" w:space="0" w:color="auto"/>
            </w:tcBorders>
            <w:shd w:val="clear" w:color="auto" w:fill="auto"/>
            <w:noWrap/>
            <w:vAlign w:val="bottom"/>
            <w:hideMark/>
          </w:tcPr>
          <w:p w14:paraId="740885C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45.57</w:t>
            </w:r>
          </w:p>
        </w:tc>
        <w:tc>
          <w:tcPr>
            <w:tcW w:w="449" w:type="pct"/>
            <w:tcBorders>
              <w:top w:val="nil"/>
              <w:left w:val="nil"/>
              <w:bottom w:val="single" w:sz="4" w:space="0" w:color="auto"/>
              <w:right w:val="single" w:sz="4" w:space="0" w:color="auto"/>
            </w:tcBorders>
            <w:shd w:val="clear" w:color="auto" w:fill="auto"/>
            <w:noWrap/>
            <w:vAlign w:val="bottom"/>
            <w:hideMark/>
          </w:tcPr>
          <w:p w14:paraId="060037C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44.79</w:t>
            </w:r>
          </w:p>
        </w:tc>
        <w:tc>
          <w:tcPr>
            <w:tcW w:w="498" w:type="pct"/>
            <w:tcBorders>
              <w:top w:val="nil"/>
              <w:left w:val="nil"/>
              <w:bottom w:val="single" w:sz="4" w:space="0" w:color="auto"/>
              <w:right w:val="single" w:sz="4" w:space="0" w:color="auto"/>
            </w:tcBorders>
            <w:shd w:val="clear" w:color="auto" w:fill="auto"/>
            <w:noWrap/>
            <w:vAlign w:val="bottom"/>
            <w:hideMark/>
          </w:tcPr>
          <w:p w14:paraId="516867B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D60C26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A08C78E"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2A003B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6FBBB56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Poletto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{"citationItems":[{"id":"ITEM-1","itemData":{"ISSN":"1518-8787","abstract":"The association of cigarette smoking, physical activity at work, and social class with total cholesterol and with high and low density lipoprotein cholesterol were examined in a random sample of 238 males, of 18 years of age, of Rosario, Argentina. The mean (mg/dl) total serum cholesterol of the whole sample was 174.7, the high density lipoprotein cholesterol 52.8, and the low density lipoprotein cholesterol 121.5. Black tobacco consumers, evenly distributed by social class, had higher levels of total and low density lipoprotein cholesterol. Total cholesterol was higher in the high social class, differently from what smokers' distribution by social class, would lead one to expect. While a highly negative association was found between social class and physical activity at work, there were no significant differences in lipoprotein levels between manual and non-manual workers. It is possible that the nutritional differences by social class still prevail over the smoking habit in their influence on the lipoprotein levels in these subjects.","author":[{"dropping-particle":"","family":"Poletto","given":"L","non-dropping-particle":"","parse-names":false,"suffix":""},{"dropping-particle":"","family":"Pezzotto","given":"S","non-dropping-particle":"","parse-names":false,"suffix":""},{"dropping-particle":"","family":"Morini","given":"J","non-dropping-particle":"","parse-names":false,"suffix":""}],"container-title":"Revista de saude publica","id":"ITEM-1","issue":"5","issued":{"date-parts":[["1992"]]},"page":"316-320","title":"Blood lipid associations in 18 year-old men","type":"article-journal","volume":"26"},"uris":["http://www.mendeley.com/documents/?uuid=479c52d3-2204-48dd-9ebb-e2ce5b88fad8"]}],"mendeley":{"formattedCitation":"&lt;sup&gt;14&lt;/sup&gt;","plainTextFormattedCitation":"14","previouslyFormattedCitation":"&lt;sup&gt;14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F2C4C6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1992</w:t>
            </w:r>
          </w:p>
        </w:tc>
        <w:tc>
          <w:tcPr>
            <w:tcW w:w="598" w:type="pct"/>
            <w:tcBorders>
              <w:top w:val="nil"/>
              <w:left w:val="nil"/>
              <w:bottom w:val="single" w:sz="4" w:space="0" w:color="auto"/>
              <w:right w:val="single" w:sz="4" w:space="0" w:color="auto"/>
            </w:tcBorders>
            <w:shd w:val="clear" w:color="auto" w:fill="auto"/>
            <w:noWrap/>
            <w:vAlign w:val="bottom"/>
            <w:hideMark/>
          </w:tcPr>
          <w:p w14:paraId="317ACBD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1989</w:t>
            </w:r>
          </w:p>
        </w:tc>
        <w:tc>
          <w:tcPr>
            <w:tcW w:w="548" w:type="pct"/>
            <w:tcBorders>
              <w:top w:val="nil"/>
              <w:left w:val="nil"/>
              <w:bottom w:val="single" w:sz="4" w:space="0" w:color="auto"/>
              <w:right w:val="single" w:sz="4" w:space="0" w:color="auto"/>
            </w:tcBorders>
            <w:shd w:val="clear" w:color="auto" w:fill="auto"/>
            <w:noWrap/>
            <w:vAlign w:val="bottom"/>
            <w:hideMark/>
          </w:tcPr>
          <w:p w14:paraId="4EEA4C6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238</w:t>
            </w:r>
          </w:p>
        </w:tc>
        <w:tc>
          <w:tcPr>
            <w:tcW w:w="399" w:type="pct"/>
            <w:tcBorders>
              <w:top w:val="nil"/>
              <w:left w:val="nil"/>
              <w:bottom w:val="single" w:sz="4" w:space="0" w:color="auto"/>
              <w:right w:val="single" w:sz="4" w:space="0" w:color="auto"/>
            </w:tcBorders>
            <w:shd w:val="clear" w:color="auto" w:fill="auto"/>
            <w:noWrap/>
            <w:vAlign w:val="bottom"/>
            <w:hideMark/>
          </w:tcPr>
          <w:p w14:paraId="0D81AA5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100</w:t>
            </w:r>
          </w:p>
        </w:tc>
        <w:tc>
          <w:tcPr>
            <w:tcW w:w="449" w:type="pct"/>
            <w:tcBorders>
              <w:top w:val="nil"/>
              <w:left w:val="nil"/>
              <w:bottom w:val="single" w:sz="4" w:space="0" w:color="auto"/>
              <w:right w:val="single" w:sz="4" w:space="0" w:color="auto"/>
            </w:tcBorders>
            <w:shd w:val="clear" w:color="auto" w:fill="auto"/>
            <w:noWrap/>
            <w:vAlign w:val="bottom"/>
            <w:hideMark/>
          </w:tcPr>
          <w:p w14:paraId="42718C4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192029A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1EA068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D29843E"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DDC3EA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555C2948"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Rigo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{"citationItems":[{"id":"ITEM-1","itemData":{"abstract":"BACKGROUND: The prevalence of the metabolic syndrome (MS) has shown wide variation in different studies, depending on the population sample and the diagnostic criteria used. The prevalence of MS tends to be higher with the diagnostic criteria of the International Diabetes Federation (IDF)., OBJECTIVE: To compare the prevalence of MS using different criteria in an elderly community., METHODS: This was a cross-sectional population-based study conducted in the city of Novo Hamburgo - RS - Brazil, in which 378 elderly individuals, aged 60 years or over (252 women and 126 men) participated. The prevalence of MS was estimated using the National Cholesterol Education Program - Adult Treatment Panel III (NCEP ATPIII) (2001), the revised NCEP ATPIII (2005) and the IDF diagnostic criteria., RESULTS: The prevalence of MS increased progressively as we used the NCEP ATP III, the revised NCEP ATP III and the IDF criteria, with values of 50.3%, 53.4% and 56.9% respectively. The progressive increase in the prevalence of MS using the three criteria occurred in both genders, with a higher prevalence among women, with rates of 57.1%, 59.9% and 63.5% with the NCEP ATP III, the revised NCEP ATP III, and the IDF criteria, respectively., CONCLUSION: The use of the IDF criteria resulted in a higher prevalence of MS in comparison to the prevalence found with the NCEP ATP III criteria and the revised NCEP ATP III criteria. The prevalence of MS was higher among women, regardless of the criteria used.","author":[{"dropping-particle":"","family":"Rigo","given":"Julio Cesar","non-dropping-particle":"","parse-names":false,"suffix":""},{"dropping-particle":"","family":"Vieira","given":"Jose Luiz","non-dropping-particle":"","parse-names":false,"suffix":""},{"dropping-particle":"","family":"Dalacorte","given":"Roberta Rigo","non-dropping-particle":"","parse-names":false,"suffix":""},{"dropping-particle":"","family":"Reichert","given":"Cesar Luis","non-dropping-particle":"","parse-names":false,"suffix":""}],"container-title":"Arquivos brasileiros de cardiologia","id":"ITEM-1","issue":"2","issued":{"date-parts":[["2009"]]},"page":"85-91","title":"Prevalence of metabolic syndrome in an elderly community: comparison between three diagnostic methods","type":"article-journal","volume":"93"},"uris":["http://www.mendeley.com/documents/?uuid=e6c7cfd6-cd3d-4208-b3f6-0b01dd9b9468"]}],"mendeley":{"formattedCitation":"&lt;sup&gt;15&lt;/sup&gt;","plainTextFormattedCitation":"15","previouslyFormattedCitation":"&lt;sup&gt;15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BA8889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98" w:type="pct"/>
            <w:tcBorders>
              <w:top w:val="nil"/>
              <w:left w:val="nil"/>
              <w:bottom w:val="single" w:sz="4" w:space="0" w:color="auto"/>
              <w:right w:val="single" w:sz="4" w:space="0" w:color="auto"/>
            </w:tcBorders>
            <w:shd w:val="clear" w:color="auto" w:fill="auto"/>
            <w:noWrap/>
            <w:vAlign w:val="bottom"/>
            <w:hideMark/>
          </w:tcPr>
          <w:p w14:paraId="1B8CA0F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7D08A9C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378</w:t>
            </w:r>
          </w:p>
        </w:tc>
        <w:tc>
          <w:tcPr>
            <w:tcW w:w="399" w:type="pct"/>
            <w:tcBorders>
              <w:top w:val="nil"/>
              <w:left w:val="nil"/>
              <w:bottom w:val="single" w:sz="4" w:space="0" w:color="auto"/>
              <w:right w:val="single" w:sz="4" w:space="0" w:color="auto"/>
            </w:tcBorders>
            <w:shd w:val="clear" w:color="auto" w:fill="auto"/>
            <w:noWrap/>
            <w:vAlign w:val="bottom"/>
            <w:hideMark/>
          </w:tcPr>
          <w:p w14:paraId="5065328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33.33</w:t>
            </w:r>
          </w:p>
        </w:tc>
        <w:tc>
          <w:tcPr>
            <w:tcW w:w="449" w:type="pct"/>
            <w:tcBorders>
              <w:top w:val="nil"/>
              <w:left w:val="nil"/>
              <w:bottom w:val="single" w:sz="4" w:space="0" w:color="auto"/>
              <w:right w:val="single" w:sz="4" w:space="0" w:color="auto"/>
            </w:tcBorders>
            <w:shd w:val="clear" w:color="auto" w:fill="auto"/>
            <w:noWrap/>
            <w:vAlign w:val="bottom"/>
            <w:hideMark/>
          </w:tcPr>
          <w:p w14:paraId="554FF74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68.5</w:t>
            </w:r>
          </w:p>
        </w:tc>
        <w:tc>
          <w:tcPr>
            <w:tcW w:w="498" w:type="pct"/>
            <w:tcBorders>
              <w:top w:val="nil"/>
              <w:left w:val="nil"/>
              <w:bottom w:val="single" w:sz="4" w:space="0" w:color="auto"/>
              <w:right w:val="single" w:sz="4" w:space="0" w:color="auto"/>
            </w:tcBorders>
            <w:shd w:val="clear" w:color="auto" w:fill="auto"/>
            <w:noWrap/>
            <w:vAlign w:val="bottom"/>
            <w:hideMark/>
          </w:tcPr>
          <w:p w14:paraId="77CD316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5ED56D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493A86E"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CC32E5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76D4B390"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Sesso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{"citationItems":[{"id":"ITEM-1","itemData":{"ISSN":"1440-1797","abstract":"AIM: Few prospective studies have assessed renal dysfunction in older persons. We sought to define kidney dysfunction among a community-based cohort of elderly subjects and to determine the factors for its progression., METHODS: The Epidemiologia do Idoso (EPIDOSO) Study is a prospective study of individuals &gt; or =65 years old (mean 72.6 +/- 0.3), living in the community in the city of Sao Paulo. The creatinine clearance (CrCl) of 269 individuals of this cohort was estimated during 8 years of follow-up. The rate of decline in CrCl was calculated using linear regression analysis and dividing the group into tertiles of CrCl change., RESULTS: Overall mean change in CrCl was -2.37 +/- 0.23 mL/min per year. Mean age increased with the greatest degree of decline in renal function (71.1 +/- 0.59, 72.5 +/- 0.54 and 74.3 +/- 0.58, for the first, second and third CrCl change tertiles, respectively, P &lt; 0.01). A higher value of baseline CrCl was associated with progressive decline in CrCl (P &lt; 0.01). Diastolic BP was greater in the second versus the first estimated glomerular filtration rate tertile (83 +/- 1 vs 80 +/- 1 mmHg, P &lt; 0.05). High-density lipoprotein (HDL) cholesterol was inversely associated with CrCl decline (P &lt; 0.05)., CONCLUSION: Progression of kidney dysfunction occurs in most community-dwelling elderly. Strategies aimed at slowing the progression should be considered for possible risk factors of older age, baseline CrCl, BP and HDL.","author":[{"dropping-particle":"","family":"Sesso","given":"Ricardo","non-dropping-particle":"","parse-names":false,"suffix":""},{"dropping-particle":"","family":"Prado","given":"Fern","non-dropping-particle":"","parse-names":false,"suffix":""},{"dropping-particle":"","family":"Vicioso","given":"Belinda","non-dropping-particle":"","parse-names":false,"suffix":""},{"dropping-particle":"","family":"Ramos","given":"Luiz R","non-dropping-particle":"","parse-names":false,"suffix":""}],"container-title":"Nephrology (Carlton, Vic.)","id":"ITEM-1","issue":"2","issued":{"date-parts":[["2008"]]},"page":"99-103","title":"Prospective study of progression of kidney dysfunction in community-dwelling older adults","type":"article-journal","volume":"13"},"uris":["http://www.mendeley.com/documents/?uuid=a9da391a-82b3-45c8-8227-a21a43110350"]}],"mendeley":{"formattedCitation":"&lt;sup&gt;16&lt;/sup&gt;","plainTextFormattedCitation":"16","previouslyFormattedCitation":"&lt;sup&gt;16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8F988D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98" w:type="pct"/>
            <w:tcBorders>
              <w:top w:val="nil"/>
              <w:left w:val="nil"/>
              <w:bottom w:val="single" w:sz="4" w:space="0" w:color="auto"/>
              <w:right w:val="single" w:sz="4" w:space="0" w:color="auto"/>
            </w:tcBorders>
            <w:shd w:val="clear" w:color="auto" w:fill="auto"/>
            <w:noWrap/>
            <w:vAlign w:val="bottom"/>
            <w:hideMark/>
          </w:tcPr>
          <w:p w14:paraId="780428F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1992</w:t>
            </w:r>
          </w:p>
        </w:tc>
        <w:tc>
          <w:tcPr>
            <w:tcW w:w="548" w:type="pct"/>
            <w:tcBorders>
              <w:top w:val="nil"/>
              <w:left w:val="nil"/>
              <w:bottom w:val="single" w:sz="4" w:space="0" w:color="auto"/>
              <w:right w:val="single" w:sz="4" w:space="0" w:color="auto"/>
            </w:tcBorders>
            <w:shd w:val="clear" w:color="auto" w:fill="auto"/>
            <w:noWrap/>
            <w:vAlign w:val="bottom"/>
            <w:hideMark/>
          </w:tcPr>
          <w:p w14:paraId="52A4DC7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269</w:t>
            </w:r>
          </w:p>
        </w:tc>
        <w:tc>
          <w:tcPr>
            <w:tcW w:w="399" w:type="pct"/>
            <w:tcBorders>
              <w:top w:val="nil"/>
              <w:left w:val="nil"/>
              <w:bottom w:val="single" w:sz="4" w:space="0" w:color="auto"/>
              <w:right w:val="single" w:sz="4" w:space="0" w:color="auto"/>
            </w:tcBorders>
            <w:shd w:val="clear" w:color="auto" w:fill="auto"/>
            <w:noWrap/>
            <w:vAlign w:val="bottom"/>
            <w:hideMark/>
          </w:tcPr>
          <w:p w14:paraId="19AB36A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45.7</w:t>
            </w:r>
          </w:p>
        </w:tc>
        <w:tc>
          <w:tcPr>
            <w:tcW w:w="449" w:type="pct"/>
            <w:tcBorders>
              <w:top w:val="nil"/>
              <w:left w:val="nil"/>
              <w:bottom w:val="single" w:sz="4" w:space="0" w:color="auto"/>
              <w:right w:val="single" w:sz="4" w:space="0" w:color="auto"/>
            </w:tcBorders>
            <w:shd w:val="clear" w:color="auto" w:fill="auto"/>
            <w:noWrap/>
            <w:vAlign w:val="bottom"/>
            <w:hideMark/>
          </w:tcPr>
          <w:p w14:paraId="585B46B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40B54D0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658B7E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7206C94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FB14E7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501B0DA8"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Pimenta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{"citationItems":[{"id":"ITEM-1","itemData":{"ISSN":"1516-3180 (Print) 1516-3180","abstract":"CONTEXT AND OBJECTIVE Metabolic syndrome is characterized by clustering of cardiovascular risk factors such as obesity, dyslipidemia, insulin resistance, hyperinsulinemia, glucose intolerance and arterial hypertension. The aim of this study was to estimate the probability of clustering and the combination pattern of three or more metabolic syndrome components in a rural Brazilian adult population. DESIGN AND SETTING This was a cross-sectional study conducted in two rural communities located in the Jequitinhonha Valley, Minas Gerais, Brazil. METHODS The sample was composed of 534 adults (both sexes). Waist circumference, blood pressure and demographic, lifestyle and biochemical characteristics were assessed. The prevalences of metabolic syndrome and its components were estimated using the definitions of the National Cholesterol Education Program &amp;amp;#8211; Adult Treatment Panel III. A binomial distribution equation was used to evaluate the probability of clustering of metabolic syndrome components. The statistical significance level was set at 5% (P &amp;amp;lt; 0.05). RESULTS Metabolic syndrome was more frequent among women (23.3%) than among men (6.5%). Clustering of three or more metabolic syndrome components was greater than expected by chance. The commonest combinations of three metabolic syndrome components were: hypertriglyceridemia + low levels of HDL-c + arterial hypertension and abdominal obesity + low levels of HDL-c + arterial hypertension; and of four metabolic syndrome components: abdominal obesity + hypertriglyceridemia + low levels of HDL-c + arterial hypertension. CONCLUSION The population studied presented high prevalence of metabolic syndrome among women and clustering of its components greater than expected by chance, suggesting that the combination pattern was non-random. . CONTEXTO E OBJETIVO A síndrome metabólica é caracterizada pela agregação de fatores de risco cardiovasculares como obesidade, dislipidemia, resistência à insulina, hiperinsulinemia, intolerância à glicose e hipertensão arterial. Este estudo objetivou estimar a probabilidade de agregação e o padrão de combinação de três ou mais componentes da síndrome metabólica em população rural adulta brasileira. TIPO DE ESTUDO E LOCAL Estudo transversal, conduzido em duas comunidades rurais da região do Vale do Jequitinhonha, Minas Gerais. MÉTODOS A amostra foi constituída de 534 adultos, de ambos os sexos, dos quais foram aferidas a circunferência da cintura, a pressão arterial e…","author":[{"dropping-particle":"","family":"Pimenta","given":"Adriano Marcal","non-dropping-particle":"","parse-names":false,"suffix":""},{"dropping-particle":"","family":"Felisbino-Mendes","given":"Mariana Santos","non-dropping-particle":"","parse-names":false,"suffix":""},{"dropping-particle":"","family":"Velasquez-Melendez","given":"Gustavo","non-dropping-particle":"","parse-names":false,"suffix":""}],"container-title":"Sao Paulo Med J","id":"ITEM-1","issue":"4","issued":{"date-parts":[["2013"]]},"language":"en","page":"213-219","title":"Clustering and combining pattern of metabolic syndrome components in a rural Brazilian adult population","type":"article-journal","volume":"131"},"uris":["http://www.mendeley.com/documents/?uuid=b29e00d4-cf4f-48e9-9a9c-9e81dba2f36d"]}],"mendeley":{"formattedCitation":"&lt;sup&gt;17&lt;/sup&gt;","plainTextFormattedCitation":"17","previouslyFormattedCitation":"&lt;sup&gt;17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8E7C05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2DC9DEE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3479514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280</w:t>
            </w:r>
          </w:p>
        </w:tc>
        <w:tc>
          <w:tcPr>
            <w:tcW w:w="399" w:type="pct"/>
            <w:tcBorders>
              <w:top w:val="nil"/>
              <w:left w:val="nil"/>
              <w:bottom w:val="single" w:sz="4" w:space="0" w:color="auto"/>
              <w:right w:val="single" w:sz="4" w:space="0" w:color="auto"/>
            </w:tcBorders>
            <w:shd w:val="clear" w:color="auto" w:fill="auto"/>
            <w:noWrap/>
            <w:vAlign w:val="bottom"/>
            <w:hideMark/>
          </w:tcPr>
          <w:p w14:paraId="2D31142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50.6</w:t>
            </w:r>
          </w:p>
        </w:tc>
        <w:tc>
          <w:tcPr>
            <w:tcW w:w="449" w:type="pct"/>
            <w:tcBorders>
              <w:top w:val="nil"/>
              <w:left w:val="nil"/>
              <w:bottom w:val="single" w:sz="4" w:space="0" w:color="auto"/>
              <w:right w:val="single" w:sz="4" w:space="0" w:color="auto"/>
            </w:tcBorders>
            <w:shd w:val="clear" w:color="auto" w:fill="auto"/>
            <w:noWrap/>
            <w:vAlign w:val="bottom"/>
            <w:hideMark/>
          </w:tcPr>
          <w:p w14:paraId="4EDFB8F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7C7EBE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BB175F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6B124F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965DA5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2375A175"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Quintino-Santos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{"citationItems":[{"id":"ITEM-1","itemData":{"ISSN":"1516-4446","abstract":"OBJECTIVE: To investigate if APOE E4 allelic status is associated with the cognitive functioning of elderly individuals., METHODS: Participants (n = 1,408) from the Bambui Cohort Study of Aging were selected based on the results from both variables (APOE genotype and MMSE score). Gender, age, education, marital status, skin color, GHQ score and biological measures were used as confounding factors for adjusting the logistic regression., RESULTS: The population was in Hardy-Weinberg equilibrium, and the APOE E4 allele frequency was 13.4%. APOE E4 allele homozygosity conferred a superior odds ratio (OR) for cognitive impairment (OR = 3.1) compared to E4 allele heterozygosity (OR = 0.99) even when adjusted for age, sex, education, marital status, skin color, triglycerides, HDL, systolic pressure, and GHQ (OR = 2.9). No differences were observed between the other covariates., CONCLUSIONS: The APOE E4 allele was observed to have a dramatic effect on cognitive impairment, especially in homozygotes, which comprised approximately 2% of the population.","author":[{"dropping-particle":"","family":"Quintino-Santos","given":"S","non-dropping-particle":"","parse-names":false,"suffix":""},{"dropping-particle":"","family":"Regina","given":"ra","non-dropping-particle":"","parse-names":false,"suffix":""},{"dropping-particle":"","family":"Lima-Costa","given":"Maria Fern","non-dropping-particle":"","parse-names":false,"suffix":""},{"dropping-particle":"","family":"Uchoa","given":"Elizabeth","non-dropping-particle":"","parse-names":false,"suffix":""},{"dropping-particle":"","family":"Firmo","given":"Joselia Oliveira de Araujo","non-dropping-particle":"","parse-names":false,"suffix":""},{"dropping-particle":"","family":"Moriguchi","given":"Emilio Hideyuki","non-dropping-particle":"","parse-names":false,"suffix":""},{"dropping-particle":"de","family":"Castro-Costa","given":"Erico","non-dropping-particle":"","parse-names":false,"suffix":""}],"container-title":"Revista brasileira de psiquiatria (Sao Paulo, Brazil : 1999)","id":"ITEM-1","issue":"4","issued":{"date-parts":[["2012"]]},"page":"440-445","title":"Homozygosity for the APOE E4 allele is solely associated with lower cognitive performance in Brazilian community-dwelling older adults: the Bambui Study","type":"article-journal","volume":"34"},"uris":["http://www.mendeley.com/documents/?uuid=718c2f3a-a13e-4fa8-b623-4e2d4fdad38b"]}],"mendeley":{"formattedCitation":"&lt;sup&gt;18&lt;/sup&gt;","plainTextFormattedCitation":"18","previouslyFormattedCitation":"&lt;sup&gt;18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2BFD04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2012</w:t>
            </w:r>
          </w:p>
        </w:tc>
        <w:tc>
          <w:tcPr>
            <w:tcW w:w="598" w:type="pct"/>
            <w:tcBorders>
              <w:top w:val="nil"/>
              <w:left w:val="nil"/>
              <w:bottom w:val="single" w:sz="4" w:space="0" w:color="auto"/>
              <w:right w:val="single" w:sz="4" w:space="0" w:color="auto"/>
            </w:tcBorders>
            <w:shd w:val="clear" w:color="auto" w:fill="auto"/>
            <w:noWrap/>
            <w:vAlign w:val="bottom"/>
            <w:hideMark/>
          </w:tcPr>
          <w:p w14:paraId="43A63EA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1996</w:t>
            </w:r>
          </w:p>
        </w:tc>
        <w:tc>
          <w:tcPr>
            <w:tcW w:w="548" w:type="pct"/>
            <w:tcBorders>
              <w:top w:val="nil"/>
              <w:left w:val="nil"/>
              <w:bottom w:val="single" w:sz="4" w:space="0" w:color="auto"/>
              <w:right w:val="single" w:sz="4" w:space="0" w:color="auto"/>
            </w:tcBorders>
            <w:shd w:val="clear" w:color="auto" w:fill="auto"/>
            <w:noWrap/>
            <w:vAlign w:val="bottom"/>
            <w:hideMark/>
          </w:tcPr>
          <w:p w14:paraId="5BBDBD0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1408</w:t>
            </w:r>
          </w:p>
        </w:tc>
        <w:tc>
          <w:tcPr>
            <w:tcW w:w="399" w:type="pct"/>
            <w:tcBorders>
              <w:top w:val="nil"/>
              <w:left w:val="nil"/>
              <w:bottom w:val="single" w:sz="4" w:space="0" w:color="auto"/>
              <w:right w:val="single" w:sz="4" w:space="0" w:color="auto"/>
            </w:tcBorders>
            <w:shd w:val="clear" w:color="auto" w:fill="auto"/>
            <w:noWrap/>
            <w:vAlign w:val="bottom"/>
            <w:hideMark/>
          </w:tcPr>
          <w:p w14:paraId="19093F7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39.6</w:t>
            </w:r>
          </w:p>
        </w:tc>
        <w:tc>
          <w:tcPr>
            <w:tcW w:w="449" w:type="pct"/>
            <w:tcBorders>
              <w:top w:val="nil"/>
              <w:left w:val="nil"/>
              <w:bottom w:val="single" w:sz="4" w:space="0" w:color="auto"/>
              <w:right w:val="single" w:sz="4" w:space="0" w:color="auto"/>
            </w:tcBorders>
            <w:shd w:val="clear" w:color="auto" w:fill="auto"/>
            <w:noWrap/>
            <w:vAlign w:val="bottom"/>
            <w:hideMark/>
          </w:tcPr>
          <w:p w14:paraId="12D35E4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69</w:t>
            </w:r>
          </w:p>
        </w:tc>
        <w:tc>
          <w:tcPr>
            <w:tcW w:w="498" w:type="pct"/>
            <w:tcBorders>
              <w:top w:val="nil"/>
              <w:left w:val="nil"/>
              <w:bottom w:val="single" w:sz="4" w:space="0" w:color="auto"/>
              <w:right w:val="single" w:sz="4" w:space="0" w:color="auto"/>
            </w:tcBorders>
            <w:shd w:val="clear" w:color="auto" w:fill="auto"/>
            <w:noWrap/>
            <w:vAlign w:val="bottom"/>
            <w:hideMark/>
          </w:tcPr>
          <w:p w14:paraId="51D4217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215502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3215809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4E4CD9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78AEC40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Togeiro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{"citationItems":[{"id":"ITEM-1","itemData":{"ISSN":"1930-739X","abstract":"OBJECTIVE: Epidemiologic studies that control for potential confounders are needed to assess the independent associations of obstructive sleep apnea (OSA) with metabolic abnormalities. The aim of our study was to evaluate the associations of OSA with metabolic abnormalities among the adult population of Sao Paulo, Brazil., DESIGN AND METHODS: Questionnaires were applied face-to-face, full night polysomnography (PSG) was performed, and blood samples were collected in a population-based survey in Sao Paulo, Brazil, adopting a probabilistic three-stage cluster sample method. The metabolic profile included fasting glucose, insulin, and lipid levels. The hepatic insulin resistance index was assessed by the homeostasis model assessment-estimated insulin resistance (HOMAIR )., RESULTS: A total of 1,042 volunteers underwent PSG. Mild OSA and moderate to severe OSA comprised 21.2% and 16.7% of the population, respectively. Subjects with severe to moderate OSA were older, more obese, had higher fasting glucose, HOMAIR , and triglycerides (TG) levels than did the mild and non-OSA group (P &lt; 0.001). Multivariate regression analyses showed that an apnea-hypopnea index (AHI) &gt;= 15 and a time of oxy-hemoglobin saturation &lt;90% were independently associated with impaired fasting glucose, elevated TG, and HOMAIR ., CONCLUSIONS: The results of this large cross-sectional epidemiological study showed that the associations of OSA and metabolic abnormalities were independent of other risk factors.Copyright © 2012 The Obesity Society.","author":[{"dropping-particle":"","family":"Togeiro","given":"Sonia M","non-dropping-particle":"","parse-names":false,"suffix":""},{"dropping-particle":"","family":"Carneiro","given":"Glaucia","non-dropping-particle":"","parse-names":false,"suffix":""},{"dropping-particle":"","family":"Ribeiro Filho","given":"Fern","non-dropping-particle":"","parse-names":false,"suffix":""},{"dropping-particle":"","family":"F.","given":"o","non-dropping-particle":"","parse-names":false,"suffix":""},{"dropping-particle":"","family":"Zanella","given":"Maria T","non-dropping-particle":"","parse-names":false,"suffix":""},{"dropping-particle":"","family":"Santos-Silva","given":"Rogerio","non-dropping-particle":"","parse-names":false,"suffix":""},{"dropping-particle":"","family":"Taddei","given":"Jose A","non-dropping-particle":"","parse-names":false,"suffix":""},{"dropping-particle":"","family":"Bittencourt","given":"Lia R A","non-dropping-particle":"","parse-names":false,"suffix":""},{"dropping-particle":"","family":"Tufik","given":"Sergio","non-dropping-particle":"","parse-names":false,"suffix":""}],"container-title":"Obesity (Silver Spring, Md.)","id":"ITEM-1","issue":"4","issued":{"date-parts":[["2013"]]},"page":"847-851","title":"Consequences of obstructive sleep apnea on metabolic profile: a Population-Based Survey","type":"article-journal","volume":"21"},"uris":["http://www.mendeley.com/documents/?uuid=fc3a7c8f-e79b-496f-8ab4-9ac23a0e4f7b"]}],"mendeley":{"formattedCitation":"&lt;sup&gt;19&lt;/sup&gt;","plainTextFormattedCitation":"19","previouslyFormattedCitation":"&lt;sup&gt;19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3A2717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69E8D6D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48" w:type="pct"/>
            <w:tcBorders>
              <w:top w:val="nil"/>
              <w:left w:val="nil"/>
              <w:bottom w:val="single" w:sz="4" w:space="0" w:color="auto"/>
              <w:right w:val="single" w:sz="4" w:space="0" w:color="auto"/>
            </w:tcBorders>
            <w:shd w:val="clear" w:color="auto" w:fill="auto"/>
            <w:noWrap/>
            <w:vAlign w:val="bottom"/>
            <w:hideMark/>
          </w:tcPr>
          <w:p w14:paraId="2487282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1042</w:t>
            </w:r>
          </w:p>
        </w:tc>
        <w:tc>
          <w:tcPr>
            <w:tcW w:w="399" w:type="pct"/>
            <w:tcBorders>
              <w:top w:val="nil"/>
              <w:left w:val="nil"/>
              <w:bottom w:val="single" w:sz="4" w:space="0" w:color="auto"/>
              <w:right w:val="single" w:sz="4" w:space="0" w:color="auto"/>
            </w:tcBorders>
            <w:shd w:val="clear" w:color="auto" w:fill="auto"/>
            <w:noWrap/>
            <w:vAlign w:val="bottom"/>
            <w:hideMark/>
          </w:tcPr>
          <w:p w14:paraId="701B905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6C7E553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45971A2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0D2626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6FD195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DF276F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59CAF3B1"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Ota</w:t>
            </w:r>
            <w:proofErr w:type="spellEnd"/>
            <w:r w:rsidRPr="009E0769">
              <w:rPr>
                <w:rFonts w:ascii="Arial" w:eastAsia="Times New Roman" w:hAnsi="Arial" w:cs="Arial"/>
                <w:color w:val="000000"/>
                <w:sz w:val="16"/>
                <w:szCs w:val="16"/>
                <w:lang w:val="es-PE" w:eastAsia="en-GB"/>
              </w:rPr>
              <w:t xml:space="preserve"> </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{"citationItems":[{"id":"ITEM-1","itemData":{"abstract":"INTRODUCTION: APOA1/C3/A4/A5 gene cluster is closely involved in lipid metabolism, and its polymorphisms have been associated with coronary heart disease and lipid plasma levels. Here, we aimed to investigate associations of APOC3 (3238C&gt;G, -482C&gt;T, 1100C&gt;T) and APOA4 (Gln360His, Thr347Ser) polymorphisms in 382 individuals from a cohort of a Longitudinal Brazilian Elderly Study with major age-related morbidities and with lipid and protein serum levels., MATERIALS AND METHODS: The whole sample was genotyped by polymerase chain reaction-restriction fragment length polymorphism. Descriptive statistics, logistic regression analysis, Student t test, deviation from Hardy-Weinberg, Bonferroni correction for multiple testing, and haplotype analyses were performed., RESULTS: Although APOC3 1100T allele carriers presented lower triglyceride and very low density lipoprotein levels than non-T carriers, these associations disappeared after Bonferroni correction (P &gt; 0.05). Moreover, APOA4 360His allele was associated with depression (P = 0.03), increased triglyceride (P = 0.035) and very low density lipoprotein (P = 0.035) levels, and reduced HDL levels (P = 0.0005). Haplotype analyses found an association between His/C/C haplotype (Gln360His/-482C&gt;T/1100C&gt;T) with depression, but this result was due to Gln360His polymorphism., CONCLUSIONS: Our data suggest that 360His allele might be a risk factor for depression and unfavorable lipid profile and depression for elderly people in the Brazilian population.","author":[{"dropping-particle":"","family":"Ota","given":"Vanessa Kiyomi","non-dropping-particle":"","parse-names":false,"suffix":""},{"dropping-particle":"","family":"Chen","given":"Elizabeth Suchi","non-dropping-particle":"","parse-names":false,"suffix":""},{"dropping-particle":"","family":"Ejchel","given":"Tatiana Flank","non-dropping-particle":"","parse-names":false,"suffix":""},{"dropping-particle":"","family":"Furuya","given":"Tatiane Katsue","non-dropping-particle":"","parse-names":false,"suffix":""},{"dropping-particle":"","family":"Mazzotti","given":"Diego Robles","non-dropping-particle":"","parse-names":false,"suffix":""},{"dropping-particle":"","family":"Cendoroglo","given":"Maysa Seabra","non-dropping-particle":"","parse-names":false,"suffix":""},{"dropping-particle":"","family":"Ramos","given":"Luiz Roberto","non-dropping-particle":"","parse-names":false,"suffix":""},{"dropping-particle":"","family":"Araujo","given":"Lara Quirino","non-dropping-particle":"","parse-names":false,"suffix":""},{"dropping-particle":"","family":"Burbano","given":"Rommel Rodriguez","non-dropping-particle":"","parse-names":false,"suffix":""},{"dropping-particle":"","family":"Smith","given":"Marilia de Arruda Cardoso","non-dropping-particle":"","parse-names":false,"suffix":""}],"container-title":"Journal of investigative medicine : the official publication of the American Federation for Clinical Research","id":"ITEM-1","issue":"6","issued":{"date-parts":[["2011"]]},"page":"966-970","title":"APOA4 polymorphism as a risk factor for unfavorable lipid serum profile and depression: a cross-sectional study","type":"article-journal","volume":"59"},"uris":["http://www.mendeley.com/documents/?uuid=244a337e-019f-4801-a394-81729660e48e"]}],"mendeley":{"formattedCitation":"&lt;sup&gt;20&lt;/sup&gt;","plainTextFormattedCitation":"20","previouslyFormattedCitation":"&lt;sup&gt;20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20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9F3A0D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726E6C9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2001</w:t>
            </w:r>
          </w:p>
        </w:tc>
        <w:tc>
          <w:tcPr>
            <w:tcW w:w="548" w:type="pct"/>
            <w:tcBorders>
              <w:top w:val="nil"/>
              <w:left w:val="nil"/>
              <w:bottom w:val="single" w:sz="4" w:space="0" w:color="auto"/>
              <w:right w:val="single" w:sz="4" w:space="0" w:color="auto"/>
            </w:tcBorders>
            <w:shd w:val="clear" w:color="auto" w:fill="auto"/>
            <w:noWrap/>
            <w:vAlign w:val="bottom"/>
            <w:hideMark/>
          </w:tcPr>
          <w:p w14:paraId="11499D5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382</w:t>
            </w:r>
          </w:p>
        </w:tc>
        <w:tc>
          <w:tcPr>
            <w:tcW w:w="399" w:type="pct"/>
            <w:tcBorders>
              <w:top w:val="nil"/>
              <w:left w:val="nil"/>
              <w:bottom w:val="single" w:sz="4" w:space="0" w:color="auto"/>
              <w:right w:val="single" w:sz="4" w:space="0" w:color="auto"/>
            </w:tcBorders>
            <w:shd w:val="clear" w:color="auto" w:fill="auto"/>
            <w:noWrap/>
            <w:vAlign w:val="bottom"/>
            <w:hideMark/>
          </w:tcPr>
          <w:p w14:paraId="50254E5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31.68</w:t>
            </w:r>
          </w:p>
        </w:tc>
        <w:tc>
          <w:tcPr>
            <w:tcW w:w="449" w:type="pct"/>
            <w:tcBorders>
              <w:top w:val="nil"/>
              <w:left w:val="nil"/>
              <w:bottom w:val="single" w:sz="4" w:space="0" w:color="auto"/>
              <w:right w:val="single" w:sz="4" w:space="0" w:color="auto"/>
            </w:tcBorders>
            <w:shd w:val="clear" w:color="auto" w:fill="auto"/>
            <w:noWrap/>
            <w:vAlign w:val="bottom"/>
            <w:hideMark/>
          </w:tcPr>
          <w:p w14:paraId="423B73F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79.82</w:t>
            </w:r>
          </w:p>
        </w:tc>
        <w:tc>
          <w:tcPr>
            <w:tcW w:w="498" w:type="pct"/>
            <w:tcBorders>
              <w:top w:val="nil"/>
              <w:left w:val="nil"/>
              <w:bottom w:val="single" w:sz="4" w:space="0" w:color="auto"/>
              <w:right w:val="single" w:sz="4" w:space="0" w:color="auto"/>
            </w:tcBorders>
            <w:shd w:val="clear" w:color="auto" w:fill="auto"/>
            <w:noWrap/>
            <w:vAlign w:val="bottom"/>
            <w:hideMark/>
          </w:tcPr>
          <w:p w14:paraId="7DDC971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29CDDF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FE9BB49"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6C1DDB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6662CD41"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eastAsia="en-GB"/>
              </w:rPr>
              <w:t>Pimenta</w:t>
            </w:r>
            <w:proofErr w:type="spellEnd"/>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{"citationItems":[{"id":"ITEM-1","itemData":{"abstract":"FUNDAMENTO: A hipertensão, importante problema de saúde pública, representa uma das principais causas de morbidade em todo o mundo. OBJETIVO: Estimar a prevalência da hipertensão arterial e seus fatores de risco em uma comunidade rural do nordeste do estado de Minas Gerais, Brasil. MÉTODOS: Estudo transversal realizado em 2004, em Virgem das Graças, comunidade rural localizada no Vale do Jequitinhonha. A amostra era composta por 287 indivíduos, com idades entre 18 e 88 anos. Hipertensão foi definida segundo os critérios da Joint National Committee (pressão arterial sistólica &amp;gt; 140 mmHg e/ou pressão arterial diastólica &amp;gt; 90 mmHg): indivíduos que já usavam medicamentos anti-hipertensivos também foram considerados hipertensos. Usou-se a análise bivariada para testar a relação entre as variáveis independentes e hipertensão, e a regressão logística para ajustar fatores de confusão e identificar interações. A força de associação foi mensurada usando-se odds ratio (OR) e seus intervalos de confiança de 95 por cento [IC (95 por cento)]. RESULTADOS: A prevalência bruta da hipertensão foi de 47,0 por cento [IC (95 por cento): 41,1 - 53,0], a prevalência ajustada por idade foi de 43,2 por cento [IC (95 por cento): 35,7 - 50,7], enquanto a prevalência ajustada por escolaridade foi de 44,1 por cento [IC (95 por cento): 43,9 - 44,3]. De acordo com a análise multivariada, observou-se que idade, triglicerídeos, circunferência da cintura e sexo eram fatores de risco independentes associados à hipertensão. CONCLUSÃO: Os achados fornecem evidências importantes de que a hipertensão é um problema de saúde pública associado à dislipidemia e à obesidade abdominal, na área rural de Minas Gerais. BACKGROUND: Hypertension represents a serious public health problem and is one of the most frequent causes of morbidity around the world. OBJECTIVE: To estimate the prevalence of hypertension and its risk factors in a rural community located in the north-eastern state of Minas Gerais, Brazil. METHODS: A cross-sectional study was carried out in 2004 in the Virgem das Graças Village, a rural community located the Jequitinhonha Valley. The sample consisted of 287 males and females aged between 18 to 88 years. Hypertension was defined according to Joint National Committee criteria (systolic blood pressure &amp;gt; 140 mmHg and/or diastolic blood pressure &amp;gt; 90 mmHg): subjects already receiving anti-hypertensive treatment were considered to be hypertensive. Bivariate analysis was perfor…","author":[{"dropping-particle":"","family":"Pimenta","given":"Adriano Marçal","non-dropping-particle":"","parse-names":false,"suffix":""},{"dropping-particle":"","family":"Kac","given":"Gilberto","non-dropping-particle":"","parse-names":false,"suffix":""},{"dropping-particle":"","family":"Gazzinelli","given":"Andrea","non-dropping-particle":"","parse-names":false,"suffix":""},{"dropping-particle":"","family":"Corrêa-Oliveira","given":"Rodrigo","non-dropping-particle":"","parse-names":false,"suffix":""},{"dropping-particle":"","family":"Velásquez-Meléndez","given":"Gustavo","non-dropping-particle":"","parse-names":false,"suffix":""}],"container-title":"Arq Bras Cardiol","id":"ITEM-1","issue":"6","issued":{"date-parts":[["2008"]]},"language":"en","page":"419-425","title":"Associação entre obesidade central, triglicerídeos e hipertensão arterial em uma área rural do Brasil","type":"article-journal","volume":"90"},"uris":["http://www.mendeley.com/documents/?uuid=dc681b9e-ea15-438e-87e6-680b1bba4b38"]}],"mendeley":{"formattedCitation":"&lt;sup&gt;21&lt;/sup&gt;","plainTextFormattedCitation":"21","previouslyFormattedCitation":"&lt;sup&gt;21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21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7691D69"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169A4D71"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2001</w:t>
            </w:r>
          </w:p>
        </w:tc>
        <w:tc>
          <w:tcPr>
            <w:tcW w:w="548" w:type="pct"/>
            <w:tcBorders>
              <w:top w:val="nil"/>
              <w:left w:val="nil"/>
              <w:bottom w:val="single" w:sz="4" w:space="0" w:color="auto"/>
              <w:right w:val="single" w:sz="4" w:space="0" w:color="auto"/>
            </w:tcBorders>
            <w:shd w:val="clear" w:color="auto" w:fill="auto"/>
            <w:noWrap/>
            <w:vAlign w:val="bottom"/>
            <w:hideMark/>
          </w:tcPr>
          <w:p w14:paraId="3899AB1D"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287</w:t>
            </w:r>
          </w:p>
        </w:tc>
        <w:tc>
          <w:tcPr>
            <w:tcW w:w="399" w:type="pct"/>
            <w:tcBorders>
              <w:top w:val="nil"/>
              <w:left w:val="nil"/>
              <w:bottom w:val="single" w:sz="4" w:space="0" w:color="auto"/>
              <w:right w:val="single" w:sz="4" w:space="0" w:color="auto"/>
            </w:tcBorders>
            <w:shd w:val="clear" w:color="auto" w:fill="auto"/>
            <w:noWrap/>
            <w:vAlign w:val="bottom"/>
            <w:hideMark/>
          </w:tcPr>
          <w:p w14:paraId="7A4640D0"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48.4</w:t>
            </w:r>
          </w:p>
        </w:tc>
        <w:tc>
          <w:tcPr>
            <w:tcW w:w="449" w:type="pct"/>
            <w:tcBorders>
              <w:top w:val="nil"/>
              <w:left w:val="nil"/>
              <w:bottom w:val="single" w:sz="4" w:space="0" w:color="auto"/>
              <w:right w:val="single" w:sz="4" w:space="0" w:color="auto"/>
            </w:tcBorders>
            <w:shd w:val="clear" w:color="auto" w:fill="auto"/>
            <w:noWrap/>
            <w:vAlign w:val="bottom"/>
            <w:hideMark/>
          </w:tcPr>
          <w:p w14:paraId="74315E20"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24F4E77D"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Community</w:t>
            </w:r>
            <w:proofErr w:type="spellEnd"/>
          </w:p>
        </w:tc>
        <w:tc>
          <w:tcPr>
            <w:tcW w:w="277" w:type="pct"/>
            <w:tcBorders>
              <w:top w:val="nil"/>
              <w:left w:val="nil"/>
              <w:bottom w:val="single" w:sz="4" w:space="0" w:color="auto"/>
              <w:right w:val="single" w:sz="4" w:space="0" w:color="auto"/>
            </w:tcBorders>
            <w:shd w:val="clear" w:color="auto" w:fill="auto"/>
            <w:noWrap/>
            <w:vAlign w:val="bottom"/>
            <w:hideMark/>
          </w:tcPr>
          <w:p w14:paraId="6261759C"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Yes</w:t>
            </w:r>
          </w:p>
        </w:tc>
      </w:tr>
      <w:tr w:rsidR="00665066" w:rsidRPr="009E0769" w14:paraId="05AC818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4C2C2A6"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Brazil</w:t>
            </w:r>
            <w:proofErr w:type="spellEnd"/>
          </w:p>
        </w:tc>
        <w:tc>
          <w:tcPr>
            <w:tcW w:w="1053" w:type="pct"/>
            <w:tcBorders>
              <w:top w:val="nil"/>
              <w:left w:val="nil"/>
              <w:bottom w:val="single" w:sz="4" w:space="0" w:color="auto"/>
              <w:right w:val="single" w:sz="4" w:space="0" w:color="auto"/>
            </w:tcBorders>
            <w:shd w:val="clear" w:color="auto" w:fill="auto"/>
            <w:noWrap/>
            <w:vAlign w:val="bottom"/>
            <w:hideMark/>
          </w:tcPr>
          <w:p w14:paraId="4EB2400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val="es-PE" w:eastAsia="en-GB"/>
              </w:rPr>
              <w:t>Souza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{"citationItems":[{"id":"ITEM-1","itemData":{"DOI":"10.1590/s0066-782x2003001100005","abstract":"OBJECTIVE To determine the prevalence of dyslipidemias in adults in the city of Campos dos Goytacazes, in the Brazilian state of Rio de Janeiro, and to identify its relation to risk factors. METHODS Cross-sectional, population-based, observational study with sampling through conglomerates and stratified according to socioeconomic levels, sex, and age, with 1,039 individuals. Risk factors, familial history, blood pressure, anthropometric measurements, glucose, triglycerides and cholesterol were determined. RESULTS The following prevalences were observed: of dyslipidemias 24.2%; of hypercholesterolemia, 4.2%; of elevated LDL-C, 3.5%; of low HDL-C, 18.3%; and of hypertriglyceridemia, 17.1%. The following mean levels were observed: cholesterol, 187.6 +/- 33.7 mg/dL; LDL-C, 108.7 +/- 26.8 mg/dL; HDL-C, 48.5 +/- 7.7 mg/dL; and triglycerides, 150.1 +/- 109.8 mg/dL. The following variables showed a positive correlation with dyslipidemia: increased age (P&lt;0.001), male sex (P&lt;0.001), low familial income (P&lt;0.001), familial history (P&lt;0.01), overweight/obesity (P&lt;0.001), waist measure (P&lt;0.001), high blood pressure (P&lt;0.001), and diabetes mellitus (P&lt;0.001). The following variables had no influence on dyslipidemias: ethnicity, educational level, smoking habits, and sedentary lifestyle. CONCLUSION The frequency of lipid changes in the population studied was high, suggesting that measures for the early diagnosis should be taken, in association with implementation of programs for primary and secondary prevention of atherosclerosis.","author":[{"dropping-particle":"de","family":"Souza","given":"Luiz José","non-dropping-particle":"","parse-names":false,"suffix":""},{"dropping-particle":"","family":"Souto Filho","given":"João Tadeu Damian","non-dropping-particle":"","parse-names":false,"suffix":""},{"dropping-particle":"de","family":"Souza","given":"Thiago Ferreira","non-dropping-particle":"","parse-names":false,"suffix":""},{"dropping-particle":"","family":"Reis","given":"Aldo Franklin Ferreira","non-dropping-particle":"","parse-names":false,"suffix":""},{"dropping-particle":"","family":"Gicovate Neto","given":"Carlos","non-dropping-particle":"","parse-names":false,"suffix":""},{"dropping-particle":"","family":"Bastos","given":"Diogo Assed","non-dropping-particle":"","parse-names":false,"suffix":""},{"dropping-particle":"","family":"Côrtes","given":"Vitor Azevedo","non-dropping-particle":"","parse-names":false,"suffix":""},{"dropping-particle":"","family":"Chalita","given":"Félix Elias Barros","non-dropping-particle":"","parse-names":false,"suffix":""},{"dropping-particle":"","family":"Teixeira","given":"Cláudio Luiz","non-dropping-particle":"","parse-names":false,"suffix":""}],"container-title":"Arquivos Brasileiros de Cardiologia","id":"ITEM-1","issue":"3","issued":{"date-parts":[["2003"]]},"page":"257-264","title":"Prevalence of dyslipidemia and risk factors in Campos dos Goytacazes, in the Brazilian State of Rio de Janeiro","type":"article-journal","volume":"81"},"uris":["http://www.mendeley.com/documents/?uuid=12c405bf-5960-44b7-80e6-9a457e10461c"]}],"mendeley":{"formattedCitation":"&lt;sup&gt;22&lt;/sup&gt;","plainTextFormattedCitation":"22","previouslyFormattedCitation":"&lt;sup&gt;22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22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7504C8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2003</w:t>
            </w:r>
          </w:p>
        </w:tc>
        <w:tc>
          <w:tcPr>
            <w:tcW w:w="598" w:type="pct"/>
            <w:tcBorders>
              <w:top w:val="nil"/>
              <w:left w:val="nil"/>
              <w:bottom w:val="single" w:sz="4" w:space="0" w:color="auto"/>
              <w:right w:val="single" w:sz="4" w:space="0" w:color="auto"/>
            </w:tcBorders>
            <w:shd w:val="clear" w:color="auto" w:fill="auto"/>
            <w:noWrap/>
            <w:vAlign w:val="bottom"/>
            <w:hideMark/>
          </w:tcPr>
          <w:p w14:paraId="4E95938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2001</w:t>
            </w:r>
          </w:p>
        </w:tc>
        <w:tc>
          <w:tcPr>
            <w:tcW w:w="548" w:type="pct"/>
            <w:tcBorders>
              <w:top w:val="nil"/>
              <w:left w:val="nil"/>
              <w:bottom w:val="single" w:sz="4" w:space="0" w:color="auto"/>
              <w:right w:val="single" w:sz="4" w:space="0" w:color="auto"/>
            </w:tcBorders>
            <w:shd w:val="clear" w:color="auto" w:fill="auto"/>
            <w:noWrap/>
            <w:vAlign w:val="bottom"/>
            <w:hideMark/>
          </w:tcPr>
          <w:p w14:paraId="5B49F89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1039</w:t>
            </w:r>
          </w:p>
        </w:tc>
        <w:tc>
          <w:tcPr>
            <w:tcW w:w="399" w:type="pct"/>
            <w:tcBorders>
              <w:top w:val="nil"/>
              <w:left w:val="nil"/>
              <w:bottom w:val="single" w:sz="4" w:space="0" w:color="auto"/>
              <w:right w:val="single" w:sz="4" w:space="0" w:color="auto"/>
            </w:tcBorders>
            <w:shd w:val="clear" w:color="auto" w:fill="auto"/>
            <w:noWrap/>
            <w:vAlign w:val="bottom"/>
            <w:hideMark/>
          </w:tcPr>
          <w:p w14:paraId="3FD1879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47.8</w:t>
            </w:r>
          </w:p>
        </w:tc>
        <w:tc>
          <w:tcPr>
            <w:tcW w:w="449" w:type="pct"/>
            <w:tcBorders>
              <w:top w:val="nil"/>
              <w:left w:val="nil"/>
              <w:bottom w:val="single" w:sz="4" w:space="0" w:color="auto"/>
              <w:right w:val="single" w:sz="4" w:space="0" w:color="auto"/>
            </w:tcBorders>
            <w:shd w:val="clear" w:color="auto" w:fill="auto"/>
            <w:noWrap/>
            <w:vAlign w:val="bottom"/>
            <w:hideMark/>
          </w:tcPr>
          <w:p w14:paraId="644AF56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48.8</w:t>
            </w:r>
          </w:p>
        </w:tc>
        <w:tc>
          <w:tcPr>
            <w:tcW w:w="498" w:type="pct"/>
            <w:tcBorders>
              <w:top w:val="nil"/>
              <w:left w:val="nil"/>
              <w:bottom w:val="single" w:sz="4" w:space="0" w:color="auto"/>
              <w:right w:val="single" w:sz="4" w:space="0" w:color="auto"/>
            </w:tcBorders>
            <w:shd w:val="clear" w:color="auto" w:fill="auto"/>
            <w:noWrap/>
            <w:vAlign w:val="bottom"/>
            <w:hideMark/>
          </w:tcPr>
          <w:p w14:paraId="2AB4886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AE2463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1ABB57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5F2C27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0D1BD4B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Yokota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{"citationItems":[{"id":"ITEM-1","itemData":{"abstract":"Objetivo: apresentar a metodologia e resultados da implantação da vigilância de fatores de risco e proteção para doenças e agravos não transmissíveis (DANT) em município de pequeno porte, Anchieta, no estado do Espírito Santo, Brasil, em 2010. Métodos: estudo transversal de base populacional com realização de exames bioquímicos, aferição da pressão arterial, avaliação antropométrica e eletrocardiograma da população-alvo. Resultados: aproximadamente 25,0 por cento dos entrevistados relataram consumo regular de refrigerante, 45,2 por cento, carne com gordura, e 22,5 por cento, abuso de bebida alcoólica; 14,1 por cento referiram ser inativos, 16,2 por cento, fumantes, 52,1 por cento apresentaram excesso de peso auto-referido, e 16,9 por cento, obesidade; sobre fatores de proteção, 5,0 por cento da população referiu consumir frutas e hortaliças conforme recomendado, e 3,6 por cento, atividade física no lazer; a prevalência de uso de cinto de segurança no banco da frente foi de 74,0 por cento, e 83,5 por cento dos motociclistas referiram utilizar capacete; entre os indivíduos que realizaram exames, 49,2 por cento apresentaram hipercolesterolemia, 46,0 por cento, lesão renal, 19,0 por cento, alteração em eletrocardiograma e 5,8 por cento, diabetes. Conclusão: a metodologia utilizada permitiu conhecer a prevalência dos fatores de risco e proteção para DANT em município de pequeno porte; ações de promoção da saúde, vigilância, prevenção e atenção estão sendo elaboradas com base nos resultados encontrados. Objective: to present the methodology and results of the implementation of surveillance for risk and protective factors for non-communicable diseases (NCD) and injuries in a small city, Anchieta, in the State of Espírito Santo, Brazil, in 2010. Methods: a population-based cross sectional study with blood sample collection, blood pressure, anthropometric measurements and electrocardiogram of the target-population. Results: approximately 25.0 per cent adults interviewed reported drinking soft drinks regularly, 45.2 per cent, eat meat with visible fat, and 22.5 per cent, harmful use of alcohol; 14.1 per cent reported physical inactivity, 16.2 per cent, tobacco smoking, 52.1 per cent, self-reported overweight, and 16.9 per cent, obesity; among protective factors, 5.0 per cent reported fruit and vegetable intake as recommended, and 3.6 per cent, leisure time physical activity; prevalence of seat belt use in front seat was 74.0 per cent; helmet use was reported by 8…","author":[{"dropping-particle":"","family":"Yokota","given":"Renata Tiene de Carvalho","non-dropping-particle":"","parse-names":false,"suffix":""},{"dropping-particle":"","family":"Iser","given":"Betine Pinto Moehlecke","non-dropping-particle":"","parse-names":false,"suffix":""},{"dropping-particle":"","family":"Andrade","given":"Romildo Luiz Monteiro","non-dropping-particle":"","parse-names":false,"suffix":""},{"dropping-particle":"","family":"Meiners","given":"Micheline Marie Milward de Azevedo","non-dropping-particle":"","parse-names":false,"suffix":""},{"dropping-particle":"de","family":"Assis","given":"Dalva Maria","non-dropping-particle":"","parse-names":false,"suffix":""},{"dropping-particle":"","family":"Bernal","given":"Regina Tomie Ivata","non-dropping-particle":"","parse-names":false,"suffix":""},{"dropping-particle":"","family":"Malta","given":"Deborah Carvalho","non-dropping-particle":"","parse-names":false,"suffix":""},{"dropping-particle":"de","family":"Moura","given":"Lenildo","non-dropping-particle":"","parse-names":false,"suffix":""},{"dropping-particle":"dos","family":"Santos","given":"Josiane","non-dropping-particle":"","parse-names":false,"suffix":""}],"container-title":"Epidemiol. serv. saúde","id":"ITEM-1","issue":"1","issued":{"date-parts":[["2012"]]},"language":"pt","page":"55-68","title":"Vigilância de fatores de risco e proteção para doenças e agravos não transmissíveis em município de pequeno porte, Brasil, 2010","type":"article-journal","volume":"21"},"uris":["http://www.mendeley.com/documents/?uuid=94f8ad5c-197c-4491-9561-cccdf49896a3"]}],"mendeley":{"formattedCitation":"&lt;sup&gt;23&lt;/sup&gt;","plainTextFormattedCitation":"23","previouslyFormattedCitation":"&lt;sup&gt;23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23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FBCE0E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2012</w:t>
            </w:r>
          </w:p>
        </w:tc>
        <w:tc>
          <w:tcPr>
            <w:tcW w:w="598" w:type="pct"/>
            <w:tcBorders>
              <w:top w:val="nil"/>
              <w:left w:val="nil"/>
              <w:bottom w:val="single" w:sz="4" w:space="0" w:color="auto"/>
              <w:right w:val="single" w:sz="4" w:space="0" w:color="auto"/>
            </w:tcBorders>
            <w:shd w:val="clear" w:color="auto" w:fill="auto"/>
            <w:noWrap/>
            <w:vAlign w:val="bottom"/>
            <w:hideMark/>
          </w:tcPr>
          <w:p w14:paraId="0C0DB98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48" w:type="pct"/>
            <w:tcBorders>
              <w:top w:val="nil"/>
              <w:left w:val="nil"/>
              <w:bottom w:val="single" w:sz="4" w:space="0" w:color="auto"/>
              <w:right w:val="single" w:sz="4" w:space="0" w:color="auto"/>
            </w:tcBorders>
            <w:shd w:val="clear" w:color="auto" w:fill="auto"/>
            <w:noWrap/>
            <w:vAlign w:val="bottom"/>
            <w:hideMark/>
          </w:tcPr>
          <w:p w14:paraId="0592D97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869</w:t>
            </w:r>
          </w:p>
        </w:tc>
        <w:tc>
          <w:tcPr>
            <w:tcW w:w="399" w:type="pct"/>
            <w:tcBorders>
              <w:top w:val="nil"/>
              <w:left w:val="nil"/>
              <w:bottom w:val="single" w:sz="4" w:space="0" w:color="auto"/>
              <w:right w:val="single" w:sz="4" w:space="0" w:color="auto"/>
            </w:tcBorders>
            <w:shd w:val="clear" w:color="auto" w:fill="auto"/>
            <w:noWrap/>
            <w:vAlign w:val="bottom"/>
            <w:hideMark/>
          </w:tcPr>
          <w:p w14:paraId="6DAE76C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45.1</w:t>
            </w:r>
          </w:p>
        </w:tc>
        <w:tc>
          <w:tcPr>
            <w:tcW w:w="449" w:type="pct"/>
            <w:tcBorders>
              <w:top w:val="nil"/>
              <w:left w:val="nil"/>
              <w:bottom w:val="single" w:sz="4" w:space="0" w:color="auto"/>
              <w:right w:val="single" w:sz="4" w:space="0" w:color="auto"/>
            </w:tcBorders>
            <w:shd w:val="clear" w:color="auto" w:fill="auto"/>
            <w:noWrap/>
            <w:vAlign w:val="bottom"/>
            <w:hideMark/>
          </w:tcPr>
          <w:p w14:paraId="590EF55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2DE64CF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722809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D29DDF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35D47E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1C9C798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Petris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{"citationItems":[{"id":"ITEM-1","itemData":{"ISSN":"1678-4561 1413-8123","abstract":"The use of medications for the treatment of dyslipidemia is relevant in the control of cardiovascular disease. This article aims to analyze the prevalence, the use and the participation of the public sector in the supply of medication for adults aged 40 years and above using pharmacotherapy for dyslipidemia control living in a city in the southern region of Brazil. A cross-sectional, population-based study was conducted. Household interviews were staged with 1180 individuals aged over 40 living in Cambe, State of Parana, of which 967 took laboratory examinations. The prevalence of dyslipidemia was 69.2%, of which 16.1% were taking medication. Among individuals undergoing treatment for dyslipidemia, 22.2% had adequate test results. Lipid-lowering medication used were simvastatin (81.5%) and bezafibrate (6.5%), mainly obtained by direct payment to private pharmacies and drug stores (52.2%) and NHS services (33.6%). A high prevalence of dyslipidemias was observed in population terms, together with a low level of dyslipidemia control and low participation of the public sector regarding the supply of medication compared to acquisition through direct payment for medication in private pharmacies. These results suggest a limited range of public policy for control of dyslipidemia.","author":[{"dropping-particle":"","family":"Petris","given":"Airton Jose","non-dropping-particle":"","parse-names":false,"suffix":""},{"dropping-particle":"de","family":"Souza","given":"Regina Kazue Tanno","non-dropping-particle":"","parse-names":false,"suffix":""},{"dropping-particle":"","family":"Bortoletto","given":"Maira Sayuri Sakay","non-dropping-particle":"","parse-names":false,"suffix":""}],"container-title":"Participacao do setor publico no fornecimento de medicamentos para dislipidemias em estudo de base populacional.","id":"ITEM-1","issue":"12","issued":{"date-parts":[["2016"]]},"page":"3899-3906","title":"[Public sector participation in the supply of dyslipidemia medication in a population-based study]","type":"article-journal","volume":"21"},"uris":["http://www.mendeley.com/documents/?uuid=1c3894c8-56cd-4e0a-a6fc-92d7338da3cb"]}],"mendeley":{"formattedCitation":"&lt;sup&gt;24&lt;/sup&gt;","plainTextFormattedCitation":"24","previouslyFormattedCitation":"&lt;sup&gt;24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24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9EF369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290F079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48" w:type="pct"/>
            <w:tcBorders>
              <w:top w:val="nil"/>
              <w:left w:val="nil"/>
              <w:bottom w:val="single" w:sz="4" w:space="0" w:color="auto"/>
              <w:right w:val="single" w:sz="4" w:space="0" w:color="auto"/>
            </w:tcBorders>
            <w:shd w:val="clear" w:color="auto" w:fill="auto"/>
            <w:noWrap/>
            <w:vAlign w:val="bottom"/>
            <w:hideMark/>
          </w:tcPr>
          <w:p w14:paraId="40A21A0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967</w:t>
            </w:r>
          </w:p>
        </w:tc>
        <w:tc>
          <w:tcPr>
            <w:tcW w:w="399" w:type="pct"/>
            <w:tcBorders>
              <w:top w:val="nil"/>
              <w:left w:val="nil"/>
              <w:bottom w:val="single" w:sz="4" w:space="0" w:color="auto"/>
              <w:right w:val="single" w:sz="4" w:space="0" w:color="auto"/>
            </w:tcBorders>
            <w:shd w:val="clear" w:color="auto" w:fill="auto"/>
            <w:noWrap/>
            <w:vAlign w:val="bottom"/>
            <w:hideMark/>
          </w:tcPr>
          <w:p w14:paraId="25CE061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45.5</w:t>
            </w:r>
          </w:p>
        </w:tc>
        <w:tc>
          <w:tcPr>
            <w:tcW w:w="449" w:type="pct"/>
            <w:tcBorders>
              <w:top w:val="nil"/>
              <w:left w:val="nil"/>
              <w:bottom w:val="single" w:sz="4" w:space="0" w:color="auto"/>
              <w:right w:val="single" w:sz="4" w:space="0" w:color="auto"/>
            </w:tcBorders>
            <w:shd w:val="clear" w:color="auto" w:fill="auto"/>
            <w:noWrap/>
            <w:vAlign w:val="bottom"/>
            <w:hideMark/>
          </w:tcPr>
          <w:p w14:paraId="6BCB8D7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B001A5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E00BB9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497D3352"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A35DAA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lastRenderedPageBreak/>
              <w:t>Brazil</w:t>
            </w:r>
          </w:p>
        </w:tc>
        <w:tc>
          <w:tcPr>
            <w:tcW w:w="1053" w:type="pct"/>
            <w:tcBorders>
              <w:top w:val="nil"/>
              <w:left w:val="nil"/>
              <w:bottom w:val="single" w:sz="4" w:space="0" w:color="auto"/>
              <w:right w:val="single" w:sz="4" w:space="0" w:color="auto"/>
            </w:tcBorders>
            <w:shd w:val="clear" w:color="auto" w:fill="auto"/>
            <w:noWrap/>
            <w:vAlign w:val="bottom"/>
            <w:hideMark/>
          </w:tcPr>
          <w:p w14:paraId="1F10E9F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Pirkle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{"citationItems":[{"id":"ITEM-1","itemData":{"ISSN":"2044-6055","abstract":"OBJECTIVE: Conceptual models underpinning much epidemiological research on ageing acknowledge that environmental, social and biological systems interact to influence health outcomes. Recursive partitioning is a data-driven approach that allows for concurrent exploration of distinct mixtures, or clusters, of individuals that have a particular outcome. Our aim is to use recursive partitioning to examine risk clusters for metabolic syndrome (MetS) and its components, in order to identify vulnerable populations., STUDY DESIGN: Cross-sectional analysis of baseline data from a prospective longitudinal cohort called the International Mobility in Aging Study (IMIAS)., SETTING: IMIAS includes sites from three middle-income countries-Tirana (Albania), Natal (Brazil) and Manizales (Colombia)-and two from Canada-Kingston (Ontario) and Saint-Hyacinthe (Quebec)., PARTICIPANTS: Community-dwelling male and female adults, aged 64-75 years (n=2002)., PRIMARY AND SECONDARY OUTCOME MEASURES: We apply recursive partitioning to investigate social and behavioural risk factors for MetS and its components. Model-based recursive partitioning (MOB) was used to cluster participants into age-adjusted risk groups based on variabilities in: study site, sex, education, living arrangements, childhood adversities, adult occupation, current employment status, income, perceived income sufficiency, smoking status and weekly minutes of physical activity., RESULTS: 43% of participants had MetS. Using MOB, the primary partitioning variable was participant sex. Among women from middle-incomes sites, the predicted proportion with MetS ranged from 58% to 68%. Canadian women with limited physical activity had elevated predicted proportions of MetS (49%, 95% CI 39% to 58%). Among men, MetS ranged from 26% to 41% depending on childhood social adversity and education. Clustering for MetS components differed from the syndrome and across components. Study site was a primary partitioning variable for all components except HDL cholesterol. Sex was important for most components., CONCLUSION: MOB is a promising technique for identifying disease risk clusters (eg, vulnerable populations) in modestly sized samples.Copyright © Article author(s) (or their employer(s) unless otherwise stated in the text of the article) 2018. All rights reserved. No commercial use is permitted unless otherwise expressly granted.","author":[{"dropping-particle":"","family":"Pirkle","given":"Catherine M","non-dropping-particle":"","parse-names":false,"suffix":""},{"dropping-particle":"","family":"Wu","given":"Yan Yan","non-dropping-particle":"","parse-names":false,"suffix":""},{"dropping-particle":"","family":"Zunzunegui","given":"Maria-Victoria","non-dropping-particle":"","parse-names":false,"suffix":""},{"dropping-particle":"","family":"Gomez","given":"Jose Fern","non-dropping-particle":"","parse-names":false,"suffix":""}],"container-title":"BMJ open","id":"ITEM-1","issue":"3","issued":{"date-parts":[["2018"]]},"page":"e018680","title":"Model-based recursive partitioning to identify risk clusters for metabolic syndrome and its components: findings from the International Mobility in Aging Study","type":"article-journal","volume":"8"},"uris":["http://www.mendeley.com/documents/?uuid=69dd02a4-ebe9-4a64-b86b-cb6a207fe0d1"]}],"mendeley":{"formattedCitation":"&lt;sup&gt;25&lt;/sup&gt;","plainTextFormattedCitation":"25","previouslyFormattedCitation":"&lt;sup&gt;25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25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6EB96C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2018</w:t>
            </w:r>
          </w:p>
        </w:tc>
        <w:tc>
          <w:tcPr>
            <w:tcW w:w="598" w:type="pct"/>
            <w:tcBorders>
              <w:top w:val="nil"/>
              <w:left w:val="nil"/>
              <w:bottom w:val="single" w:sz="4" w:space="0" w:color="auto"/>
              <w:right w:val="single" w:sz="4" w:space="0" w:color="auto"/>
            </w:tcBorders>
            <w:shd w:val="clear" w:color="auto" w:fill="auto"/>
            <w:noWrap/>
            <w:vAlign w:val="bottom"/>
            <w:hideMark/>
          </w:tcPr>
          <w:p w14:paraId="7703E3B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2012</w:t>
            </w:r>
          </w:p>
        </w:tc>
        <w:tc>
          <w:tcPr>
            <w:tcW w:w="548" w:type="pct"/>
            <w:tcBorders>
              <w:top w:val="nil"/>
              <w:left w:val="nil"/>
              <w:bottom w:val="single" w:sz="4" w:space="0" w:color="auto"/>
              <w:right w:val="single" w:sz="4" w:space="0" w:color="auto"/>
            </w:tcBorders>
            <w:shd w:val="clear" w:color="auto" w:fill="auto"/>
            <w:noWrap/>
            <w:vAlign w:val="bottom"/>
            <w:hideMark/>
          </w:tcPr>
          <w:p w14:paraId="6B43259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311</w:t>
            </w:r>
          </w:p>
        </w:tc>
        <w:tc>
          <w:tcPr>
            <w:tcW w:w="399" w:type="pct"/>
            <w:tcBorders>
              <w:top w:val="nil"/>
              <w:left w:val="nil"/>
              <w:bottom w:val="single" w:sz="4" w:space="0" w:color="auto"/>
              <w:right w:val="single" w:sz="4" w:space="0" w:color="auto"/>
            </w:tcBorders>
            <w:shd w:val="clear" w:color="auto" w:fill="auto"/>
            <w:noWrap/>
            <w:vAlign w:val="bottom"/>
            <w:hideMark/>
          </w:tcPr>
          <w:p w14:paraId="0A05EA8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49.2</w:t>
            </w:r>
          </w:p>
        </w:tc>
        <w:tc>
          <w:tcPr>
            <w:tcW w:w="449" w:type="pct"/>
            <w:tcBorders>
              <w:top w:val="nil"/>
              <w:left w:val="nil"/>
              <w:bottom w:val="single" w:sz="4" w:space="0" w:color="auto"/>
              <w:right w:val="single" w:sz="4" w:space="0" w:color="auto"/>
            </w:tcBorders>
            <w:shd w:val="clear" w:color="auto" w:fill="auto"/>
            <w:noWrap/>
            <w:vAlign w:val="bottom"/>
            <w:hideMark/>
          </w:tcPr>
          <w:p w14:paraId="2001DF7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69</w:t>
            </w:r>
          </w:p>
        </w:tc>
        <w:tc>
          <w:tcPr>
            <w:tcW w:w="498" w:type="pct"/>
            <w:tcBorders>
              <w:top w:val="nil"/>
              <w:left w:val="nil"/>
              <w:bottom w:val="single" w:sz="4" w:space="0" w:color="auto"/>
              <w:right w:val="single" w:sz="4" w:space="0" w:color="auto"/>
            </w:tcBorders>
            <w:shd w:val="clear" w:color="auto" w:fill="auto"/>
            <w:noWrap/>
            <w:vAlign w:val="bottom"/>
            <w:hideMark/>
          </w:tcPr>
          <w:p w14:paraId="02E7474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DA54CB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4091F61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326A0B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5BF1453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Werle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{"citationItems":[{"id":"ITEM-1","itemData":{"ISSN":"1741-8275","abstract":"BACKGROUND: Risk factors for cardiovascular mortality have barely been investigated in very elderly persons and there may be differences compared with younger individuals., METHODS: This is a cohort study of all inhabitants over 80 years of age in the city of Veranopolis, Brazil. The association of demographic, anthropometric, physical, and medical characteristics with mortality by any cause and by cardiovascular disease (CVD) was investigated by means of Cox regression models., RESULTS: The mean age of the participants was 83.6+/-3.3 years. Vital status and cause of death was ascertained in 96.9% of the participants after a mean follow-up of 8.7+/-3.8 years. Systolic and diastolic blood pressure showed a U-shape relationship with cardiovascular and total mortality. Blood pressure lower than 140/90mmHg was associated with a higher risk for cardiovascular mortality (HR 4.76, 95% CI 1.56-14.28, p=0.006). Duration of sleep was inversely associated with the risk of cardiovascular death (HR 0.83, 95% CI 0.73-0.95, p=0.007), while apoA-I was inversely associated only with the risk of all-cause mortality (HR 0.99, 95% CI 0.98-1.00, p=0.041). Anthropometric indexes, smoking, cholesterol, LDL-cholesterol, HDL-cholesterol, and other traditional risk factors were not associated with cardiovascular mortality., CONCLUSION: Many traditional risk factors are not associated with cardiovascular mortality in the very elderly. Longer sleep duration is associated with lower cardiovascular mortality of very elderly individuals, while low blood pressure identifies very elderly individuals at higher risk of dying from cardiovascular causes.","author":[{"dropping-particle":"","family":"Werle","given":"Maria Helena","non-dropping-particle":"","parse-names":false,"suffix":""},{"dropping-particle":"","family":"Moriguchi","given":"Emilio","non-dropping-particle":"","parse-names":false,"suffix":""},{"dropping-particle":"","family":"Fuchs","given":"S","non-dropping-particle":"","parse-names":false,"suffix":""},{"dropping-particle":"","family":"Costa","given":"ra","non-dropping-particle":"","parse-names":false,"suffix":""},{"dropping-particle":"","family":"Bruscato","given":"Neide Maria","non-dropping-particle":"","parse-names":false,"suffix":""},{"dropping-particle":"","family":"Carli","given":"Waldemar","non-dropping-particle":"de","parse-names":false,"suffix":""},{"dropping-particle":"","family":"Fuchs","given":"Flavio Danni","non-dropping-particle":"","parse-names":false,"suffix":""}],"container-title":"European journal of cardiovascular prevention and rehabilitation : official journal of the European Society of Cardiology, Working Groups on Epidemiology &amp; Prevention and Cardiac Rehabilitation and Exercise Physiology","id":"ITEM-1","issue":"3","issued":{"date-parts":[["2011"]]},"page":"369-377","title":"Risk factors for cardiovascular disease in the very elderly: results of a cohort study in a city in southern Brazil","type":"article-journal","volume":"18"},"uris":["http://www.mendeley.com/documents/?uuid=1ec5baa7-a879-4e6a-9b17-33edff030712"]}],"mendeley":{"formattedCitation":"&lt;sup&gt;26&lt;/sup&gt;","plainTextFormattedCitation":"26","previouslyFormattedCitation":"&lt;sup&gt;26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26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1F9C8B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7695FDF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1994</w:t>
            </w:r>
          </w:p>
        </w:tc>
        <w:tc>
          <w:tcPr>
            <w:tcW w:w="548" w:type="pct"/>
            <w:tcBorders>
              <w:top w:val="nil"/>
              <w:left w:val="nil"/>
              <w:bottom w:val="single" w:sz="4" w:space="0" w:color="auto"/>
              <w:right w:val="single" w:sz="4" w:space="0" w:color="auto"/>
            </w:tcBorders>
            <w:shd w:val="clear" w:color="auto" w:fill="auto"/>
            <w:noWrap/>
            <w:vAlign w:val="bottom"/>
            <w:hideMark/>
          </w:tcPr>
          <w:p w14:paraId="733D566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187</w:t>
            </w:r>
          </w:p>
        </w:tc>
        <w:tc>
          <w:tcPr>
            <w:tcW w:w="399" w:type="pct"/>
            <w:tcBorders>
              <w:top w:val="nil"/>
              <w:left w:val="nil"/>
              <w:bottom w:val="single" w:sz="4" w:space="0" w:color="auto"/>
              <w:right w:val="single" w:sz="4" w:space="0" w:color="auto"/>
            </w:tcBorders>
            <w:shd w:val="clear" w:color="auto" w:fill="auto"/>
            <w:noWrap/>
            <w:vAlign w:val="bottom"/>
            <w:hideMark/>
          </w:tcPr>
          <w:p w14:paraId="1329A87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36.4</w:t>
            </w:r>
          </w:p>
        </w:tc>
        <w:tc>
          <w:tcPr>
            <w:tcW w:w="449" w:type="pct"/>
            <w:tcBorders>
              <w:top w:val="nil"/>
              <w:left w:val="nil"/>
              <w:bottom w:val="single" w:sz="4" w:space="0" w:color="auto"/>
              <w:right w:val="single" w:sz="4" w:space="0" w:color="auto"/>
            </w:tcBorders>
            <w:shd w:val="clear" w:color="auto" w:fill="auto"/>
            <w:noWrap/>
            <w:vAlign w:val="bottom"/>
            <w:hideMark/>
          </w:tcPr>
          <w:p w14:paraId="40314D8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83.6</w:t>
            </w:r>
          </w:p>
        </w:tc>
        <w:tc>
          <w:tcPr>
            <w:tcW w:w="498" w:type="pct"/>
            <w:tcBorders>
              <w:top w:val="nil"/>
              <w:left w:val="nil"/>
              <w:bottom w:val="single" w:sz="4" w:space="0" w:color="auto"/>
              <w:right w:val="single" w:sz="4" w:space="0" w:color="auto"/>
            </w:tcBorders>
            <w:shd w:val="clear" w:color="auto" w:fill="auto"/>
            <w:noWrap/>
            <w:vAlign w:val="bottom"/>
            <w:hideMark/>
          </w:tcPr>
          <w:p w14:paraId="3E77FB8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1BF9287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BC326E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A9B4F5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733F74CD"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eastAsia="en-GB"/>
              </w:rPr>
              <w:t>Oliveira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{"citationItems":[{"id":"ITEM-1","itemData":{"ISSN":"0102-311x","abstract":"O objetivo deste estudo foi estimar a prevalência de hipertensão em adultos residentes nas comunidades ribeirinhas do rio Madeira, previamente à operação da Usina Hidrelétrica Santo Antônio. Estudo transversal da prevalência de hipertensão arterial realizado com 841 adultos. Informações sobre condições sociodemográficas, morbidade referida, hábitos de vida, consumo de peixe e dados antropométricos foram avaliados. O método de regressão logística foi utilizado para estimar a odds ratio e seus respectivos intervalos de confiança. Entre os ribeirinhos, 26% (IC95%: 23%29%) dos adultos apresentaram hipertensão: 29% entre os homens (IC95%: 24%-33%) e 23% entre as mulheres (IC95%: 19%-27%). Nos homens, os fatores associados à hipertensão foram idade, IMC, glicemia e local de residência. Entre as mulheres, os fatores preditivos foram idade, triglicerídeos e glicemia. Os resultados deste estudo podem contribuir com a formulação de estratégias de monitoramento para prevenção de eventos cardiovasculares por parte dos órgãos de saúde estadual e municipal. The aim of this cross-sectional study was to estimate the prevalence of hypertension among adults (n = 841) in communities along the Madeira River in the Brazilian Amazon, prior to startup of the Santo Antônio Hydroelectric Plant. The study gathered information on sociodemographic conditions, history of diseases, habits, fish consumption, and anthropometric parameters. Logistic regression was used to calculate odds ratios and the respective confidence intervals. Among the riverine communities, 26% (95%CI: 23%-29%) of adults presented hypertension (29% in men [95%CI: 24%-33%] and 23% in women [95%CI: 19%-27%]). Factors associated with hypertension were age, BMI, and place of residence in men and age, triglycerides, and blood glucose in women. The findings can contribute to strategies for state and municipal health services to monitor and prevent cardiovascular events. Estimar la prevalencia de hipertensión entre los adultos que viven en las comunidades que bordean el río Madeira, antes de la puesta en marcha de la central hidroeléctrica de Santo Antônio. Estudio transversal sobre la prevalencia de la hipertensión llevado a cabo con 841 adultos. Se evaluó la información sobre las condiciones sociodemográficas, morbilidad, estilo de vida, consumo de pescado y los datos antropométricos. El método de regresión logística para estimar el odds ratio y sus intervalos de confianza. Entre los habitantes locales, el 26% (95%C…","author":[{"dropping-particle":"de","family":"Oliveira","given":"Beatriz Fátima Alves","non-dropping-particle":"","parse-names":false,"suffix":""},{"dropping-particle":"","family":"Mourão","given":"Dennys de Souza","non-dropping-particle":"","parse-names":false,"suffix":""},{"dropping-particle":"","family":"Gomes","given":"Núbia","non-dropping-particle":"","parse-names":false,"suffix":""},{"dropping-particle":"","family":"Costa","given":"Janaina Mara C","non-dropping-particle":"","parse-names":false,"suffix":""},{"dropping-particle":"de","family":"Souza","given":"Andreia Vasconcelos","non-dropping-particle":"","parse-names":false,"suffix":""},{"dropping-particle":"","family":"Bastos","given":"W","non-dropping-particle":"","parse-names":false,"suffix":""},{"dropping-particle":"","family":"Rodrigues","given":"erley","non-dropping-particle":"","parse-names":false,"suffix":""},{"dropping-particle":"","family":"Fonseca","given":"Marlon de Freitas","non-dropping-particle":"","parse-names":false,"suffix":""},{"dropping-particle":"","family":"Mariani","given":"Carolina Fiorillo","non-dropping-particle":"","parse-names":false,"suffix":""},{"dropping-particle":"","family":"Abbad","given":"Guilherme","non-dropping-particle":"","parse-names":false,"suffix":""},{"dropping-particle":"","family":"Hacon","given":"S","non-dropping-particle":"","parse-names":false,"suffix":""},{"dropping-particle":"","family":"S.","given":"ra","non-dropping-particle":"","parse-names":false,"suffix":""}],"container-title":"Cad Saude Publica","id":"ITEM-1","issue":"8","issued":{"date-parts":[["2013"]]},"language":"pt","page":"1617-1630","title":"Prevalência de hipertensão arterial em comunidades ribeirinhas do Rio Madeira, Amazônia Ocidental Brasileira","type":"article-journal","volume":"29"},"uris":["http://www.mendeley.com/documents/?uuid=985729f9-f691-4624-b2b0-2e8b844ebcb1"]}],"mendeley":{"formattedCitation":"&lt;sup&gt;27&lt;/sup&gt;","plainTextFormattedCitation":"27","previouslyFormattedCitation":"&lt;sup&gt;27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27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470BF27"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2012</w:t>
            </w:r>
          </w:p>
        </w:tc>
        <w:tc>
          <w:tcPr>
            <w:tcW w:w="598" w:type="pct"/>
            <w:tcBorders>
              <w:top w:val="nil"/>
              <w:left w:val="nil"/>
              <w:bottom w:val="single" w:sz="4" w:space="0" w:color="auto"/>
              <w:right w:val="single" w:sz="4" w:space="0" w:color="auto"/>
            </w:tcBorders>
            <w:shd w:val="clear" w:color="auto" w:fill="auto"/>
            <w:noWrap/>
            <w:vAlign w:val="bottom"/>
            <w:hideMark/>
          </w:tcPr>
          <w:p w14:paraId="54621D8C"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2006</w:t>
            </w:r>
          </w:p>
        </w:tc>
        <w:tc>
          <w:tcPr>
            <w:tcW w:w="548" w:type="pct"/>
            <w:tcBorders>
              <w:top w:val="nil"/>
              <w:left w:val="nil"/>
              <w:bottom w:val="single" w:sz="4" w:space="0" w:color="auto"/>
              <w:right w:val="single" w:sz="4" w:space="0" w:color="auto"/>
            </w:tcBorders>
            <w:shd w:val="clear" w:color="auto" w:fill="auto"/>
            <w:noWrap/>
            <w:vAlign w:val="bottom"/>
            <w:hideMark/>
          </w:tcPr>
          <w:p w14:paraId="531470A8"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517</w:t>
            </w:r>
          </w:p>
        </w:tc>
        <w:tc>
          <w:tcPr>
            <w:tcW w:w="399" w:type="pct"/>
            <w:tcBorders>
              <w:top w:val="nil"/>
              <w:left w:val="nil"/>
              <w:bottom w:val="single" w:sz="4" w:space="0" w:color="auto"/>
              <w:right w:val="single" w:sz="4" w:space="0" w:color="auto"/>
            </w:tcBorders>
            <w:shd w:val="clear" w:color="auto" w:fill="auto"/>
            <w:noWrap/>
            <w:vAlign w:val="bottom"/>
            <w:hideMark/>
          </w:tcPr>
          <w:p w14:paraId="5232ACFB"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0</w:t>
            </w:r>
          </w:p>
        </w:tc>
        <w:tc>
          <w:tcPr>
            <w:tcW w:w="449" w:type="pct"/>
            <w:tcBorders>
              <w:top w:val="nil"/>
              <w:left w:val="nil"/>
              <w:bottom w:val="single" w:sz="4" w:space="0" w:color="auto"/>
              <w:right w:val="single" w:sz="4" w:space="0" w:color="auto"/>
            </w:tcBorders>
            <w:shd w:val="clear" w:color="auto" w:fill="auto"/>
            <w:noWrap/>
            <w:vAlign w:val="bottom"/>
            <w:hideMark/>
          </w:tcPr>
          <w:p w14:paraId="7D22EBC0"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29</w:t>
            </w:r>
          </w:p>
        </w:tc>
        <w:tc>
          <w:tcPr>
            <w:tcW w:w="498" w:type="pct"/>
            <w:tcBorders>
              <w:top w:val="nil"/>
              <w:left w:val="nil"/>
              <w:bottom w:val="single" w:sz="4" w:space="0" w:color="auto"/>
              <w:right w:val="single" w:sz="4" w:space="0" w:color="auto"/>
            </w:tcBorders>
            <w:shd w:val="clear" w:color="auto" w:fill="auto"/>
            <w:noWrap/>
            <w:vAlign w:val="bottom"/>
            <w:hideMark/>
          </w:tcPr>
          <w:p w14:paraId="3FBB2B66"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Community</w:t>
            </w:r>
            <w:proofErr w:type="spellEnd"/>
          </w:p>
        </w:tc>
        <w:tc>
          <w:tcPr>
            <w:tcW w:w="277" w:type="pct"/>
            <w:tcBorders>
              <w:top w:val="nil"/>
              <w:left w:val="nil"/>
              <w:bottom w:val="single" w:sz="4" w:space="0" w:color="auto"/>
              <w:right w:val="single" w:sz="4" w:space="0" w:color="auto"/>
            </w:tcBorders>
            <w:shd w:val="clear" w:color="auto" w:fill="auto"/>
            <w:noWrap/>
            <w:vAlign w:val="bottom"/>
            <w:hideMark/>
          </w:tcPr>
          <w:p w14:paraId="0A7CAB45"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Yes</w:t>
            </w:r>
          </w:p>
        </w:tc>
      </w:tr>
      <w:tr w:rsidR="00665066" w:rsidRPr="009E0769" w14:paraId="1400E04E"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8B8EFB2"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Brazil</w:t>
            </w:r>
            <w:proofErr w:type="spellEnd"/>
          </w:p>
        </w:tc>
        <w:tc>
          <w:tcPr>
            <w:tcW w:w="1053" w:type="pct"/>
            <w:tcBorders>
              <w:top w:val="nil"/>
              <w:left w:val="nil"/>
              <w:bottom w:val="single" w:sz="4" w:space="0" w:color="auto"/>
              <w:right w:val="single" w:sz="4" w:space="0" w:color="auto"/>
            </w:tcBorders>
            <w:shd w:val="clear" w:color="auto" w:fill="auto"/>
            <w:noWrap/>
            <w:vAlign w:val="bottom"/>
            <w:hideMark/>
          </w:tcPr>
          <w:p w14:paraId="29D04FEA" w14:textId="77777777" w:rsidR="00665066" w:rsidRPr="009E0769" w:rsidRDefault="00665066" w:rsidP="0054001C">
            <w:pPr>
              <w:spacing w:after="0" w:line="240" w:lineRule="auto"/>
              <w:rPr>
                <w:rFonts w:ascii="Arial" w:eastAsia="Times New Roman" w:hAnsi="Arial" w:cs="Arial"/>
                <w:color w:val="000000"/>
                <w:sz w:val="16"/>
                <w:szCs w:val="16"/>
                <w:lang w:eastAsia="en-GB"/>
              </w:rPr>
            </w:pPr>
            <w:proofErr w:type="spellStart"/>
            <w:r w:rsidRPr="009E0769">
              <w:rPr>
                <w:rFonts w:ascii="Arial" w:eastAsia="Times New Roman" w:hAnsi="Arial" w:cs="Arial"/>
                <w:color w:val="000000"/>
                <w:sz w:val="16"/>
                <w:szCs w:val="16"/>
                <w:lang w:val="es-PE" w:eastAsia="en-GB"/>
              </w:rPr>
              <w:t>Venturini</w:t>
            </w:r>
            <w:proofErr w:type="spellEnd"/>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{"citationItems":[{"id":"ITEM-1","itemData":{"abstract":"OBJETIVO: Determinar a prevalência de obesidade associada ao consumo de macronutrientes, às alterações do perfil lipídico, à glicemia e à prática de atividade física em idosos. MÉTODOS: Foi realizado estudo transversal com 304 idosos do município de Porto Alegre, RS, Brasil. Medidas antropométricas de peso e altura foram utilizadas para o cálculo do índice de massa corporal (IMC) e foram analisados o perfil lipídico, a glicemia, a ingestão diária de macronutrientes e a prática de atividade física. RESULTADOS: A prevalência de obesidade foi de 30,6%, sofrendo redução com o aumento da idade. As idosas obesas apresentaram maior frequência de hipertrigliceridemia, cujos valores aumentaram conforme o aumento do IMC. Nesse grupo, a prática de atividade física foi menor. Entre os homens, houve maior consumo de proteína na dieta. CONCLUSÃO: Os resultados mostraram que a obesidade é um importante problema de saúde na Região Sul do Brasil, sofrendo influência de fatores socioculturais e econômicos que prejudicam a manutenção de uma alimentação saudável. Políticas públicas devem ser direcionadas a fim de controlar esse problema, já que a obesidade é um fator limitante para a longevidade. OBJECTIVE: To determine the prevalence of obesity in elderly adults associated with macronutrient consumption, lipid profile, blood glucose and physical activity. METHODS: A cross-sectional-study was made with 304 elderly patients from Porto Alegre, State of Rio Grande do Sul, Brazil. Anthropometric measures of weight and height were used to calculate body mass index (BMI), and lipid profile, blood glucose, daily intake of nutrients, and physical activity were analyzed. RESULTS: The prevalence of obesity was 30.6%, decreasing with increased age. Obese women had higher frequency of hypertriglyceridemia and these values increased with increasing BMI. In this group, physical activity was lower. Among men, there was higher intake of dietary protein. CONCLUSION: The results show that obesity is an important health problem in Southern Brazil, being influenced by socio-cultural and economic factors that make it difficult to keep a healthy diet. Public policies should be adopted to control that problem, since obesity is a limiting factor for longevity.","author":[{"dropping-particle":"","family":"Venturini","given":"Carina Duarte","non-dropping-particle":"","parse-names":false,"suffix":""},{"dropping-particle":"","family":"Engroff","given":"Paula","non-dropping-particle":"","parse-names":false,"suffix":""},{"dropping-particle":"","family":"Gomes","given":"Irenio","non-dropping-particle":"","parse-names":false,"suffix":""},{"dropping-particle":"","family":"Carli","given":"Geraldo Attilio","non-dropping-particle":"De","parse-names":false,"suffix":""}],"container-title":"Rev. bras. geriatr. gerontol","id":"ITEM-1","issue":"3","issued":{"date-parts":[["2013"]]},"language":"pt","page":"591-601","title":"Prevalência de obesidade associada à ingestão calórica, glicemia e perfil lipídico em uma amostra populacional de idosos do Sul do Brasil","type":"article-journal","volume":"16"},"uris":["http://www.mendeley.com/documents/?uuid=9beadfad-6b79-4282-ab4b-0ba4272a4055"]}],"mendeley":{"formattedCitation":"&lt;sup&gt;28&lt;/sup&gt;","plainTextFormattedCitation":"28","previouslyFormattedCitation":"&lt;sup&gt;28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28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7968C1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25891E2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48" w:type="pct"/>
            <w:tcBorders>
              <w:top w:val="nil"/>
              <w:left w:val="nil"/>
              <w:bottom w:val="single" w:sz="4" w:space="0" w:color="auto"/>
              <w:right w:val="single" w:sz="4" w:space="0" w:color="auto"/>
            </w:tcBorders>
            <w:shd w:val="clear" w:color="auto" w:fill="auto"/>
            <w:noWrap/>
            <w:vAlign w:val="bottom"/>
            <w:hideMark/>
          </w:tcPr>
          <w:p w14:paraId="1856A92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304</w:t>
            </w:r>
          </w:p>
        </w:tc>
        <w:tc>
          <w:tcPr>
            <w:tcW w:w="399" w:type="pct"/>
            <w:tcBorders>
              <w:top w:val="nil"/>
              <w:left w:val="nil"/>
              <w:bottom w:val="single" w:sz="4" w:space="0" w:color="auto"/>
              <w:right w:val="single" w:sz="4" w:space="0" w:color="auto"/>
            </w:tcBorders>
            <w:shd w:val="clear" w:color="auto" w:fill="auto"/>
            <w:noWrap/>
            <w:vAlign w:val="bottom"/>
            <w:hideMark/>
          </w:tcPr>
          <w:p w14:paraId="4FA498C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28.6</w:t>
            </w:r>
          </w:p>
        </w:tc>
        <w:tc>
          <w:tcPr>
            <w:tcW w:w="449" w:type="pct"/>
            <w:tcBorders>
              <w:top w:val="nil"/>
              <w:left w:val="nil"/>
              <w:bottom w:val="single" w:sz="4" w:space="0" w:color="auto"/>
              <w:right w:val="single" w:sz="4" w:space="0" w:color="auto"/>
            </w:tcBorders>
            <w:shd w:val="clear" w:color="auto" w:fill="auto"/>
            <w:noWrap/>
            <w:vAlign w:val="bottom"/>
            <w:hideMark/>
          </w:tcPr>
          <w:p w14:paraId="7886196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4B89821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54FDDE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32854F9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0A9CDB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0D45432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Pavan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{"citationItems":[{"id":"ITEM-1","itemData":{"abstract":"OBJECTIVE: To confirm that westernization of dietary habits represents a stimulus for the expression of cardiovascular risk., DESIGN: Three representative age- and sex-matched samples of general populations of three continents were compared cross-sectionally by analysis of variance., PARTICIPANTS: In total 1110 subjects aged 22-89 years, divided into three groups (370 from Tanzania and Uganda, 370 from the Amazonian region of Brazil, and 370 from northern Italy; 111 men and 259 women in each group)., RESULTS: The blood pressure of Africans eating a low-salt fish and vegetable' diet was lower than those of Brazilians, whose diet was based on cereals and meat, and highly urbanized Italians. The systolic blood pressure was correlated to the body mass index for all three populations, but with age only for the Brazilians and Italians. The total cholesterol level and body mass index, both of which are low among Africans, increased progressively with increasing economic level., CONCLUSIONS: Transition from a rural to an urbanized lifestyle is accompanied by a rise in the main cardiovascular risk factors; the present data also show that environmental rather than racial factors have a crucial impact on the risk pattern of populations.","author":[{"dropping-particle":"","family":"Pavan","given":"L","non-dropping-particle":"","parse-names":false,"suffix":""},{"dropping-particle":"","family":"Casiglia","given":"E","non-dropping-particle":"","parse-names":false,"suffix":""},{"dropping-particle":"","family":"Pauletto","given":"P","non-dropping-particle":"","parse-names":false,"suffix":""},{"dropping-particle":"","family":"Batista","given":"S L","non-dropping-particle":"","parse-names":false,"suffix":""},{"dropping-particle":"","family":"Ginocchio","given":"G","non-dropping-particle":"","parse-names":false,"suffix":""},{"dropping-particle":"","family":"Kwankam","given":"M M","non-dropping-particle":"","parse-names":false,"suffix":""},{"dropping-particle":"","family":"Biasin","given":"R","non-dropping-particle":"","parse-names":false,"suffix":""},{"dropping-particle":"","family":"Mazza","given":"A","non-dropping-particle":"","parse-names":false,"suffix":""},{"dropping-particle":"","family":"Puato","given":"M","non-dropping-particle":"","parse-names":false,"suffix":""},{"dropping-particle":"","family":"Russo","given":"E","non-dropping-particle":"","parse-names":false,"suffix":""},{"dropping-particle":"","family":"Pessina","given":"A C","non-dropping-particle":"","parse-names":false,"suffix":""}],"container-title":"Journal of hypertension","id":"ITEM-1","issue":"10","issued":{"date-parts":[["1997"]]},"page":"1083-1090","title":"Blood pressure, serum cholesterol and nutritional state in Tanzania and in the Amazon: comparison with an Italian population","type":"article-journal","volume":"15"},"uris":["http://www.mendeley.com/documents/?uuid=9fc4d891-2e55-4857-903d-5c4372fdc67d"]}],"mendeley":{"formattedCitation":"&lt;sup&gt;29&lt;/sup&gt;","plainTextFormattedCitation":"29","previouslyFormattedCitation":"&lt;sup&gt;29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29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52E74C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1997</w:t>
            </w:r>
          </w:p>
        </w:tc>
        <w:tc>
          <w:tcPr>
            <w:tcW w:w="598" w:type="pct"/>
            <w:tcBorders>
              <w:top w:val="nil"/>
              <w:left w:val="nil"/>
              <w:bottom w:val="single" w:sz="4" w:space="0" w:color="auto"/>
              <w:right w:val="single" w:sz="4" w:space="0" w:color="auto"/>
            </w:tcBorders>
            <w:shd w:val="clear" w:color="auto" w:fill="auto"/>
            <w:noWrap/>
            <w:vAlign w:val="bottom"/>
            <w:hideMark/>
          </w:tcPr>
          <w:p w14:paraId="5241F4E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475E245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370</w:t>
            </w:r>
          </w:p>
        </w:tc>
        <w:tc>
          <w:tcPr>
            <w:tcW w:w="399" w:type="pct"/>
            <w:tcBorders>
              <w:top w:val="nil"/>
              <w:left w:val="nil"/>
              <w:bottom w:val="single" w:sz="4" w:space="0" w:color="auto"/>
              <w:right w:val="single" w:sz="4" w:space="0" w:color="auto"/>
            </w:tcBorders>
            <w:shd w:val="clear" w:color="auto" w:fill="auto"/>
            <w:noWrap/>
            <w:vAlign w:val="bottom"/>
            <w:hideMark/>
          </w:tcPr>
          <w:p w14:paraId="01A5FA7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5786C30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67F3EF6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434394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24949F95"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F4B8A6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5008975C"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Roriz-Cruz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{"citationItems":[{"id":"ITEM-1","itemData":{"ISSN":"1558-1497","abstract":"BACKGROUND: Metabolic syndrome (Met.S) consists of a conglomeration of obesity, hypertension, glucose intolerance, and dislipidemia. Frontal-subcortical geriatric syndrome (FSCS) is caused by ischemic disruption of the frontal-subcortical network. It is unknown if Met.S is associated with FSCS., METHODS: We evaluated 422 community-dwelling elderly (&gt; or =60) in Brazil. FSCS was defined as the presence of at least one frontal release sign (grasping, palmomental, snout, or glabellar) plus coexistence of &gt; or =3 the following criteria: (1) cognitive impairment, (2) late-onset depression, (3) neuromotor dysfunction, and (4) urgency incontinence. All values were adjusted to age and gender., RESULTS: Met.S was present in 39.3% of all subjects. Cases without any of the FSCS components represented 37.2% ('successful neuroaging' group). People with 1-3 of the FSCS components ('borderline pathological neuroaging' group) were majority (52.6%), whereas those with 4-5 of these components (FSCS group) were minority (10.2%). Met.S was significantly associated with FSCS (OR=5.9; CI: 1.5-23.4) and cognitive impairment (OR=2.2; CI: 1.1-4.6) among stroke-free subjects. Number of Met.S components explained 30.7% of the variance on the number of FSCS criteria (P&lt;0.001). If Met.S were theoretically removed from this population, prevalence of FSCS would decline by 31.6% and that of cognitive impairment by 21.4%., CONCLUSIONS: Met.S was significantly associated with a 5.9 and 2.2 times higher chance of FSCS and cognitive impairment, respectively. Met.S might be a major determinant of 'successful' or 'pathological' neuroaging in western societies.","author":[{"dropping-particle":"","family":"Roriz-Cruz","given":"Matheus","non-dropping-particle":"","parse-names":false,"suffix":""},{"dropping-particle":"","family":"Rosset","given":"Idiane","non-dropping-particle":"","parse-names":false,"suffix":""},{"dropping-particle":"","family":"Wada","given":"Taizo","non-dropping-particle":"","parse-names":false,"suffix":""},{"dropping-particle":"","family":"Sakagami","given":"Teiji","non-dropping-particle":"","parse-names":false,"suffix":""},{"dropping-particle":"","family":"Ishine","given":"Masayuki","non-dropping-particle":"","parse-names":false,"suffix":""},{"dropping-particle":"","family":"Sa Roriz-Filho","given":"Jarbas","non-dropping-particle":"De","parse-names":false,"suffix":""},{"dropping-particle":"","family":"Cruz","given":"Thadeu R S","non-dropping-particle":"","parse-names":false,"suffix":""},{"dropping-particle":"","family":"Hosseinkhani","given":"Mohsen","non-dropping-particle":"","parse-names":false,"suffix":""},{"dropping-particle":"","family":"Rodrigues","given":"Rosalina P","non-dropping-particle":"","parse-names":false,"suffix":""},{"dropping-particle":"","family":"Sudoh","given":"Shinji","non-dropping-particle":"","parse-names":false,"suffix":""},{"dropping-particle":"","family":"Arai","given":"Hidenori","non-dropping-particle":"","parse-names":false,"suffix":""},{"dropping-particle":"","family":"Wakatsuki","given":"Yoshio","non-dropping-particle":"","parse-names":false,"suffix":""},{"dropping-particle":"","family":"Souza","given":"Antonio C","non-dropping-particle":"","parse-names":false,"suffix":""},{"dropping-particle":"","family":"Nakagawa","given":"Masanori","non-dropping-particle":"","parse-names":false,"suffix":""},{"dropping-particle":"","family":"Kita","given":"Toru","non-dropping-particle":"","parse-names":false,"suffix":""},{"dropping-particle":"","family":"Matsubayashi","given":"Kozo","non-dropping-particle":"","parse-names":false,"suffix":""}],"container-title":"Neurobiology of aging","id":"ITEM-1","issue":"11","issued":{"date-parts":[["2007"]]},"page":"1723-1736","title":"Cognitive impairment and frontal-subcortical geriatric syndrome are associated with metabolic syndrome in a stroke-free population","type":"article-journal","volume":"28"},"uris":["http://www.mendeley.com/documents/?uuid=ba683706-10db-49b8-b6ab-14cbeb8959d0"]}],"mendeley":{"formattedCitation":"&lt;sup&gt;30&lt;/sup&gt;","plainTextFormattedCitation":"30","previouslyFormattedCitation":"&lt;sup&gt;30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30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4A3826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3FCDBAE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5287E68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422</w:t>
            </w:r>
          </w:p>
        </w:tc>
        <w:tc>
          <w:tcPr>
            <w:tcW w:w="399" w:type="pct"/>
            <w:tcBorders>
              <w:top w:val="nil"/>
              <w:left w:val="nil"/>
              <w:bottom w:val="single" w:sz="4" w:space="0" w:color="auto"/>
              <w:right w:val="single" w:sz="4" w:space="0" w:color="auto"/>
            </w:tcBorders>
            <w:shd w:val="clear" w:color="auto" w:fill="auto"/>
            <w:noWrap/>
            <w:vAlign w:val="bottom"/>
            <w:hideMark/>
          </w:tcPr>
          <w:p w14:paraId="42A425E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35.2</w:t>
            </w:r>
          </w:p>
        </w:tc>
        <w:tc>
          <w:tcPr>
            <w:tcW w:w="449" w:type="pct"/>
            <w:tcBorders>
              <w:top w:val="nil"/>
              <w:left w:val="nil"/>
              <w:bottom w:val="single" w:sz="4" w:space="0" w:color="auto"/>
              <w:right w:val="single" w:sz="4" w:space="0" w:color="auto"/>
            </w:tcBorders>
            <w:shd w:val="clear" w:color="auto" w:fill="auto"/>
            <w:noWrap/>
            <w:vAlign w:val="bottom"/>
            <w:hideMark/>
          </w:tcPr>
          <w:p w14:paraId="2E50079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68.3</w:t>
            </w:r>
          </w:p>
        </w:tc>
        <w:tc>
          <w:tcPr>
            <w:tcW w:w="498" w:type="pct"/>
            <w:tcBorders>
              <w:top w:val="nil"/>
              <w:left w:val="nil"/>
              <w:bottom w:val="single" w:sz="4" w:space="0" w:color="auto"/>
              <w:right w:val="single" w:sz="4" w:space="0" w:color="auto"/>
            </w:tcBorders>
            <w:shd w:val="clear" w:color="auto" w:fill="auto"/>
            <w:noWrap/>
            <w:vAlign w:val="bottom"/>
            <w:hideMark/>
          </w:tcPr>
          <w:p w14:paraId="4F3FBD1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B45ECA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26AF7D55"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4BAD39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3E545E7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Neumann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{"citationItems":[{"id":"ITEM-1","itemData":{"ISSN":"1020-4989","abstract":"OBJECTIVE: To identify the dietary patterns of individuals living in the urban area of Sao Paulo, Brazil, and to investigate the association between these patterns and biological, sociodemographic, and behavioral risk factors for cardiovascular disease (CVD)., METHOD: A cross-sectional epidemiological survey was carried out with a population-based probabilistic sample. The 2,100 participants of both sexes were from 15 to 59 years of age. A sociodemographic, behavioral, clinical, and dietary survey was applied to a systematic subsample of 700 people. Dietary patterns were determined using factor analysis based on a food frequency questionnaire. Covariance analysis was used to determine the associations between dietary patterns and sociodemographic and behavioral variables, and multilinear regression to determine the association between dietary patterns and biological factors., RESULTS: Four patterns were identified: (1) the \"cafeteria\" pattern (simple sugars and saturated fat), associated with areas of medium sociodemographic and environmental homogeneity, high school and university-level schooling, and alcohol consumption; positively associated with systolic (SAP) and diastolic (DAP) arterial pressure, body mass index (BMI) and waist-to-hip ratio (WHR); and negatively associated with HDL. (2) The \"traditional\" pattern (including cereals, beans, and infusion beverages) was predominant among women and in the age group over 50 years;associated with alcohol consumption, higher income, and areas of medium homogeneity; positively associated with glucose levels and BMI; and negatively associated with triglycerides and WHR. (3) The \"modern\" pattern (low intake of fat and simple sugars; fish) was predominant among individuals from high homogeneity areas, with higher income and university schooling;negatively associated with DAP, total cholesterol, glucose levels, and LDL. (4) The \"atherogenic\" pattern (saturated fat, addition of salt to cooked foods and alcohol consumption) was predominant among males; associated with elementary schooling, smoking, alcohol consumption, and areas of medium and low homogeneity; and positively associated with total cholesterol, triglycerides, glucose levels, BMI, and WHR., CONCLUSIONS: The results indicate an unfavorable trend in the dietary patterns of this population, since three of the four patterns identified (cafeteria, traditional, and atherogenic) are significantly associated with risk factors for CVD.","author":[{"dropping-particle":"","family":"Neumann","given":"Africa Isabel Cruz Perez","non-dropping-particle":"","parse-names":false,"suffix":""},{"dropping-particle":"","family":"Martins","given":"Ignez Salas","non-dropping-particle":"","parse-names":false,"suffix":""},{"dropping-particle":"","family":"Marcopito","given":"Luiz Francisco","non-dropping-particle":"","parse-names":false,"suffix":""},{"dropping-particle":"","family":"Araujo","given":"Eutalia Aparecida C","non-dropping-particle":"","parse-names":false,"suffix":""}],"container-title":"Padroes alimentares associados a fatores de risco para doencas cardiovasculares entre residentes de um municipio brasileiro.","id":"ITEM-1","issue":"5","issued":{"date-parts":[["2007"]]},"page":"329-339","title":"[Dietary patterns associated with risk factors for cardiovascular disease in a Brazilian city]","type":"article-journal","volume":"22"},"uris":["http://www.mendeley.com/documents/?uuid=90c1f096-5cd3-4641-bd35-2938e6415e72"]}],"mendeley":{"formattedCitation":"&lt;sup&gt;31&lt;/sup&gt;","plainTextFormattedCitation":"31","previouslyFormattedCitation":"&lt;sup&gt;31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31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5B8B29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59A8A0B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2001</w:t>
            </w:r>
          </w:p>
        </w:tc>
        <w:tc>
          <w:tcPr>
            <w:tcW w:w="548" w:type="pct"/>
            <w:tcBorders>
              <w:top w:val="nil"/>
              <w:left w:val="nil"/>
              <w:bottom w:val="single" w:sz="4" w:space="0" w:color="auto"/>
              <w:right w:val="single" w:sz="4" w:space="0" w:color="auto"/>
            </w:tcBorders>
            <w:shd w:val="clear" w:color="auto" w:fill="auto"/>
            <w:noWrap/>
            <w:vAlign w:val="bottom"/>
            <w:hideMark/>
          </w:tcPr>
          <w:p w14:paraId="3529DC4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2277</w:t>
            </w:r>
          </w:p>
        </w:tc>
        <w:tc>
          <w:tcPr>
            <w:tcW w:w="399" w:type="pct"/>
            <w:tcBorders>
              <w:top w:val="nil"/>
              <w:left w:val="nil"/>
              <w:bottom w:val="single" w:sz="4" w:space="0" w:color="auto"/>
              <w:right w:val="single" w:sz="4" w:space="0" w:color="auto"/>
            </w:tcBorders>
            <w:shd w:val="clear" w:color="auto" w:fill="auto"/>
            <w:noWrap/>
            <w:vAlign w:val="bottom"/>
            <w:hideMark/>
          </w:tcPr>
          <w:p w14:paraId="21F557A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45.7</w:t>
            </w:r>
          </w:p>
        </w:tc>
        <w:tc>
          <w:tcPr>
            <w:tcW w:w="449" w:type="pct"/>
            <w:tcBorders>
              <w:top w:val="nil"/>
              <w:left w:val="nil"/>
              <w:bottom w:val="single" w:sz="4" w:space="0" w:color="auto"/>
              <w:right w:val="single" w:sz="4" w:space="0" w:color="auto"/>
            </w:tcBorders>
            <w:shd w:val="clear" w:color="auto" w:fill="auto"/>
            <w:noWrap/>
            <w:vAlign w:val="bottom"/>
            <w:hideMark/>
          </w:tcPr>
          <w:p w14:paraId="5C3182A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26E35B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90F2FF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2F54E05"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567E99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6E7A0DAA"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Nunes Filho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{"citationItems":[{"id":"ITEM-1","itemData":{"abstract":"OBJETIVO: Estimar a prevalência de fatores de risco cardiovasculares na população adulta do município de Luzerna, Santa Catarina. MÉTODOS: Estudo transversal com adultos de 20 a 59 anos (n = 411), de ambos os sexos. Foi estimada a prevalência de hipertensão arterial sistêmica, diabetes, dislipidemia, obesidade, circunferência abdominal alterada e tabagismo. Realizou-se a distribuição de freqüência simples das variáveis de interesse e teste de associação do Qui-quadrado. RESULTADOS: A taxa de resposta foi igual a 85,9 por cento. As seguintes prevalências foram encontradas: hipertensão arterial sistêmica: 14,7 por cento; diabetes: 2,3 por cento; dislipidemia: 18,7 por cento; obesidade: 15,6 por cento; circunferência abdominal alterada: 24,1 por cento; e tabagismo: 15,6 por cento. Verificamos que 52,4 por cento dos indivíduos não possuíam nenhum dos fatores de risco; 22,4 por cento apresentavam um fator e 13,6 por cento, 6,8 por cento, e 4,9 por cento apresentavam dois, três e quatro ou mais fatores associados, respectivamente. CONCLUSÃO: A população analisada apresentou prevalências baixas de hipertensão, diabetes e menor agrupamento de fatores de risco em um mesmo indivíduo, quando comparada a outros dados relatados na literatura. OBJECTIVES: To estimate the prevalence of cardiovascular risk factors in the adult population of Luzerna, in the state of Santa Catarina. METHODS: A cross-sectional study with adults of both genders aged 20 to 59 years (n = 411). The prevalence of hypertension, diabetes, dyslipidemia, obesity, increased waist circumference, and smoking was estimated. Study variables were checked for frequency distribution, and a chi-square test for association was performed. RESULTS: The response rate was 85.9 percent. The following prevalences were found: hypertension: 14.7 percent; diabetes: 2.3 percent; dyslipidemia: 18.7 percent; obesity: 15.6 percent; increased waist circumference: 24.1 percent; and smoking: 15.6 percent. A total of 52.4 percent of the subjects had none of the risk factors; 22.4 percent had one risk factor, and 13.6 percent, 6.8 percent, and 4.9 percent had two, three, and four or more associated risk factors, respectively. CONCLUSION: The study sample showed low prevalence of hypertension and diabetes and less clustering of risk factors in the same individual, as compared with other data reported in the literature.","author":[{"dropping-particle":"","family":"Nunes Filho","given":"João Rogério","non-dropping-particle":"","parse-names":false,"suffix":""},{"dropping-particle":"","family":"Debastiani","given":"Daniela","non-dropping-particle":"","parse-names":false,"suffix":""},{"dropping-particle":"","family":"Nunes","given":"Aless","non-dropping-particle":"","parse-names":false,"suffix":""},{"dropping-particle":"","family":"Daros","given":"ra","non-dropping-particle":"","parse-names":false,"suffix":""},{"dropping-particle":"","family":"Peres","given":"Karen Glazer","non-dropping-particle":"","parse-names":false,"suffix":""}],"container-title":"Arq Bras Cardiol","id":"ITEM-1","issue":"5","issued":{"date-parts":[["2007"]]},"language":"en","page":"319-324","title":"Prevalência de Fatores de risco cardiovascular em adultos de Luzerna, Santa Catarina, 2006","type":"article-journal","volume":"89"},"uris":["http://www.mendeley.com/documents/?uuid=ad54531e-d3a1-4ae3-bd08-b4d45d046f0f"]}],"mendeley":{"formattedCitation":"&lt;sup&gt;32&lt;/sup&gt;","plainTextFormattedCitation":"32","previouslyFormattedCitation":"&lt;sup&gt;32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32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B6B2698"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38B48E87"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2006</w:t>
            </w:r>
          </w:p>
        </w:tc>
        <w:tc>
          <w:tcPr>
            <w:tcW w:w="548" w:type="pct"/>
            <w:tcBorders>
              <w:top w:val="nil"/>
              <w:left w:val="nil"/>
              <w:bottom w:val="single" w:sz="4" w:space="0" w:color="auto"/>
              <w:right w:val="single" w:sz="4" w:space="0" w:color="auto"/>
            </w:tcBorders>
            <w:shd w:val="clear" w:color="auto" w:fill="auto"/>
            <w:noWrap/>
            <w:vAlign w:val="bottom"/>
            <w:hideMark/>
          </w:tcPr>
          <w:p w14:paraId="01CCADCF"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353</w:t>
            </w:r>
          </w:p>
        </w:tc>
        <w:tc>
          <w:tcPr>
            <w:tcW w:w="399" w:type="pct"/>
            <w:tcBorders>
              <w:top w:val="nil"/>
              <w:left w:val="nil"/>
              <w:bottom w:val="single" w:sz="4" w:space="0" w:color="auto"/>
              <w:right w:val="single" w:sz="4" w:space="0" w:color="auto"/>
            </w:tcBorders>
            <w:shd w:val="clear" w:color="auto" w:fill="auto"/>
            <w:noWrap/>
            <w:vAlign w:val="bottom"/>
            <w:hideMark/>
          </w:tcPr>
          <w:p w14:paraId="24348CBB"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49.3</w:t>
            </w:r>
          </w:p>
        </w:tc>
        <w:tc>
          <w:tcPr>
            <w:tcW w:w="449" w:type="pct"/>
            <w:tcBorders>
              <w:top w:val="nil"/>
              <w:left w:val="nil"/>
              <w:bottom w:val="single" w:sz="4" w:space="0" w:color="auto"/>
              <w:right w:val="single" w:sz="4" w:space="0" w:color="auto"/>
            </w:tcBorders>
            <w:shd w:val="clear" w:color="auto" w:fill="auto"/>
            <w:noWrap/>
            <w:vAlign w:val="bottom"/>
            <w:hideMark/>
          </w:tcPr>
          <w:p w14:paraId="0F07B410"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40.4</w:t>
            </w:r>
          </w:p>
        </w:tc>
        <w:tc>
          <w:tcPr>
            <w:tcW w:w="498" w:type="pct"/>
            <w:tcBorders>
              <w:top w:val="nil"/>
              <w:left w:val="nil"/>
              <w:bottom w:val="single" w:sz="4" w:space="0" w:color="auto"/>
              <w:right w:val="single" w:sz="4" w:space="0" w:color="auto"/>
            </w:tcBorders>
            <w:shd w:val="clear" w:color="auto" w:fill="auto"/>
            <w:noWrap/>
            <w:vAlign w:val="bottom"/>
            <w:hideMark/>
          </w:tcPr>
          <w:p w14:paraId="359370ED"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Community</w:t>
            </w:r>
            <w:proofErr w:type="spellEnd"/>
          </w:p>
        </w:tc>
        <w:tc>
          <w:tcPr>
            <w:tcW w:w="277" w:type="pct"/>
            <w:tcBorders>
              <w:top w:val="nil"/>
              <w:left w:val="nil"/>
              <w:bottom w:val="single" w:sz="4" w:space="0" w:color="auto"/>
              <w:right w:val="single" w:sz="4" w:space="0" w:color="auto"/>
            </w:tcBorders>
            <w:shd w:val="clear" w:color="auto" w:fill="auto"/>
            <w:noWrap/>
            <w:vAlign w:val="bottom"/>
            <w:hideMark/>
          </w:tcPr>
          <w:p w14:paraId="746006E4"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Yes</w:t>
            </w:r>
          </w:p>
        </w:tc>
      </w:tr>
      <w:tr w:rsidR="00665066" w:rsidRPr="009E0769" w14:paraId="2FAC2296"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7BECC97"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Brazil</w:t>
            </w:r>
            <w:proofErr w:type="spellEnd"/>
          </w:p>
        </w:tc>
        <w:tc>
          <w:tcPr>
            <w:tcW w:w="1053" w:type="pct"/>
            <w:tcBorders>
              <w:top w:val="nil"/>
              <w:left w:val="nil"/>
              <w:bottom w:val="single" w:sz="4" w:space="0" w:color="auto"/>
              <w:right w:val="single" w:sz="4" w:space="0" w:color="auto"/>
            </w:tcBorders>
            <w:shd w:val="clear" w:color="auto" w:fill="auto"/>
            <w:noWrap/>
            <w:vAlign w:val="bottom"/>
            <w:hideMark/>
          </w:tcPr>
          <w:p w14:paraId="2DBB8E3B"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Gimeno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{"citationItems":[{"id":"ITEM-1","itemData":{"ISSN":"0102-311x","abstract":"This study aimed to identify and analyze correlates of dietary patterns in residents of Ribeirão Preto, São Paulo State, Brazil. This was a cross-sectional study including both men and women aged &amp;amp;gt; 30 years (n = 930, weighted sample = 2,197). Factor analysis was applied to identify food consumption patterns, using a semi-quantitative questionnaire. Four patterns were identified: (a) obesogenic: associated with more physical activity, more schooling, and age &amp;lt; 40 years; (b) healthy: associated with female gender, individuals without overweight, older adults, central obesity, more physical activity, and higher socioeconomic status; (c) mixed: without overweight, female gender, and younger adults; and (d) popular: associated with absence of hypercholesterolemia and lower family income. The results highlight the need to encourage eating healthy foods in order to prevent chronic non-communicable diseases. O objetivo deste estudo foi descrever e identificar fatores associados aos padrões de consumo de alimentos de residentes no Município de Ribeirão Preto, São Paulo, Brasil. Trata-se de estudo transversal realizado entre sujeitos de ambos os sexos e com idade &amp;amp;gt; 30 anos (n = 930; n ponderado = 2.197). Empregou-se a análise fatorial na identificação dos padrões de consumo obtidos por questionário semiquantitativo. Identificaram-se quatro padrões: (a) obesogênico: mais frequente entre os mais ativos, com maior escolaridade e idade &amp;lt; 40 anos; (b) saudável: mais frequente entre mulheres, naqueles sem excesso de peso, mais velhos, com obesidade central, mais ativos e com melhor condição socioeconômica; (c) misto: mais prevalente entre os sem excesso de peso, entre mulheres e entre os mais jovens; (d) popular: mais frequente entre os sem hipercolesterolemia e com menor renda familiar. Esses resultados evidenciam a necessidade de estimular a ingestão de alimentos saudáveis de forma a prevenir o aparecimento de doenças crônicas.","author":[{"dropping-particle":"","family":"Gimeno","given":"Suely Godoy Agostinho","non-dropping-particle":"","parse-names":false,"suffix":""},{"dropping-particle":"","family":"Mondini","given":"Lenise","non-dropping-particle":"","parse-names":false,"suffix":""},{"dropping-particle":"de","family":"Moraes","given":"Suzana Alves","non-dropping-particle":"","parse-names":false,"suffix":""},{"dropping-particle":"de","family":"Freitas","given":"Isabel Cristina Martins","non-dropping-particle":"","parse-names":false,"suffix":""}],"container-title":"Cad Saude Publica","id":"ITEM-1","issue":"3","issued":{"date-parts":[["2011"]]},"language":"pt","page":"533-545","title":"Padrões de consumo de alimentos e fatores associados em adultos de Ribeirão Preto, São Paulo, Brasil: Projeto OBEDIARP","type":"article-journal","volume":"27"},"uris":["http://www.mendeley.com/documents/?uuid=72225286-17cd-4825-9dd9-8c62b4211484"]}],"mendeley":{"formattedCitation":"&lt;sup&gt;33&lt;/sup&gt;","plainTextFormattedCitation":"33","previouslyFormattedCitation":"&lt;sup&gt;33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33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F4C2AF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78188AF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48" w:type="pct"/>
            <w:tcBorders>
              <w:top w:val="nil"/>
              <w:left w:val="nil"/>
              <w:bottom w:val="single" w:sz="4" w:space="0" w:color="auto"/>
              <w:right w:val="single" w:sz="4" w:space="0" w:color="auto"/>
            </w:tcBorders>
            <w:shd w:val="clear" w:color="auto" w:fill="auto"/>
            <w:noWrap/>
            <w:vAlign w:val="bottom"/>
            <w:hideMark/>
          </w:tcPr>
          <w:p w14:paraId="6098D62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930</w:t>
            </w:r>
          </w:p>
        </w:tc>
        <w:tc>
          <w:tcPr>
            <w:tcW w:w="399" w:type="pct"/>
            <w:tcBorders>
              <w:top w:val="nil"/>
              <w:left w:val="nil"/>
              <w:bottom w:val="single" w:sz="4" w:space="0" w:color="auto"/>
              <w:right w:val="single" w:sz="4" w:space="0" w:color="auto"/>
            </w:tcBorders>
            <w:shd w:val="clear" w:color="auto" w:fill="auto"/>
            <w:noWrap/>
            <w:vAlign w:val="bottom"/>
            <w:hideMark/>
          </w:tcPr>
          <w:p w14:paraId="625CE36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208C873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42.42</w:t>
            </w:r>
          </w:p>
        </w:tc>
        <w:tc>
          <w:tcPr>
            <w:tcW w:w="498" w:type="pct"/>
            <w:tcBorders>
              <w:top w:val="nil"/>
              <w:left w:val="nil"/>
              <w:bottom w:val="single" w:sz="4" w:space="0" w:color="auto"/>
              <w:right w:val="single" w:sz="4" w:space="0" w:color="auto"/>
            </w:tcBorders>
            <w:shd w:val="clear" w:color="auto" w:fill="auto"/>
            <w:noWrap/>
            <w:vAlign w:val="bottom"/>
            <w:hideMark/>
          </w:tcPr>
          <w:p w14:paraId="4A2CF81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A3573E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948C16E"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9B79AC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13B9864F" w14:textId="77777777" w:rsidR="00665066" w:rsidRPr="009E0769" w:rsidRDefault="00665066" w:rsidP="0054001C">
            <w:pPr>
              <w:spacing w:after="0" w:line="240" w:lineRule="auto"/>
              <w:rPr>
                <w:rFonts w:ascii="Arial" w:eastAsia="Times New Roman" w:hAnsi="Arial" w:cs="Arial"/>
                <w:color w:val="000000"/>
                <w:sz w:val="16"/>
                <w:szCs w:val="16"/>
                <w:highlight w:val="yellow"/>
                <w:lang w:eastAsia="en-GB"/>
              </w:rPr>
            </w:pPr>
            <w:r w:rsidRPr="009E0769">
              <w:rPr>
                <w:rFonts w:ascii="Arial" w:eastAsia="Times New Roman" w:hAnsi="Arial" w:cs="Arial"/>
                <w:color w:val="000000"/>
                <w:sz w:val="16"/>
                <w:szCs w:val="16"/>
                <w:lang w:eastAsia="en-GB"/>
              </w:rPr>
              <w:t>Moraes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{"citationItems":[{"id":"ITEM-1","itemData":{"abstract":"OBJETIVO: Identificar a prevalência de dislipidemia e fatores associados em adultos residentes em Ribeirão Preto, SP, em 2007. MATERIAIS E MÉTODOS: Estudo epidemiológico transversal de base populacional, com amostragem desenvolvida em três estágios. A variabilidade introduzida na terceira fração foi corrigida pela atribuição de pesos, originando amostra ponderada de 2.471 participantes. Prevalências da dislipidemia, definida como alteração de pelo menos uma, entre quatro frações lipídicas, foram estimadas em ambos os sexos, segundo variáveis sociodemográficas, comportamentais e relacionadas à saúde. Para identificar fatores associados, utilizou-se a regressão de Poisson, obtendo-se razões de prevalências em modelos uni- e multivariados. Todas as estimativas foram calculadas levando-se em consideração o efeito de desenho amostral. RESULTADOS: Elevada prevalência de dislipidemia foi observada no município (61,9%; IC95%: 58,5%-65,3%). Renda e consumo de fibras, no sexo masculino, e média diária de tempo sentado e consumo de ácidos graxos saturados, no feminino, se mantiveram nos modelos finais, além da idade e dos indicadores de obesidade central que permaneceram consistentemente associados ao desfecho, em ambos os sexos. CONCLUSÕES: Políticas públicas de intervenção direcionadas à adoção de hábitos saudáveis de consumo alimentar, bem como ao controle da obesidade central e do sedentarismo, poderão contribuir para o declínio da prevalência de dislipidemia e, por conseguinte, da morbimortalidade por doenças cardiovasculares no município. OBJECTIVE: To identify the prevalence and correlates of dyslipidemia in adults living in the city of Ribeirão Preto, SP, Brazil, in 2007. MATERIALS AND METHODS: A cross-sectional population-based epidemiological study was carried out using a three-stage cluster sampling. The variability introduced in the third sampling fraction was corrected, resulting in a weighted sample of 2,471 participants. Dyslipidemia prevalence, defined as abnormal values in at least one of four lipid fractions was estimated in both genders, according sociodemographic, behavioral, and health-related variables. To identify correlates, prevalence ratios were estimated using Poisson regression, in crude and adjusted models. All the estimates were calculated taking into account the sampling design effect. RESULTS: High prevalence of dyslipidemia was found (61.9%; CI95%: 58.5%-65.3%). Income and fiber consumption, in males, and sitting time and saturated…","author":[{"dropping-particle":"de","family":"Moraes","given":"Suzana Alves","non-dropping-particle":"","parse-names":false,"suffix":""},{"dropping-particle":"","family":"Checchio","given":"Michele Vantini","non-dropping-particle":"","parse-names":false,"suffix":""},{"dropping-particle":"de","family":"Freitas","given":"Isabel Cristina Martins","non-dropping-particle":"","parse-names":false,"suffix":""}],"container-title":"Arq Bras Endocrinol Metabol","id":"ITEM-1","issue":"9","issued":{"date-parts":[["2013"]]},"language":"pt","page":"691-701","title":"Dislipidemia e fatores associados em adultos residentes em Ribeirão Preto, SP: resultados do Projeto EPIDCV","type":"article-journal","volume":"57"},"uris":["http://www.mendeley.com/documents/?uuid=d469307d-bfd9-4cfd-9f42-5b10256f1c74"]}],"mendeley":{"formattedCitation":"&lt;sup&gt;34&lt;/sup&gt;","plainTextFormattedCitation":"34","previouslyFormattedCitation":"&lt;sup&gt;34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34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F62393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2012</w:t>
            </w:r>
          </w:p>
        </w:tc>
        <w:tc>
          <w:tcPr>
            <w:tcW w:w="598" w:type="pct"/>
            <w:tcBorders>
              <w:top w:val="nil"/>
              <w:left w:val="nil"/>
              <w:bottom w:val="single" w:sz="4" w:space="0" w:color="auto"/>
              <w:right w:val="single" w:sz="4" w:space="0" w:color="auto"/>
            </w:tcBorders>
            <w:shd w:val="clear" w:color="auto" w:fill="auto"/>
            <w:noWrap/>
            <w:vAlign w:val="bottom"/>
            <w:hideMark/>
          </w:tcPr>
          <w:p w14:paraId="063A263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48" w:type="pct"/>
            <w:tcBorders>
              <w:top w:val="nil"/>
              <w:left w:val="nil"/>
              <w:bottom w:val="single" w:sz="4" w:space="0" w:color="auto"/>
              <w:right w:val="single" w:sz="4" w:space="0" w:color="auto"/>
            </w:tcBorders>
            <w:shd w:val="clear" w:color="auto" w:fill="auto"/>
            <w:noWrap/>
            <w:vAlign w:val="bottom"/>
            <w:hideMark/>
          </w:tcPr>
          <w:p w14:paraId="7FD8ABA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2471</w:t>
            </w:r>
          </w:p>
        </w:tc>
        <w:tc>
          <w:tcPr>
            <w:tcW w:w="399" w:type="pct"/>
            <w:tcBorders>
              <w:top w:val="nil"/>
              <w:left w:val="nil"/>
              <w:bottom w:val="single" w:sz="4" w:space="0" w:color="auto"/>
              <w:right w:val="single" w:sz="4" w:space="0" w:color="auto"/>
            </w:tcBorders>
            <w:shd w:val="clear" w:color="auto" w:fill="auto"/>
            <w:noWrap/>
            <w:vAlign w:val="bottom"/>
            <w:hideMark/>
          </w:tcPr>
          <w:p w14:paraId="363EDF5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40.3</w:t>
            </w:r>
          </w:p>
        </w:tc>
        <w:tc>
          <w:tcPr>
            <w:tcW w:w="449" w:type="pct"/>
            <w:tcBorders>
              <w:top w:val="nil"/>
              <w:left w:val="nil"/>
              <w:bottom w:val="single" w:sz="4" w:space="0" w:color="auto"/>
              <w:right w:val="single" w:sz="4" w:space="0" w:color="auto"/>
            </w:tcBorders>
            <w:shd w:val="clear" w:color="auto" w:fill="auto"/>
            <w:noWrap/>
            <w:vAlign w:val="bottom"/>
            <w:hideMark/>
          </w:tcPr>
          <w:p w14:paraId="250A0DC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47.1</w:t>
            </w:r>
          </w:p>
        </w:tc>
        <w:tc>
          <w:tcPr>
            <w:tcW w:w="498" w:type="pct"/>
            <w:tcBorders>
              <w:top w:val="nil"/>
              <w:left w:val="nil"/>
              <w:bottom w:val="single" w:sz="4" w:space="0" w:color="auto"/>
              <w:right w:val="single" w:sz="4" w:space="0" w:color="auto"/>
            </w:tcBorders>
            <w:shd w:val="clear" w:color="auto" w:fill="auto"/>
            <w:noWrap/>
            <w:vAlign w:val="bottom"/>
            <w:hideMark/>
          </w:tcPr>
          <w:p w14:paraId="0DBE6B1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D1F6A9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B77E1F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73150A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59EF2F1E"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Garcez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{"citationItems":[{"id":"ITEM-1","itemData":{"ISSN":"0066-782X; 0066-782X","abstract":"Background: Overweight is one of the major public health problems in Brazil; it is associated with dyslipidemia, which is an important risk factor for cardiovascular diseases. Objective: To evaluate the lipid profile of residents of the municipality of São Paulo, state of São Paulo, according to the nutritional status. Methods: Data from the population-based cross-sectional study ISA-Capital 2008 on a sample of residents of São Paulo were used. Participants were categorized into groups according to body mass index and age range. The levels of total cholesterol, HDL-cholesterol, LDL-cholesterol, triglycerides, and non-HDL cholesterol were measured. The association between lipid profile, nutricional status, and waist circumference was investigated. The data were processed using the survey mode of the Stata 11.0 software. Results: The prevalence of any type of dyslipidemia in the population was 59.74%, with low HDL-cholesterol dyslipidemia being the most common type. Not overweight individuals had higher mean levels of HDL-cholesterol and lower levels of LDL-cholesterol, total cholesterol, triglycerides, and non-HDL cholesterol when compared to the overweight group. The rate of inadequacy of these variables was higher in the overweight individuals, regardless of the age group, with the exception of LDL-cholesterol in the adults and elderly. A higher prevalence of isolated hypertriglyceridemia was observed in individuals with higher waist circumference among the adults and the total population. Conclusion: The results indicate an association between dyslipidemia and overweight in the population of the city of São Paulo. The most prevalent dyslipidemia in this population was low HDL-cholesterol. © 2015, Specjalisci Dermatolodzy. All rights reserved.","author":[{"dropping-particle":"","family":"Garcez","given":"M R","non-dropping-particle":"","parse-names":false,"suffix":""},{"dropping-particle":"","family":"Pereira","given":"J L","non-dropping-particle":"","parse-names":false,"suffix":""},{"dropping-particle":"","family":"Mello Fontanelli","given":"M","non-dropping-particle":"de","parse-names":false,"suffix":""},{"dropping-particle":"","family":"Marchioni","given":"D M L","non-dropping-particle":"","parse-names":false,"suffix":""},{"dropping-particle":"","family":"Fisberg","given":"R M","non-dropping-particle":"","parse-names":false,"suffix":""}],"container-title":"Arquivos Brasileiros de Cardiologia","id":"ITEM-1","issue":"6","issued":{"date-parts":[["2014"]]},"page":"476-484","title":"Prevalence of dyslipidemia according to the nutritional status in a representative sample of São Paulo","type":"article-journal","volume":"103"},"uris":["http://www.mendeley.com/documents/?uuid=40767433-1431-4947-940b-f695880d5617"]}],"mendeley":{"formattedCitation":"&lt;sup&gt;35&lt;/sup&gt;","plainTextFormattedCitation":"35","previouslyFormattedCitation":"&lt;sup&gt;35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35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7EF6AB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2014</w:t>
            </w:r>
          </w:p>
        </w:tc>
        <w:tc>
          <w:tcPr>
            <w:tcW w:w="598" w:type="pct"/>
            <w:tcBorders>
              <w:top w:val="nil"/>
              <w:left w:val="nil"/>
              <w:bottom w:val="single" w:sz="4" w:space="0" w:color="auto"/>
              <w:right w:val="single" w:sz="4" w:space="0" w:color="auto"/>
            </w:tcBorders>
            <w:shd w:val="clear" w:color="auto" w:fill="auto"/>
            <w:noWrap/>
            <w:vAlign w:val="bottom"/>
            <w:hideMark/>
          </w:tcPr>
          <w:p w14:paraId="46DCC52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48" w:type="pct"/>
            <w:tcBorders>
              <w:top w:val="nil"/>
              <w:left w:val="nil"/>
              <w:bottom w:val="single" w:sz="4" w:space="0" w:color="auto"/>
              <w:right w:val="single" w:sz="4" w:space="0" w:color="auto"/>
            </w:tcBorders>
            <w:shd w:val="clear" w:color="auto" w:fill="auto"/>
            <w:noWrap/>
            <w:vAlign w:val="bottom"/>
            <w:hideMark/>
          </w:tcPr>
          <w:p w14:paraId="1E83E2C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299</w:t>
            </w:r>
          </w:p>
        </w:tc>
        <w:tc>
          <w:tcPr>
            <w:tcW w:w="399" w:type="pct"/>
            <w:tcBorders>
              <w:top w:val="nil"/>
              <w:left w:val="nil"/>
              <w:bottom w:val="single" w:sz="4" w:space="0" w:color="auto"/>
              <w:right w:val="single" w:sz="4" w:space="0" w:color="auto"/>
            </w:tcBorders>
            <w:shd w:val="clear" w:color="auto" w:fill="auto"/>
            <w:noWrap/>
            <w:vAlign w:val="bottom"/>
            <w:hideMark/>
          </w:tcPr>
          <w:p w14:paraId="44A09B7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48.2</w:t>
            </w:r>
          </w:p>
        </w:tc>
        <w:tc>
          <w:tcPr>
            <w:tcW w:w="449" w:type="pct"/>
            <w:tcBorders>
              <w:top w:val="nil"/>
              <w:left w:val="nil"/>
              <w:bottom w:val="single" w:sz="4" w:space="0" w:color="auto"/>
              <w:right w:val="single" w:sz="4" w:space="0" w:color="auto"/>
            </w:tcBorders>
            <w:shd w:val="clear" w:color="auto" w:fill="auto"/>
            <w:noWrap/>
            <w:vAlign w:val="bottom"/>
            <w:hideMark/>
          </w:tcPr>
          <w:p w14:paraId="607887D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0AFFD64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3CC9B8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72CEDD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1256D1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03D7F94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Garcez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{"citationItems":[{"id":"ITEM-1","itemData":{"ISSN":"0066-782X; 0066-782X","abstract":"Background: Overweight is one of the major public health problems in Brazil; it is associated with dyslipidemia, which is an important risk factor for cardiovascular diseases. Objective: To evaluate the lipid profile of residents of the municipality of São Paulo, state of São Paulo, according to the nutritional status. Methods: Data from the population-based cross-sectional study ISA-Capital 2008 on a sample of residents of São Paulo were used. Participants were categorized into groups according to body mass index and age range. The levels of total cholesterol, HDL-cholesterol, LDL-cholesterol, triglycerides, and non-HDL cholesterol were measured. The association between lipid profile, nutricional status, and waist circumference was investigated. The data were processed using the survey mode of the Stata 11.0 software. Results: The prevalence of any type of dyslipidemia in the population was 59.74%, with low HDL-cholesterol dyslipidemia being the most common type. Not overweight individuals had higher mean levels of HDL-cholesterol and lower levels of LDL-cholesterol, total cholesterol, triglycerides, and non-HDL cholesterol when compared to the overweight group. The rate of inadequacy of these variables was higher in the overweight individuals, regardless of the age group, with the exception of LDL-cholesterol in the adults and elderly. A higher prevalence of isolated hypertriglyceridemia was observed in individuals with higher waist circumference among the adults and the total population. Conclusion: The results indicate an association between dyslipidemia and overweight in the population of the city of São Paulo. The most prevalent dyslipidemia in this population was low HDL-cholesterol. © 2015, Specjalisci Dermatolodzy. All rights reserved.","author":[{"dropping-particle":"","family":"Garcez","given":"M R","non-dropping-particle":"","parse-names":false,"suffix":""},{"dropping-particle":"","family":"Pereira","given":"J L","non-dropping-particle":"","parse-names":false,"suffix":""},{"dropping-particle":"","family":"Mello Fontanelli","given":"M","non-dropping-particle":"de","parse-names":false,"suffix":""},{"dropping-particle":"","family":"Marchioni","given":"D M L","non-dropping-particle":"","parse-names":false,"suffix":""},{"dropping-particle":"","family":"Fisberg","given":"R M","non-dropping-particle":"","parse-names":false,"suffix":""}],"container-title":"Arquivos Brasileiros de Cardiologia","id":"ITEM-1","issue":"6","issued":{"date-parts":[["2014"]]},"page":"476-484","title":"Prevalence of dyslipidemia according to the nutritional status in a representative sample of São Paulo","type":"article-journal","volume":"103"},"uris":["http://www.mendeley.com/documents/?uuid=40767433-1431-4947-940b-f695880d5617"]}],"mendeley":{"formattedCitation":"&lt;sup&gt;35&lt;/sup&gt;","plainTextFormattedCitation":"35","previouslyFormattedCitation":"&lt;sup&gt;35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35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F84044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2014</w:t>
            </w:r>
          </w:p>
        </w:tc>
        <w:tc>
          <w:tcPr>
            <w:tcW w:w="598" w:type="pct"/>
            <w:tcBorders>
              <w:top w:val="nil"/>
              <w:left w:val="nil"/>
              <w:bottom w:val="single" w:sz="4" w:space="0" w:color="auto"/>
              <w:right w:val="single" w:sz="4" w:space="0" w:color="auto"/>
            </w:tcBorders>
            <w:shd w:val="clear" w:color="auto" w:fill="auto"/>
            <w:noWrap/>
            <w:vAlign w:val="bottom"/>
            <w:hideMark/>
          </w:tcPr>
          <w:p w14:paraId="56A4AA3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48" w:type="pct"/>
            <w:tcBorders>
              <w:top w:val="nil"/>
              <w:left w:val="nil"/>
              <w:bottom w:val="single" w:sz="4" w:space="0" w:color="auto"/>
              <w:right w:val="single" w:sz="4" w:space="0" w:color="auto"/>
            </w:tcBorders>
            <w:shd w:val="clear" w:color="auto" w:fill="auto"/>
            <w:noWrap/>
            <w:vAlign w:val="bottom"/>
            <w:hideMark/>
          </w:tcPr>
          <w:p w14:paraId="062340C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263</w:t>
            </w:r>
          </w:p>
        </w:tc>
        <w:tc>
          <w:tcPr>
            <w:tcW w:w="399" w:type="pct"/>
            <w:tcBorders>
              <w:top w:val="nil"/>
              <w:left w:val="nil"/>
              <w:bottom w:val="single" w:sz="4" w:space="0" w:color="auto"/>
              <w:right w:val="single" w:sz="4" w:space="0" w:color="auto"/>
            </w:tcBorders>
            <w:shd w:val="clear" w:color="auto" w:fill="auto"/>
            <w:noWrap/>
            <w:vAlign w:val="bottom"/>
            <w:hideMark/>
          </w:tcPr>
          <w:p w14:paraId="1178AD4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47.1</w:t>
            </w:r>
          </w:p>
        </w:tc>
        <w:tc>
          <w:tcPr>
            <w:tcW w:w="449" w:type="pct"/>
            <w:tcBorders>
              <w:top w:val="nil"/>
              <w:left w:val="nil"/>
              <w:bottom w:val="single" w:sz="4" w:space="0" w:color="auto"/>
              <w:right w:val="single" w:sz="4" w:space="0" w:color="auto"/>
            </w:tcBorders>
            <w:shd w:val="clear" w:color="auto" w:fill="auto"/>
            <w:noWrap/>
            <w:vAlign w:val="bottom"/>
            <w:hideMark/>
          </w:tcPr>
          <w:p w14:paraId="5D9BF28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42B4034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EEF8E2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2747745"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1AE41F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0525F5FB"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Gomes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{"citationItems":[{"id":"ITEM-1","itemData":{"ISSN":"1552-4523","abstract":"To identify the most frequent cardiovascular risk factors (CRFs) in Brazilian participants. Sample of 113 individuals aged 80 to 95 years (83.4 + 2.9 years), of both sexes, from Presidente Prudente, Sao Paulo state. Waist circumference (WC), body mass index, percentage of total body fat (% BF), hypertension, total cholesterol (TC), high-density lipoprotein cholesterol (HDL-C), low-density lipoprotein cholesterol (LDL-C), triglycerides, and glucose were used for characterization of risk factors. The chi-square test was used to assess proportions of risk factors and Student's t test to compare the results between the sexes. High prevalence of risk factor was observed, mainly hypertension (67.3%) and % BF (79.6%). Male participants presented higher weight, height, and WC (p &lt; .001), and female participants, higher TC and % BF (p &lt; .001). Only 7.1% of male and 4.2% of female participants showed no risk factors, and 71.3% of male and 85.9% of female participants had three or more. The participants presented a high prevalence of CRFs, particularly percentage of body fat and hypertension, and, in addition, female participants also presented TC.","author":[{"dropping-particle":"","family":"Gomes","given":"Igor Conterato","non-dropping-particle":"","parse-names":false,"suffix":""},{"dropping-particle":"","family":"Santos","given":"Vanessa Ribeiro","non-dropping-particle":"","parse-names":false,"suffix":""},{"dropping-particle":"","family":"Christofaro","given":"Diego Giulliano Destro","non-dropping-particle":"","parse-names":false,"suffix":""},{"dropping-particle":"","family":"Santos","given":"Lionai Lima","non-dropping-particle":"","parse-names":false,"suffix":""},{"dropping-particle":"","family":"Freitas Junior","given":"Ismael Forte","non-dropping-particle":"","parse-names":false,"suffix":""}],"container-title":"Journal of applied gerontology : the official journal of the Southern Gerontological Society","id":"ITEM-1","issue":"4","issued":{"date-parts":[["2013"]]},"page":"408-421","title":"The most frequent cardiovascular risk factors in Brazilian aged 80 years or older","type":"article-journal","volume":"32"},"uris":["http://www.mendeley.com/documents/?uuid=932c31ed-125b-4575-bdc1-3cfeb457f630"]}],"mendeley":{"formattedCitation":"&lt;sup&gt;36&lt;/sup&gt;","plainTextFormattedCitation":"36","previouslyFormattedCitation":"&lt;sup&gt;36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36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C5A4FB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4FB0D56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48" w:type="pct"/>
            <w:tcBorders>
              <w:top w:val="nil"/>
              <w:left w:val="nil"/>
              <w:bottom w:val="single" w:sz="4" w:space="0" w:color="auto"/>
              <w:right w:val="single" w:sz="4" w:space="0" w:color="auto"/>
            </w:tcBorders>
            <w:shd w:val="clear" w:color="auto" w:fill="auto"/>
            <w:noWrap/>
            <w:vAlign w:val="bottom"/>
            <w:hideMark/>
          </w:tcPr>
          <w:p w14:paraId="4DF8AE6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113</w:t>
            </w:r>
          </w:p>
        </w:tc>
        <w:tc>
          <w:tcPr>
            <w:tcW w:w="399" w:type="pct"/>
            <w:tcBorders>
              <w:top w:val="nil"/>
              <w:left w:val="nil"/>
              <w:bottom w:val="single" w:sz="4" w:space="0" w:color="auto"/>
              <w:right w:val="single" w:sz="4" w:space="0" w:color="auto"/>
            </w:tcBorders>
            <w:shd w:val="clear" w:color="auto" w:fill="auto"/>
            <w:noWrap/>
            <w:vAlign w:val="bottom"/>
            <w:hideMark/>
          </w:tcPr>
          <w:p w14:paraId="5847B6A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35.4</w:t>
            </w:r>
          </w:p>
        </w:tc>
        <w:tc>
          <w:tcPr>
            <w:tcW w:w="449" w:type="pct"/>
            <w:tcBorders>
              <w:top w:val="nil"/>
              <w:left w:val="nil"/>
              <w:bottom w:val="single" w:sz="4" w:space="0" w:color="auto"/>
              <w:right w:val="single" w:sz="4" w:space="0" w:color="auto"/>
            </w:tcBorders>
            <w:shd w:val="clear" w:color="auto" w:fill="auto"/>
            <w:noWrap/>
            <w:vAlign w:val="bottom"/>
            <w:hideMark/>
          </w:tcPr>
          <w:p w14:paraId="5236191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82.77</w:t>
            </w:r>
          </w:p>
        </w:tc>
        <w:tc>
          <w:tcPr>
            <w:tcW w:w="498" w:type="pct"/>
            <w:tcBorders>
              <w:top w:val="nil"/>
              <w:left w:val="nil"/>
              <w:bottom w:val="single" w:sz="4" w:space="0" w:color="auto"/>
              <w:right w:val="single" w:sz="4" w:space="0" w:color="auto"/>
            </w:tcBorders>
            <w:shd w:val="clear" w:color="auto" w:fill="auto"/>
            <w:noWrap/>
            <w:vAlign w:val="bottom"/>
            <w:hideMark/>
          </w:tcPr>
          <w:p w14:paraId="006CDEE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BAFCDB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30B28C3"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9106C8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661F73E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Kaestner</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{"citationItems":[{"id":"ITEM-1","itemData":{"ISSN":"1933-2874","abstract":"BACKGROUND: Familial hypercholesterolemia (FH) is an autosomal dominant genetic disorder with an estimated worldwide prevalence ranging from 1 in 200 individuals to 1 in 500 individuals in its heterozygous form. Individuals with FH exhibit high low-density lipoprotein cholesterol (LDLc) levels from birth, which leads to premature cardiovascular events. In Brazil, like in most countries around the world, FH is considered a public health problem but remains underdiagnosed and undertreated., OBJECTIVE: The aim of this study was to evaluate the prevalence of LDLc or non-high-density lipoprotein cholesterol (non-HDLc) levels suggestive of FH among Brazilian adolescents., METHODS: The Study of Cardiovascular Risk in Adolescents (ERICA) was a nationwide, school-based, cross-sectional study that assessed the prevalence of cardiovascular risk factors in approximately 75,000 adolescents between 12 and 17 years old. Data were analyzed according to sex, age, type of school (public or private), and geographic regions of Brazil. Adolescents with untreated fasting LDLc levels of 160 mg/dL or higher or non-HDLc levels of 190 mg/dL or higher were suspected to have FH. We also evaluated the prevalence of LDLc levels of 190 mg/dL or higher, which is highly suggestive of a diagnosis of FH in this age group., RESULTS: A total of 38,069 adolescents were evaluated; more than half (59.9%) were female and most (74%) attended public schools. The prevalence of LDLc levels of 160 mg/dL or higher or non-HDLc levels of 190 mg/dL or higher among the adolescents was 0.49% (95% confidence interval: 0.34-0.71; n = 209). Moreover, 0.12% of the adolescents (95% confidence interval: 0.04-0.34; n = 44) had LDLc levels of 190 mg/dL or higher. We estimate that approximately 100,000 (1 in 200) Brazilian adolescents aged 12 to 17 years are suspected to have FH on the basis of LDLc and non-HDLc levels., CONCLUSION: We identified a significant prevalence of cholesterol levels suggestive of FH among Brazilian adolescents. Further evaluation is needed to confirm the diagnoses among the students. Our results reinforce the importance of universal screening as a critical tool for early diagnosis and treatment of FH.Copyright © 2017 National Lipid Association. Published by Elsevier Inc. All rights reserved.","author":[{"dropping-particle":"","family":"Kaestner","given":"Tatiana L","non-dropping-particle":"","parse-names":false,"suffix":""},{"dropping-particle":"","family":"Bento","given":"Vivian F","non-dropping-particle":"","parse-names":false,"suffix":""},{"dropping-particle":"","family":"Pazin","given":"Daiane C","non-dropping-particle":"","parse-names":false,"suffix":""},{"dropping-particle":"","family":"Baena","given":"Cristina P","non-dropping-particle":"","parse-names":false,"suffix":""},{"dropping-particle":"","family":"oski","given":"Marcia","non-dropping-particle":"","parse-names":false,"suffix":""},{"dropping-particle":"","family":"Abreu","given":"Gabriela A","non-dropping-particle":"","parse-names":false,"suffix":""},{"dropping-particle":"","family":"Kuschnir","given":"Maria Cristina C","non-dropping-particle":"","parse-names":false,"suffix":""},{"dropping-particle":"V","family":"Bloch","given":"Katia","non-dropping-particle":"","parse-names":false,"suffix":""},{"dropping-particle":"","family":"Faria-Neto","given":"Jose R","non-dropping-particle":"","parse-names":false,"suffix":""}],"container-title":"Journal of clinical lipidology","id":"ITEM-1","issue":"2","issued":{"date-parts":[["2018"]]},"page":"403-408","title":"Prevalence of high cholesterol levels suggestive of familial hypercholesterolemia in Brazilian adolescents: Data from the study of cardiovascular risk in adolescents","type":"article-journal","volume":"12"},"uris":["http://www.mendeley.com/documents/?uuid=9abe9ecf-23c7-4cd9-a8a8-ac3603dbce01"]}],"mendeley":{"formattedCitation":"&lt;sup&gt;37&lt;/sup&gt;","plainTextFormattedCitation":"37","previouslyFormattedCitation":"&lt;sup&gt;37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37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FAEDD2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526718C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2014</w:t>
            </w:r>
          </w:p>
        </w:tc>
        <w:tc>
          <w:tcPr>
            <w:tcW w:w="548" w:type="pct"/>
            <w:tcBorders>
              <w:top w:val="nil"/>
              <w:left w:val="nil"/>
              <w:bottom w:val="single" w:sz="4" w:space="0" w:color="auto"/>
              <w:right w:val="single" w:sz="4" w:space="0" w:color="auto"/>
            </w:tcBorders>
            <w:shd w:val="clear" w:color="auto" w:fill="auto"/>
            <w:noWrap/>
            <w:vAlign w:val="bottom"/>
            <w:hideMark/>
          </w:tcPr>
          <w:p w14:paraId="582D7A0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38069</w:t>
            </w:r>
          </w:p>
        </w:tc>
        <w:tc>
          <w:tcPr>
            <w:tcW w:w="399" w:type="pct"/>
            <w:tcBorders>
              <w:top w:val="nil"/>
              <w:left w:val="nil"/>
              <w:bottom w:val="single" w:sz="4" w:space="0" w:color="auto"/>
              <w:right w:val="single" w:sz="4" w:space="0" w:color="auto"/>
            </w:tcBorders>
            <w:shd w:val="clear" w:color="auto" w:fill="auto"/>
            <w:noWrap/>
            <w:vAlign w:val="bottom"/>
            <w:hideMark/>
          </w:tcPr>
          <w:p w14:paraId="63B0520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40.1</w:t>
            </w:r>
          </w:p>
        </w:tc>
        <w:tc>
          <w:tcPr>
            <w:tcW w:w="449" w:type="pct"/>
            <w:tcBorders>
              <w:top w:val="nil"/>
              <w:left w:val="nil"/>
              <w:bottom w:val="single" w:sz="4" w:space="0" w:color="auto"/>
              <w:right w:val="single" w:sz="4" w:space="0" w:color="auto"/>
            </w:tcBorders>
            <w:shd w:val="clear" w:color="auto" w:fill="auto"/>
            <w:noWrap/>
            <w:vAlign w:val="bottom"/>
            <w:hideMark/>
          </w:tcPr>
          <w:p w14:paraId="7E48132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14.6</w:t>
            </w:r>
          </w:p>
        </w:tc>
        <w:tc>
          <w:tcPr>
            <w:tcW w:w="498" w:type="pct"/>
            <w:tcBorders>
              <w:top w:val="nil"/>
              <w:left w:val="nil"/>
              <w:bottom w:val="single" w:sz="4" w:space="0" w:color="auto"/>
              <w:right w:val="single" w:sz="4" w:space="0" w:color="auto"/>
            </w:tcBorders>
            <w:shd w:val="clear" w:color="auto" w:fill="auto"/>
            <w:noWrap/>
            <w:vAlign w:val="bottom"/>
            <w:hideMark/>
          </w:tcPr>
          <w:p w14:paraId="2E1306D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2AF98FB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163DD78"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E278D0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6E5AAE6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Fortanelli</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{"citationItems":[{"id":"ITEM-1","itemData":{"ISSN":"1678-4464 0102-311X","abstract":"The study aimed to validate self-report of high cholesterol in Sao Paulo, Brazil, and verify factors associated with this information's sensitivity. Data were used from the Health Survey of the City of Sao Paulo 2015, a cross-sectional population-based study with a probabilistic sample of the city's residents. The sample included 886 individuals with information from the structured questionnaire, blood measurements of total cholesterol and fractions or who reported being on medication for high cholesterol. The validity of self-reported information on high cholesterol was measured according to sensitivity, specificity, positive predictive value (PPV), negative predictive value (NPV), and kappa index, considering total cholesterol and LDL-c and pharmacological treatment as the gold standard. Logistic regression models were developed to investigate factors associated with the sensitivity of this information. The sensitivity of information on high cholesterol using total cholesterol as the reference was 50.6%, specificity 90.19%, PPV 51.64%, NPV 89.82%, and kappa 0.41. Taking LDL-c as the gold standard, sensitivity was 53.52%, specificity 89.93%, PPV 49.22%, NPV 91.39%, and kappa 0.43. Using total cholesterol as the reference, age (OR = 1.69; 95%CI: 1.24-2.29) and having a private health plan (OR = 2.91; 95%CI: 1.06-7.99) were associated with the information's sensitivity. With LDL-c as the gold standard, age (OR = 1.71; 95%CI: 1.13-2.57), smoking (OR = 3.33; 95%CI: 1.08-10.27), and having a private health plan (OR = 3.64; 95%CI: 1.10-12.08) were associated with the information's sensitivity. The results suggest low sensitivity and low PPV of self-reported high cholesterol in residents of Sao Paulo.","author":[{"dropping-particle":"","family":"Fontanelli","given":"Mariane de Mello","non-dropping-particle":"","parse-names":false,"suffix":""},{"dropping-particle":"","family":"Nogueira","given":"Luana Romao","non-dropping-particle":"","parse-names":false,"suffix":""},{"dropping-particle":"","family":"Garcez","given":"Marcela Riccioppo","non-dropping-particle":"","parse-names":false,"suffix":""},{"dropping-particle":"","family":"Sales","given":"Cristiane Hermes","non-dropping-particle":"","parse-names":false,"suffix":""},{"dropping-particle":"","family":"Corrente","given":"Jose Eduardo","non-dropping-particle":"","parse-names":false,"suffix":""},{"dropping-particle":"","family":"Cesar","given":"Chester Luiz Galvao","non-dropping-particle":"","parse-names":false,"suffix":""},{"dropping-particle":"","family":"Goldbaum","given":"Moises","non-dropping-particle":"","parse-names":false,"suffix":""},{"dropping-particle":"","family":"Fisberg","given":"Regina Mara","non-dropping-particle":"","parse-names":false,"suffix":""}],"container-title":"Validade da autorreferencia de colesterol elevado na cidade de Sao Paulo, Brasil, e fatores associados a sensibilidade dessa informacao.","id":"ITEM-1","issue":"12","issued":{"date-parts":[["2018"]]},"page":"e00034718","title":"[Validity of self-reported high cholesterol in the city of Sao Paulo, Brazil, and factors associated with this information's sensitivity]","type":"article-journal","volume":"34"},"uris":["http://www.mendeley.com/documents/?uuid=3e67e2e0-eef8-4b70-a6e1-7634ff2d76bb"]}],"mendeley":{"formattedCitation":"&lt;sup&gt;38&lt;/sup&gt;","plainTextFormattedCitation":"38","previouslyFormattedCitation":"&lt;sup&gt;38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38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7E22D6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2018</w:t>
            </w:r>
          </w:p>
        </w:tc>
        <w:tc>
          <w:tcPr>
            <w:tcW w:w="598" w:type="pct"/>
            <w:tcBorders>
              <w:top w:val="nil"/>
              <w:left w:val="nil"/>
              <w:bottom w:val="single" w:sz="4" w:space="0" w:color="auto"/>
              <w:right w:val="single" w:sz="4" w:space="0" w:color="auto"/>
            </w:tcBorders>
            <w:shd w:val="clear" w:color="auto" w:fill="auto"/>
            <w:noWrap/>
            <w:vAlign w:val="bottom"/>
            <w:hideMark/>
          </w:tcPr>
          <w:p w14:paraId="2AF42C2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48" w:type="pct"/>
            <w:tcBorders>
              <w:top w:val="nil"/>
              <w:left w:val="nil"/>
              <w:bottom w:val="single" w:sz="4" w:space="0" w:color="auto"/>
              <w:right w:val="single" w:sz="4" w:space="0" w:color="auto"/>
            </w:tcBorders>
            <w:shd w:val="clear" w:color="auto" w:fill="auto"/>
            <w:noWrap/>
            <w:vAlign w:val="bottom"/>
            <w:hideMark/>
          </w:tcPr>
          <w:p w14:paraId="744F5B7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901</w:t>
            </w:r>
          </w:p>
        </w:tc>
        <w:tc>
          <w:tcPr>
            <w:tcW w:w="399" w:type="pct"/>
            <w:tcBorders>
              <w:top w:val="nil"/>
              <w:left w:val="nil"/>
              <w:bottom w:val="single" w:sz="4" w:space="0" w:color="auto"/>
              <w:right w:val="single" w:sz="4" w:space="0" w:color="auto"/>
            </w:tcBorders>
            <w:shd w:val="clear" w:color="auto" w:fill="auto"/>
            <w:noWrap/>
            <w:vAlign w:val="bottom"/>
            <w:hideMark/>
          </w:tcPr>
          <w:p w14:paraId="2374C90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51.6</w:t>
            </w:r>
          </w:p>
        </w:tc>
        <w:tc>
          <w:tcPr>
            <w:tcW w:w="449" w:type="pct"/>
            <w:tcBorders>
              <w:top w:val="nil"/>
              <w:left w:val="nil"/>
              <w:bottom w:val="single" w:sz="4" w:space="0" w:color="auto"/>
              <w:right w:val="single" w:sz="4" w:space="0" w:color="auto"/>
            </w:tcBorders>
            <w:shd w:val="clear" w:color="auto" w:fill="auto"/>
            <w:noWrap/>
            <w:vAlign w:val="bottom"/>
            <w:hideMark/>
          </w:tcPr>
          <w:p w14:paraId="5250376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6A6A56E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C95297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365BFF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F34236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0E3E1177"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Marquezine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{"citationItems":[{"id":"ITEM-1","itemData":{"ISSN":"0167-5273","abstract":"Introduction: The metabolic syndrome (MS) is characterized by multiple cardiovascular risk factors such as central obesity, arterial hypertension, dislipidemia and hyperinsulinemia and is associated with a higher incidence of cardiovascular events and mortality. The aim of the present work is to describe the prevalence of MS in an urban population from a highly admixed developing country and to characterize the different correlations between this diagnosis, cardiovascular risk factors and demographic variables distributed in this population. Materials and methods: A cross-sectional study of risk factors for cardiovascular diseases was performed in the urban population of Vitoria, Brazil (n = 1507). Major cardiovascular risk factors such as smoking habits, alcohol intake, amount of physical activity, diabetes and hypertension were inquired. Blood biochemical assays were performed by standard techniques in 12 h fasting blood sample and Metabolic Syndrome (MS) was characterizes following the ATP III criteria. Results: The analysis of 1507 individuals showed a 25.43% general prevalence of MS without any significant difference between sexes, but a clear relation of the prevalence with progressing age (p = &lt; 0.0001). Even though both sexes showed similar prevalence rates, distribution of risk factors that defined MS was different between men and women, with the prevalence of hypertension, fasting hyperglycemia and hypertriglyceridemia being higher in men. Race was not an important risk factor for MS in this population as opposed to social economic class that was highly associated with the risk of MS in women as their social class was lower, but not in men. Conclusion: This cross-sectional study from a large urban population in Brazil showed a high general prevalence of MS (25.4%), which is increased as the population becomes older (especially in women) and poorer. Although prevalence was very similar in both genders, the frequency of components defining the syndrome varied greatly amongst them. In particular, a significant interaction between gender and social class was observed and may shed light in our understanding of the complex interplay between demographic and biological risk factors for metabolic syndrome. © 2007 Elsevier Ireland Ltd. All rights reserved.","author":[{"dropping-particle":"","family":"Marquezine","given":"G F","non-dropping-particle":"","parse-names":false,"suffix":""},{"dropping-particle":"","family":"Oliveira","given":"C M","non-dropping-particle":"","parse-names":false,"suffix":""},{"dropping-particle":"","family":"Pereira","given":"A C","non-dropping-particle":"","parse-names":false,"suffix":""},{"dropping-particle":"","family":"Krieger","given":"J E","non-dropping-particle":"","parse-names":false,"suffix":""},{"dropping-particle":"","family":"Mill","given":"J G","non-dropping-particle":"","parse-names":false,"suffix":""}],"container-title":"International Journal of Cardiology","id":"ITEM-1","issue":"2","issued":{"date-parts":[["2008"]]},"page":"259-265","title":"Metabolic syndrome determinants in an urban population from Brazil: Social class and gender-specific interaction","type":"article-journal","volume":"129"},"uris":["http://www.mendeley.com/documents/?uuid=6d9c3b2d-0d3d-45cc-8059-70e4dbb68a39"]}],"mendeley":{"formattedCitation":"&lt;sup&gt;39&lt;/sup&gt;","plainTextFormattedCitation":"39","previouslyFormattedCitation":"&lt;sup&gt;39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39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E30B1C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98" w:type="pct"/>
            <w:tcBorders>
              <w:top w:val="nil"/>
              <w:left w:val="nil"/>
              <w:bottom w:val="single" w:sz="4" w:space="0" w:color="auto"/>
              <w:right w:val="single" w:sz="4" w:space="0" w:color="auto"/>
            </w:tcBorders>
            <w:shd w:val="clear" w:color="auto" w:fill="auto"/>
            <w:noWrap/>
            <w:vAlign w:val="bottom"/>
            <w:hideMark/>
          </w:tcPr>
          <w:p w14:paraId="2D22392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14F756D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1561</w:t>
            </w:r>
          </w:p>
        </w:tc>
        <w:tc>
          <w:tcPr>
            <w:tcW w:w="399" w:type="pct"/>
            <w:tcBorders>
              <w:top w:val="nil"/>
              <w:left w:val="nil"/>
              <w:bottom w:val="single" w:sz="4" w:space="0" w:color="auto"/>
              <w:right w:val="single" w:sz="4" w:space="0" w:color="auto"/>
            </w:tcBorders>
            <w:shd w:val="clear" w:color="auto" w:fill="auto"/>
            <w:noWrap/>
            <w:vAlign w:val="bottom"/>
            <w:hideMark/>
          </w:tcPr>
          <w:p w14:paraId="6FCAA55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45.48</w:t>
            </w:r>
          </w:p>
        </w:tc>
        <w:tc>
          <w:tcPr>
            <w:tcW w:w="449" w:type="pct"/>
            <w:tcBorders>
              <w:top w:val="nil"/>
              <w:left w:val="nil"/>
              <w:bottom w:val="single" w:sz="4" w:space="0" w:color="auto"/>
              <w:right w:val="single" w:sz="4" w:space="0" w:color="auto"/>
            </w:tcBorders>
            <w:shd w:val="clear" w:color="auto" w:fill="auto"/>
            <w:noWrap/>
            <w:vAlign w:val="bottom"/>
            <w:hideMark/>
          </w:tcPr>
          <w:p w14:paraId="4C358F0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3DBE22E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24E5D8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4437EA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181E64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6F6C2E8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Mendes-Lana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{"citationItems":[{"id":"ITEM-1","itemData":{"abstract":"The influence of apolipoprotein E alleles and genotypes on plasma lipid levels was determined in 185 individuals of mixed ethnicity living in Ouro Preto, Brazil. DNA was obtained from blood samples and the genotypes were determined by an RFLP-PCR procedure. The *3 allele was the most frequent (72%), followed by *4 (20%) and *2 (8%); *4 frequency was higher and *2 frequency was lower in the dyslipidemic group than in the normal control group. The *2 carriers presented lower LDL and total cholesterol levels compared to the *3 and *4 carriers. All six expected genotypes were observed in the individuals genotyped: E2/2 (2.1%), E4/4 (2.7%), E2/4 (3.7%), E2/3 (8.0%), E3/3 (53.3%), E3/4 (29.9%); no difference in genotype frequencies was found between the normal and dyslipidemic groups. Compared with *2, the presence of *3 increases more than two times the risk for dyslipidemia (OR = 2.31; P = 0.025; 95% CI = 1.06-5.06) and the presence of *4 increases it three times (OR = 3.31; P = 0.006; 95% CI = 1.36-8.04). The only significant effect of genotype was an increased risk for dyslipidemia in the *4 genotype carriers (E3/4 + E4/4) compared with the *2 genotype carriers (E2/2 + E2/3) with OR = 3.69 (95% CI = 1.25-10.88). The present study indicates that in the Ouro Preto admixed population the presence of APOE *2 can confer a protective effect, whereas the presence of APOE *4 implies an enhanced risk for dyslipidemia.","author":[{"dropping-particle":"","family":"Mendes-Lana","given":"A","non-dropping-particle":"","parse-names":false,"suffix":""},{"dropping-particle":"","family":"Pena","given":"G G","non-dropping-particle":"","parse-names":false,"suffix":""},{"dropping-particle":"","family":"Freitas","given":"S N","non-dropping-particle":"","parse-names":false,"suffix":""},{"dropping-particle":"","family":"Lima","given":"A A","non-dropping-particle":"","parse-names":false,"suffix":""},{"dropping-particle":"","family":"Nicolato","given":"R L C","non-dropping-particle":"","parse-names":false,"suffix":""},{"dropping-particle":"","family":"Nascimento-Neto","given":"R M","non-dropping-particle":"","parse-names":false,"suffix":""},{"dropping-particle":"","family":"Machado-Coelho","given":"G L L","non-dropping-particle":"","parse-names":false,"suffix":""},{"dropping-particle":"","family":"Freitas","given":"R N","non-dropping-particle":"","parse-names":false,"suffix":""}],"container-title":"Brazilian journal of medical and biological research = Revista brasileira de pesquisas medicas e biologicas","id":"ITEM-1","issue":"1","issued":{"date-parts":[["2007"]]},"page":"49-56","title":"Apolipoprotein E polymorphism in Brazilian dyslipidemic individuals: Ouro Preto study","type":"article-journal","volume":"40"},"uris":["http://www.mendeley.com/documents/?uuid=f6fbacf1-ed7a-4257-b297-8a1b075fd42d"]}],"mendeley":{"formattedCitation":"&lt;sup&gt;40&lt;/sup&gt;","plainTextFormattedCitation":"40","previouslyFormattedCitation":"&lt;sup&gt;40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40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4429B4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2A4B15A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1D8AB05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185</w:t>
            </w:r>
          </w:p>
        </w:tc>
        <w:tc>
          <w:tcPr>
            <w:tcW w:w="399" w:type="pct"/>
            <w:tcBorders>
              <w:top w:val="nil"/>
              <w:left w:val="nil"/>
              <w:bottom w:val="single" w:sz="4" w:space="0" w:color="auto"/>
              <w:right w:val="single" w:sz="4" w:space="0" w:color="auto"/>
            </w:tcBorders>
            <w:shd w:val="clear" w:color="auto" w:fill="auto"/>
            <w:noWrap/>
            <w:vAlign w:val="bottom"/>
            <w:hideMark/>
          </w:tcPr>
          <w:p w14:paraId="6C9BB91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2D17BB9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53.82</w:t>
            </w:r>
          </w:p>
        </w:tc>
        <w:tc>
          <w:tcPr>
            <w:tcW w:w="498" w:type="pct"/>
            <w:tcBorders>
              <w:top w:val="nil"/>
              <w:left w:val="nil"/>
              <w:bottom w:val="single" w:sz="4" w:space="0" w:color="auto"/>
              <w:right w:val="single" w:sz="4" w:space="0" w:color="auto"/>
            </w:tcBorders>
            <w:shd w:val="clear" w:color="auto" w:fill="auto"/>
            <w:noWrap/>
            <w:vAlign w:val="bottom"/>
            <w:hideMark/>
          </w:tcPr>
          <w:p w14:paraId="0285220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876E53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3FFC3529"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C5F25E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693D3F0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Pena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{"citationItems":[{"id":"ITEM-1","itemData":{"ISSN":"1520-6300","abstract":"OBJECTIVES: The purpose of this study was to estimate the heritability of genetic and environmental correlations between cardiometabolic risk factors in extended pedigrees., METHODS: The Jequitinhonha Community Family Study Cohort (JCFSC) consists of individuals aged &gt;=18 years living in rural villages. Family pedigrees were constructed of the cohort. The following data were collected: demographic and socioeconomic status, lifestyle variables, anthropometrics, and lipid traits., RESULTS: The JCFSC consists of 931 individuals distributed into 69 pedigrees with 4,907 members in total. The heritabilities were 0.47 for total cholesterol (TC), 0.44 for triglycerides (TG) and 0.42 for high-density lipoprotein cholesterol (HDLc), 0.49 for metabolic syndrome, approximately 0.60 for anthropometric traits and 0.30 for blood pressure/hypertension. Significant genetic correlations (rhog ) were found mainly between TG and TC (rhog = 0.58) and hypertension and TG (rhog = 0.52). Systolic blood pressure (SBP) was correlated with TG (rhog = 0.39) and HDLc (rhog = -0.30). Diastolic blood pressures correlated with TG (rhog =0.56) and TC (rhog =0.30). Genetic correlations were also found between anthropometric traits, including: body mass index (BMI) and TG (rhog =0.34), waist circumference (WC) and TG (rhog =0.42), and WC and HDLc (rhog =-0.33). Household effects were found for HDLc (c(2) = 0.19), SBP (c(2) = 0.14) and Hypertension (c(2) = 0.14)., CONCLUSIONS: To some phenotypes, including lipids, hypertension, blood pressure, and anthropometric traits, genetic contribution is important in the determination of cardiometabolic risk factors. This study provides a foundation for future studies. These will mainly focus on rare variants that could describe the genetic mechanisms influencing cardiometabolic risk. Am. J. Hum. Biol. 28:619-626, 2016. © 2016 Wiley Periodicals, Inc.Copyright © 2016 Wiley Periodicals, Inc.","author":[{"dropping-particle":"","family":"Pena","given":"Georgia G","non-dropping-particle":"","parse-names":false,"suffix":""},{"dropping-particle":"","family":"Martinez-Perez","given":"Angel","non-dropping-particle":"","parse-names":false,"suffix":""},{"dropping-particle":"","family":"Dutra","given":"Miriam Santos","non-dropping-particle":"","parse-names":false,"suffix":""},{"dropping-particle":"","family":"Gazzinelli","given":"Andrea","non-dropping-particle":"","parse-names":false,"suffix":""},{"dropping-particle":"","family":"Correa-Oliveira","given":"Rodrigo","non-dropping-particle":"","parse-names":false,"suffix":""},{"dropping-particle":"","family":"Soria","given":"Jose M","non-dropping-particle":"","parse-names":false,"suffix":""},{"dropping-particle":"","family":"Velasquez-Melendez","given":"Gustavo","non-dropping-particle":"","parse-names":false,"suffix":""}],"container-title":"American journal of human biology : the official journal of the Human Biology Council","id":"ITEM-1","issue":"5","issued":{"date-parts":[["2016"]]},"page":"619-626","title":"Genetic determinants of cardiometabolic risk factors in rural families in Brazil","type":"article-journal","volume":"28"},"uris":["http://www.mendeley.com/documents/?uuid=fd5b68ee-c0f1-4b19-aa4b-f0768699da2b"]}],"mendeley":{"formattedCitation":"&lt;sup&gt;41&lt;/sup&gt;","plainTextFormattedCitation":"41","previouslyFormattedCitation":"&lt;sup&gt;41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41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DA8713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720C649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607B900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931</w:t>
            </w:r>
          </w:p>
        </w:tc>
        <w:tc>
          <w:tcPr>
            <w:tcW w:w="399" w:type="pct"/>
            <w:tcBorders>
              <w:top w:val="nil"/>
              <w:left w:val="nil"/>
              <w:bottom w:val="single" w:sz="4" w:space="0" w:color="auto"/>
              <w:right w:val="single" w:sz="4" w:space="0" w:color="auto"/>
            </w:tcBorders>
            <w:shd w:val="clear" w:color="auto" w:fill="auto"/>
            <w:noWrap/>
            <w:vAlign w:val="bottom"/>
            <w:hideMark/>
          </w:tcPr>
          <w:p w14:paraId="7F52408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45.6</w:t>
            </w:r>
          </w:p>
        </w:tc>
        <w:tc>
          <w:tcPr>
            <w:tcW w:w="449" w:type="pct"/>
            <w:tcBorders>
              <w:top w:val="nil"/>
              <w:left w:val="nil"/>
              <w:bottom w:val="single" w:sz="4" w:space="0" w:color="auto"/>
              <w:right w:val="single" w:sz="4" w:space="0" w:color="auto"/>
            </w:tcBorders>
            <w:shd w:val="clear" w:color="auto" w:fill="auto"/>
            <w:noWrap/>
            <w:vAlign w:val="bottom"/>
            <w:hideMark/>
          </w:tcPr>
          <w:p w14:paraId="118253E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45.09</w:t>
            </w:r>
          </w:p>
        </w:tc>
        <w:tc>
          <w:tcPr>
            <w:tcW w:w="498" w:type="pct"/>
            <w:tcBorders>
              <w:top w:val="nil"/>
              <w:left w:val="nil"/>
              <w:bottom w:val="single" w:sz="4" w:space="0" w:color="auto"/>
              <w:right w:val="single" w:sz="4" w:space="0" w:color="auto"/>
            </w:tcBorders>
            <w:shd w:val="clear" w:color="auto" w:fill="auto"/>
            <w:noWrap/>
            <w:vAlign w:val="bottom"/>
            <w:hideMark/>
          </w:tcPr>
          <w:p w14:paraId="4FD9D59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2E46B7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8868622"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99039E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3D09AB0E"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Bieleman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{"citationItems":[{"id":"ITEM-1","itemData":{"DOI":"10.1123/jpah.2012-0175","abstract":"Background: The purpose of this study was to evaluate cross-sectional and longitudinal associations between physical activity and triglyceride and HDLc levels in young male adults. Methods: We used information about males belonging 1982 Pelotas Birth Cohort. Physical activity in 4 domains (leisure time, transportation, household, and occupation) was assessed by self-report in participants of the cohort at ages of 18 and 23 years. Subjects were active if reached the recommendation of 150 min/week of moderate to vigorous physical activity. At 23 years of age, blood sample was collected, and triglycerides and HDLc levels estimated. Multivariate linear and Poisson regression were used to adjust the estimates for confounders. Results: Males who were inactive at 18 and active at 23 years had 41% lower risk (β = 0.59; 95% confidence interval: 0.40; 0.89) for borderline-high triglycerides (≥ 150 mg/dL) as compared with those who were inactive at both follow-ups. No association was found between changes of physical activity and HDLc level. In cross-sectional analyses, greater HDLc levels were found in active subjects in 4 domains, whereas there was no difference in HDL levels according physical activity during leisure time. Conclusion: Becoming active from adolescence to early adulthood reduced the risk for high triglycerides. Current physical activity was associated with greater HDLc levels. © 2014 Human Kinetics, Inc.","author":[{"dropping-particle":"","family":"Bielemann","given":"Renata Moraes","non-dropping-particle":"","parse-names":false,"suffix":""},{"dropping-particle":"","family":"Ramires","given":"Virgílio Viana","non-dropping-particle":"","parse-names":false,"suffix":""},{"dropping-particle":"","family":"Gigante","given":"Denise Petrucci","non-dropping-particle":"","parse-names":false,"suffix":""},{"dropping-particle":"","family":"Hallal","given":"Pedro Curi","non-dropping-particle":"","parse-names":false,"suffix":""},{"dropping-particle":"","family":"Horta","given":"Bernardo Lessa","non-dropping-particle":"","parse-names":false,"suffix":""}],"container-title":"Journal of Physical Activity and Health","id":"ITEM-1","issue":"4","issued":{"date-parts":[["2014"]]},"page":"784-789","title":"Longitudinal and cross-sectional associations of physical activity with triglyceride and HDLc levels in young male adults","type":"article-journal","volume":"11"},"uris":["http://www.mendeley.com/documents/?uuid=b465606a-0f40-4a60-b594-a30eef1f8d24"]}],"mendeley":{"formattedCitation":"&lt;sup&gt;42&lt;/sup&gt;","plainTextFormattedCitation":"42","previouslyFormattedCitation":"&lt;sup&gt;42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42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6F4200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2014</w:t>
            </w:r>
          </w:p>
        </w:tc>
        <w:tc>
          <w:tcPr>
            <w:tcW w:w="598" w:type="pct"/>
            <w:tcBorders>
              <w:top w:val="nil"/>
              <w:left w:val="nil"/>
              <w:bottom w:val="single" w:sz="4" w:space="0" w:color="auto"/>
              <w:right w:val="single" w:sz="4" w:space="0" w:color="auto"/>
            </w:tcBorders>
            <w:shd w:val="clear" w:color="auto" w:fill="auto"/>
            <w:noWrap/>
            <w:vAlign w:val="bottom"/>
            <w:hideMark/>
          </w:tcPr>
          <w:p w14:paraId="4E7CEA7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1982</w:t>
            </w:r>
          </w:p>
        </w:tc>
        <w:tc>
          <w:tcPr>
            <w:tcW w:w="548" w:type="pct"/>
            <w:tcBorders>
              <w:top w:val="nil"/>
              <w:left w:val="nil"/>
              <w:bottom w:val="single" w:sz="4" w:space="0" w:color="auto"/>
              <w:right w:val="single" w:sz="4" w:space="0" w:color="auto"/>
            </w:tcBorders>
            <w:shd w:val="clear" w:color="auto" w:fill="auto"/>
            <w:noWrap/>
            <w:vAlign w:val="bottom"/>
            <w:hideMark/>
          </w:tcPr>
          <w:p w14:paraId="293B5C6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1918</w:t>
            </w:r>
          </w:p>
        </w:tc>
        <w:tc>
          <w:tcPr>
            <w:tcW w:w="399" w:type="pct"/>
            <w:tcBorders>
              <w:top w:val="nil"/>
              <w:left w:val="nil"/>
              <w:bottom w:val="single" w:sz="4" w:space="0" w:color="auto"/>
              <w:right w:val="single" w:sz="4" w:space="0" w:color="auto"/>
            </w:tcBorders>
            <w:shd w:val="clear" w:color="auto" w:fill="auto"/>
            <w:noWrap/>
            <w:vAlign w:val="bottom"/>
            <w:hideMark/>
          </w:tcPr>
          <w:p w14:paraId="6554A35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7B0B758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01A9BBD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797759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No</w:t>
            </w:r>
          </w:p>
        </w:tc>
      </w:tr>
      <w:tr w:rsidR="00665066" w:rsidRPr="009E0769" w14:paraId="1684DDB0"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BD4A3B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4799636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Cardoso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{"citationItems":[{"id":"ITEM-1","itemData":{"author":[{"dropping-particle":"","family":"Cardoso","given":"Elisabeth","non-dropping-particle":"","parse-names":false,"suffix":""},{"dropping-particle":"","family":"Salas Martins","given":"Ignez","non-dropping-particle":"","parse-names":false,"suffix":""},{"dropping-particle":"","family":"Fornari","given":"Luciana","non-dropping-particle":"","parse-names":false,"suffix":""},{"dropping-particle":"","family":"C.Monachini","given":"Maristela","non-dropping-particle":"","parse-names":false,"suffix":""},{"dropping-particle":"","family":"Pádua Mansur","given":"Antonio","non-dropping-particle":"De","parse-names":false,"suffix":""},{"dropping-particle":"","family":"Caramelli","given":"Bruno","non-dropping-particle":"","parse-names":false,"suffix":""}],"container-title":"Rev Assoc Med Bras","id":"ITEM-1","issue":"12","issued":{"date-parts":[["2002"]]},"page":"8","title":"ALTERAÇÕES ELETROCARDIOGRÁFICAS E SUA RELAÇÃO COM OS FATORES DE RISCO PARA DOENÇA ISQUÊMICA DO CORAÇÃO EM POPULAÇÃO DA ÁREA METROPOLITANA DE SÃO PAULO","type":"article-journal","volume":"1"},"uris":["http://www.mendeley.com/documents/?uuid=a6259da9-2bd8-4809-904b-07d8eb7530c0"]}],"mendeley":{"formattedCitation":"&lt;sup&gt;43&lt;/sup&gt;","plainTextFormattedCitation":"43","previouslyFormattedCitation":"&lt;sup&gt;43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43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286F13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2002</w:t>
            </w:r>
          </w:p>
        </w:tc>
        <w:tc>
          <w:tcPr>
            <w:tcW w:w="598" w:type="pct"/>
            <w:tcBorders>
              <w:top w:val="nil"/>
              <w:left w:val="nil"/>
              <w:bottom w:val="single" w:sz="4" w:space="0" w:color="auto"/>
              <w:right w:val="single" w:sz="4" w:space="0" w:color="auto"/>
            </w:tcBorders>
            <w:shd w:val="clear" w:color="auto" w:fill="auto"/>
            <w:noWrap/>
            <w:vAlign w:val="bottom"/>
            <w:hideMark/>
          </w:tcPr>
          <w:p w14:paraId="6DE05E1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1991</w:t>
            </w:r>
          </w:p>
        </w:tc>
        <w:tc>
          <w:tcPr>
            <w:tcW w:w="548" w:type="pct"/>
            <w:tcBorders>
              <w:top w:val="nil"/>
              <w:left w:val="nil"/>
              <w:bottom w:val="single" w:sz="4" w:space="0" w:color="auto"/>
              <w:right w:val="single" w:sz="4" w:space="0" w:color="auto"/>
            </w:tcBorders>
            <w:shd w:val="clear" w:color="auto" w:fill="auto"/>
            <w:noWrap/>
            <w:vAlign w:val="bottom"/>
            <w:hideMark/>
          </w:tcPr>
          <w:p w14:paraId="5386580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1067</w:t>
            </w:r>
          </w:p>
        </w:tc>
        <w:tc>
          <w:tcPr>
            <w:tcW w:w="399" w:type="pct"/>
            <w:tcBorders>
              <w:top w:val="nil"/>
              <w:left w:val="nil"/>
              <w:bottom w:val="single" w:sz="4" w:space="0" w:color="auto"/>
              <w:right w:val="single" w:sz="4" w:space="0" w:color="auto"/>
            </w:tcBorders>
            <w:shd w:val="clear" w:color="auto" w:fill="auto"/>
            <w:noWrap/>
            <w:vAlign w:val="bottom"/>
            <w:hideMark/>
          </w:tcPr>
          <w:p w14:paraId="63EC871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40.7</w:t>
            </w:r>
          </w:p>
        </w:tc>
        <w:tc>
          <w:tcPr>
            <w:tcW w:w="449" w:type="pct"/>
            <w:tcBorders>
              <w:top w:val="nil"/>
              <w:left w:val="nil"/>
              <w:bottom w:val="single" w:sz="4" w:space="0" w:color="auto"/>
              <w:right w:val="single" w:sz="4" w:space="0" w:color="auto"/>
            </w:tcBorders>
            <w:shd w:val="clear" w:color="auto" w:fill="auto"/>
            <w:noWrap/>
            <w:vAlign w:val="bottom"/>
            <w:hideMark/>
          </w:tcPr>
          <w:p w14:paraId="0408840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39.8</w:t>
            </w:r>
          </w:p>
        </w:tc>
        <w:tc>
          <w:tcPr>
            <w:tcW w:w="498" w:type="pct"/>
            <w:tcBorders>
              <w:top w:val="nil"/>
              <w:left w:val="nil"/>
              <w:bottom w:val="single" w:sz="4" w:space="0" w:color="auto"/>
              <w:right w:val="single" w:sz="4" w:space="0" w:color="auto"/>
            </w:tcBorders>
            <w:shd w:val="clear" w:color="auto" w:fill="auto"/>
            <w:noWrap/>
            <w:vAlign w:val="bottom"/>
            <w:hideMark/>
          </w:tcPr>
          <w:p w14:paraId="55BE039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59CAC2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223ED7F3"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2395F1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6E029B8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Buffarini</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{"citationItems":[{"id":"ITEM-1","itemData":{"DOI":"10.1136/bmjopen-2017-019164","abstract":"Objective To evaluate the association between growth trajectories from birth to adolescence and cardiovascular risk marker levels at age 18 years in a population-based cohort. In order to disentangle the effect of weight gain from that of height gain, growth was analysed using conditional weight relative to linear growth (CWh) and conditional length/height (CH). Design Prospective study. Setting 1993 Pelotas birth cohort, Southern Brazil. Participants Individuals who have been followed up from birth to adolescence (at birth, 1, 4, 11, 15 and 18 years). Primary outcome measures C-reactive protein (CRP), total cholesterol (TC), LDL cholesterol (LDL-C), HDL-cholesterol (HDL-C), triglycerides (TGL), systolic and diastolic blood pressure (SBP and DBP), body mass index (BMI) and waist circumference (WC). Results In both sexes, greater CWh at 1 year was positively associated with BMI and WC, whereas greater CWh at most age periods in childhood and adolescence predicted higher CRP, TC, LDL-C, TGL, SBP, DBP, BMI and WC levels, as well as lower HDL-C level. Higher CH during infancy and childhood was positively related with SBP in boys and girls, and with BMI and WC only in boys. Conclusion Our study shows that rapid weight gain from 1 year onwards is positively associated with several markers of cardiovascular risk at 18 years. Overall, our results for the first year of life add evidence to the € first 1000 days initiative' suggesting that prevention of excessive weight gain in childhood might be important in reducing subsequent cardiovascular risk.","author":[{"dropping-particle":"","family":"Buffarini","given":"Romina","non-dropping-particle":"","parse-names":false,"suffix":""},{"dropping-particle":"","family":"Restrepo-Méndez","given":"María Clara","non-dropping-particle":"","parse-names":false,"suffix":""},{"dropping-particle":"","family":"Silveira","given":"Vera Maria","non-dropping-particle":"","parse-names":false,"suffix":""},{"dropping-particle":"","family":"Gonçalves","given":"Helen D","non-dropping-particle":"","parse-names":false,"suffix":""},{"dropping-particle":"","family":"Oliveira","given":"Isabel O","non-dropping-particle":"","parse-names":false,"suffix":""},{"dropping-particle":"","family":"Menezes","given":"Ana Maria","non-dropping-particle":"","parse-names":false,"suffix":""},{"dropping-particle":"","family":"Formoso Assunção","given":"Maria Cecília","non-dropping-particle":"","parse-names":false,"suffix":""}],"container-title":"BMJ Open","id":"ITEM-1","issue":"1","issued":{"date-parts":[["2018"]]},"page":"1-8","title":"Growth across life course and cardiovascular risk markers in 18-year-old adolescents: The 1993 Pelotas birth cohort","type":"article-journal","volume":"8"},"uris":["http://www.mendeley.com/documents/?uuid=babfeb70-4ca3-4c33-bbae-9ed8311215bf"]}],"mendeley":{"formattedCitation":"&lt;sup&gt;44&lt;/sup&gt;","plainTextFormattedCitation":"44","previouslyFormattedCitation":"&lt;sup&gt;44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44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515422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2018</w:t>
            </w:r>
          </w:p>
        </w:tc>
        <w:tc>
          <w:tcPr>
            <w:tcW w:w="598" w:type="pct"/>
            <w:tcBorders>
              <w:top w:val="nil"/>
              <w:left w:val="nil"/>
              <w:bottom w:val="single" w:sz="4" w:space="0" w:color="auto"/>
              <w:right w:val="single" w:sz="4" w:space="0" w:color="auto"/>
            </w:tcBorders>
            <w:shd w:val="clear" w:color="auto" w:fill="auto"/>
            <w:noWrap/>
            <w:vAlign w:val="bottom"/>
            <w:hideMark/>
          </w:tcPr>
          <w:p w14:paraId="4B9837F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1993</w:t>
            </w:r>
          </w:p>
        </w:tc>
        <w:tc>
          <w:tcPr>
            <w:tcW w:w="548" w:type="pct"/>
            <w:tcBorders>
              <w:top w:val="nil"/>
              <w:left w:val="nil"/>
              <w:bottom w:val="single" w:sz="4" w:space="0" w:color="auto"/>
              <w:right w:val="single" w:sz="4" w:space="0" w:color="auto"/>
            </w:tcBorders>
            <w:shd w:val="clear" w:color="auto" w:fill="auto"/>
            <w:noWrap/>
            <w:vAlign w:val="bottom"/>
            <w:hideMark/>
          </w:tcPr>
          <w:p w14:paraId="29A828E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917</w:t>
            </w:r>
          </w:p>
        </w:tc>
        <w:tc>
          <w:tcPr>
            <w:tcW w:w="399" w:type="pct"/>
            <w:tcBorders>
              <w:top w:val="nil"/>
              <w:left w:val="nil"/>
              <w:bottom w:val="single" w:sz="4" w:space="0" w:color="auto"/>
              <w:right w:val="single" w:sz="4" w:space="0" w:color="auto"/>
            </w:tcBorders>
            <w:shd w:val="clear" w:color="auto" w:fill="auto"/>
            <w:noWrap/>
            <w:vAlign w:val="bottom"/>
            <w:hideMark/>
          </w:tcPr>
          <w:p w14:paraId="3335A01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47.76</w:t>
            </w:r>
          </w:p>
        </w:tc>
        <w:tc>
          <w:tcPr>
            <w:tcW w:w="449" w:type="pct"/>
            <w:tcBorders>
              <w:top w:val="nil"/>
              <w:left w:val="nil"/>
              <w:bottom w:val="single" w:sz="4" w:space="0" w:color="auto"/>
              <w:right w:val="single" w:sz="4" w:space="0" w:color="auto"/>
            </w:tcBorders>
            <w:shd w:val="clear" w:color="auto" w:fill="auto"/>
            <w:noWrap/>
            <w:vAlign w:val="bottom"/>
            <w:hideMark/>
          </w:tcPr>
          <w:p w14:paraId="2B4ACC4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18.5</w:t>
            </w:r>
          </w:p>
        </w:tc>
        <w:tc>
          <w:tcPr>
            <w:tcW w:w="498" w:type="pct"/>
            <w:tcBorders>
              <w:top w:val="nil"/>
              <w:left w:val="nil"/>
              <w:bottom w:val="single" w:sz="4" w:space="0" w:color="auto"/>
              <w:right w:val="single" w:sz="4" w:space="0" w:color="auto"/>
            </w:tcBorders>
            <w:shd w:val="clear" w:color="auto" w:fill="auto"/>
            <w:noWrap/>
            <w:vAlign w:val="bottom"/>
            <w:hideMark/>
          </w:tcPr>
          <w:p w14:paraId="6F8C5FD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744B77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No</w:t>
            </w:r>
          </w:p>
        </w:tc>
      </w:tr>
      <w:tr w:rsidR="00665066" w:rsidRPr="009E0769" w14:paraId="0146201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FEF540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7B7766B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De Oliveira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{"citationItems":[{"id":"ITEM-1","itemData":{"DOI":"10.1186/1476-511X-9-128","abstract":"Background. Cardiovascular diseases (CVD) are the main cause of death and disability in developed countries. In most cases, the progress of CVD is influenced by environmental factors and multifactorial inheritance. The purpose of this study was to investigate the association between APOE genotypes, cardiovascular risk factors, and a non-invasive measure of arterial stiffness in the Brazilian population. Methods. A total of 1493 urban Brazilian individuals were randomly selected from the general population of the Vitoria City Metropolitan area. Genetic analysis of the APOE polymorphism was conducted by PCR-RFLP and pulse wave velocity analyzed with a noninvasive automatic device. Results. Age, gender, body mass index, triglycerides, creatinine, uric acid, blood glucose, blood pressure phenotypes were no different between 2, 3 and 4 alleles. The 4 allele was associated with higher total-cholesterol (p &lt; 0.001), LDL-C (p &lt; 0.001), total-cholesterol/HDL-C ratio (p &lt; 0.001), LDL/HDL-C ratio (p &lt; 0.001), lower HDL-C values (p &lt; 0.001) and higher risk to obesity (OR = 1.358, 95% CI = 1.019-1.811) and hyperuricemia (OR = 1.748, 95% CI = 1.170-2.611). Nevertheless, pulse wave velocity (p = 0.66) measures were no different between genotypes. The significant association between APOE genotypes and lipid levels persisted after a 5-year follow-up interval, but no interaction between time and genotype was observed for lipids longitudinal behavior. Conclusion. The 4 allele of the APOE gene is associated with a worse lipid profile in the Brazilian urban population. In our relatively young sample, the observed effect of APOE genotype on lipid levels was not translated into significant effects in arterial wall stiffness. © 2010 Alvim et al; licensee BioMed Central Ltd.","author":[{"dropping-particle":"","family":"Alvim","given":"Rafael O","non-dropping-particle":"","parse-names":false,"suffix":""},{"dropping-particle":"","family":"Freitas","given":"Silvia Rs","non-dropping-particle":"","parse-names":false,"suffix":""},{"dropping-particle":"","family":"Ferreira","given":"Noely E","non-dropping-particle":"","parse-names":false,"suffix":""},{"dropping-particle":"","family":"Santos","given":"Paulo Cjl","non-dropping-particle":"","parse-names":false,"suffix":""},{"dropping-particle":"","family":"Cunha","given":"Roberto S","non-dropping-particle":"","parse-names":false,"suffix":""},{"dropping-particle":"","family":"Mill","given":"José G","non-dropping-particle":"","parse-names":false,"suffix":""},{"dropping-particle":"","family":"Krieger","given":"José E","non-dropping-particle":"","parse-names":false,"suffix":""},{"dropping-particle":"","family":"Pereira","given":"Alexandre C","non-dropping-particle":"","parse-names":false,"suffix":""}],"container-title":"Lipids in Health and Disease","id":"ITEM-1","issue":"1","issued":{"date-parts":[["2010"]]},"page":"128","title":"APOE polymorphism is associated with lipid profile, but not with arterial stiffness in the general population","type":"article-journal","volume":"9"},"uris":["http://www.mendeley.com/documents/?uuid=c2036931-d77f-404e-93cf-38ea64fa9af6"]}],"mendeley":{"formattedCitation":"&lt;sup&gt;45&lt;/sup&gt;","plainTextFormattedCitation":"45","previouslyFormattedCitation":"&lt;sup&gt;45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45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EAC299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1DC5294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1999</w:t>
            </w:r>
          </w:p>
        </w:tc>
        <w:tc>
          <w:tcPr>
            <w:tcW w:w="548" w:type="pct"/>
            <w:tcBorders>
              <w:top w:val="nil"/>
              <w:left w:val="nil"/>
              <w:bottom w:val="single" w:sz="4" w:space="0" w:color="auto"/>
              <w:right w:val="single" w:sz="4" w:space="0" w:color="auto"/>
            </w:tcBorders>
            <w:shd w:val="clear" w:color="auto" w:fill="auto"/>
            <w:noWrap/>
            <w:vAlign w:val="bottom"/>
            <w:hideMark/>
          </w:tcPr>
          <w:p w14:paraId="2FCC657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1461</w:t>
            </w:r>
          </w:p>
        </w:tc>
        <w:tc>
          <w:tcPr>
            <w:tcW w:w="399" w:type="pct"/>
            <w:tcBorders>
              <w:top w:val="nil"/>
              <w:left w:val="nil"/>
              <w:bottom w:val="single" w:sz="4" w:space="0" w:color="auto"/>
              <w:right w:val="single" w:sz="4" w:space="0" w:color="auto"/>
            </w:tcBorders>
            <w:shd w:val="clear" w:color="auto" w:fill="auto"/>
            <w:noWrap/>
            <w:vAlign w:val="bottom"/>
            <w:hideMark/>
          </w:tcPr>
          <w:p w14:paraId="4F5CC78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46.4</w:t>
            </w:r>
          </w:p>
        </w:tc>
        <w:tc>
          <w:tcPr>
            <w:tcW w:w="449" w:type="pct"/>
            <w:tcBorders>
              <w:top w:val="nil"/>
              <w:left w:val="nil"/>
              <w:bottom w:val="single" w:sz="4" w:space="0" w:color="auto"/>
              <w:right w:val="single" w:sz="4" w:space="0" w:color="auto"/>
            </w:tcBorders>
            <w:shd w:val="clear" w:color="auto" w:fill="auto"/>
            <w:noWrap/>
            <w:vAlign w:val="bottom"/>
            <w:hideMark/>
          </w:tcPr>
          <w:p w14:paraId="355EEB8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44.8</w:t>
            </w:r>
          </w:p>
        </w:tc>
        <w:tc>
          <w:tcPr>
            <w:tcW w:w="498" w:type="pct"/>
            <w:tcBorders>
              <w:top w:val="nil"/>
              <w:left w:val="nil"/>
              <w:bottom w:val="single" w:sz="4" w:space="0" w:color="auto"/>
              <w:right w:val="single" w:sz="4" w:space="0" w:color="auto"/>
            </w:tcBorders>
            <w:shd w:val="clear" w:color="auto" w:fill="auto"/>
            <w:noWrap/>
            <w:vAlign w:val="bottom"/>
            <w:hideMark/>
          </w:tcPr>
          <w:p w14:paraId="157E1B9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1F64F1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26A7E6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A4B002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2A51CF8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Martins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{"citationItems":[{"id":"ITEM-1","itemData":{"ISSN":"0034-8910","abstract":"A survey of the prevalence of lipemic disorders and some risk factors associated with them (obesity, hypertension and alcoholism), in a representative sample of the population of 20 years of age and over in a locality typical of the peripheral zone of the Greater S. Paulo Region, Brazil, both in terms of the poverty of the population and with regard to the lack of public sources such as sewage, transport and housing, is undertaken. The following results were obtained: a) the prevalence of one risk factor was about 55%, and of two or more associated risk factors was of approximately 9% in the age group from 20 to 39. There was found to be a prevalence of about 51% and 57%, respectively of two or more associated risk factors for the age groups from 40 to 59 and 60 years of age and over; b) the prevalence of lipemic disorders proper was of about 49%, 58% and 57% respectively, for the age groups of 20 to 39, 40 to 59 and 60 years of age and over. In these cases the most prevalent risk factors among men were alcoholism and hypertension, either isolatedly or associated with obesity, and among women the most prevalent was obesity, alone or associated with hypertension; c) the most prevalent lipemic disorder was due to HDL-cholesterol, mainly among the younger people. The prevalence lower-than-normal HDL-cholesterol, was of about 28% and of \"other lipemic disorders\" was of 22% in the age group between 20 and 39 years of age.(ABSTRACT TRUNCATED AT 250 WORDS)","author":[{"dropping-particle":"","family":"Martins","given":"I S","non-dropping-particle":"","parse-names":false,"suffix":""},{"dropping-particle":"","family":"Coelho","given":"L T","non-dropping-particle":"","parse-names":false,"suffix":""},{"dropping-particle":"","family":"Matos","given":"I M","non-dropping-particle":"","parse-names":false,"suffix":""},{"dropping-particle":"","family":"Mazzilli","given":"R N","non-dropping-particle":"","parse-names":false,"suffix":""},{"dropping-particle":"","family":"Trigo","given":"M","non-dropping-particle":"","parse-names":false,"suffix":""},{"dropping-particle":"","family":"Wilson","given":"D","non-dropping-particle":"","parse-names":false,"suffix":""}],"container-title":"Dislipidemias e alguns fatores de risco associados em uma populacao periferica da Regiao Metropolitana de Sao Paulo, SP-Brasil. Um estudo piloto.","id":"ITEM-1","issue":"3","issued":{"date-parts":[["1989"]]},"page":"236-243","title":"[Dyslipidemia and some risk factors in the population outside of the metropolitan region of Sao Paulo, SP-Brazil. A pilot study]","type":"article-journal","volume":"23"},"uris":["http://www.mendeley.com/documents/?uuid=08080dda-5267-4fde-abc4-554269527358"]}],"mendeley":{"formattedCitation":"&lt;sup&gt;46&lt;/sup&gt;","plainTextFormattedCitation":"46","previouslyFormattedCitation":"&lt;sup&gt;46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46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F93610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1989</w:t>
            </w:r>
          </w:p>
        </w:tc>
        <w:tc>
          <w:tcPr>
            <w:tcW w:w="598" w:type="pct"/>
            <w:tcBorders>
              <w:top w:val="nil"/>
              <w:left w:val="nil"/>
              <w:bottom w:val="single" w:sz="4" w:space="0" w:color="auto"/>
              <w:right w:val="single" w:sz="4" w:space="0" w:color="auto"/>
            </w:tcBorders>
            <w:shd w:val="clear" w:color="auto" w:fill="auto"/>
            <w:noWrap/>
            <w:vAlign w:val="bottom"/>
            <w:hideMark/>
          </w:tcPr>
          <w:p w14:paraId="73FF4F5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1987</w:t>
            </w:r>
          </w:p>
        </w:tc>
        <w:tc>
          <w:tcPr>
            <w:tcW w:w="548" w:type="pct"/>
            <w:tcBorders>
              <w:top w:val="nil"/>
              <w:left w:val="nil"/>
              <w:bottom w:val="single" w:sz="4" w:space="0" w:color="auto"/>
              <w:right w:val="single" w:sz="4" w:space="0" w:color="auto"/>
            </w:tcBorders>
            <w:shd w:val="clear" w:color="auto" w:fill="auto"/>
            <w:noWrap/>
            <w:vAlign w:val="bottom"/>
            <w:hideMark/>
          </w:tcPr>
          <w:p w14:paraId="2492D29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279</w:t>
            </w:r>
          </w:p>
        </w:tc>
        <w:tc>
          <w:tcPr>
            <w:tcW w:w="399" w:type="pct"/>
            <w:tcBorders>
              <w:top w:val="nil"/>
              <w:left w:val="nil"/>
              <w:bottom w:val="single" w:sz="4" w:space="0" w:color="auto"/>
              <w:right w:val="single" w:sz="4" w:space="0" w:color="auto"/>
            </w:tcBorders>
            <w:shd w:val="clear" w:color="auto" w:fill="auto"/>
            <w:noWrap/>
            <w:vAlign w:val="bottom"/>
            <w:hideMark/>
          </w:tcPr>
          <w:p w14:paraId="2FA5773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79DB780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399B3A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A8F317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EF3118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A80D24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5B10780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Fornes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{"citationItems":[{"id":"ITEM-1","itemData":{"ISSN":"0034-8910","abstract":"Objetivo: Identificar a associaçäo entre a freqüência de consumo de diferentes grupos de alimentos e níveis de lipídios séricos de adultos. Métodos: As observaçöes pertencem a um estudo transversal e correspondem a uma amostra representativa de 1045 adultos de ambos os sexos, de 20 anos ou mais, residentes no município de Cotia, SP, Brasil. Foram determinados a ingestäo de alimentos pela freqüência de consumo alimentar, níveis de lipídios séricos e outras variáveis. Foram elaborados modelos de regressäo linear múltipla (stopwise forward) para LDL-C e HDL-C, ajustados por: idade, sexo, índice de massa corpórea, relaçäo cintura quadril, nível educacional, renda familiar, atividade física, tabagismo e etilismo. Resultados: O consumo de carnes (bovina, suína, aves, vísceras e carnes processadas), leite e derivados e ovos correlacionou-se positiva e significativamente com LDL-C. O consumo de frutas e hortaliças mostraram correlaçäo inversa e significativa. O consumo de: carnes de aves, carnes vermelhas, ovos e leite e derivados foram associados com um aumento na LDL-C de 16,6 mg/dl, 14,5 mg/dl, 11,1 mg/dl, 5,8 mg/dl e 4,6 mg/dl, respectivamente. O aumento no consumo de frutas e hortaliças foi correlacionado com uma reduçäo de 5,2 mg/dl e 5,5 mg/dl nos níveis de LDL-C, respectivamente. O consumo de bebidas alcoólicas se relacionou positiva e significativamente com a fraçäo HDL-C. Conclusöes: Na populaçäo brasileira estudada, observou-se que os hábitos alimentares parecem contribuir para as variaçöes na concentraçäo dos lipídios séricos de LDL-C e HDL-C. Reduçäo nos riscos de doenças cardiovasculares podem ser alcançados por meio de controle dietético","author":[{"dropping-particle":"","family":"Fornés","given":"Nélida Schmid","non-dropping-particle":"","parse-names":false,"suffix":""},{"dropping-particle":"","family":"Martins","given":"Ignez Salas","non-dropping-particle":"","parse-names":false,"suffix":""},{"dropping-particle":"","family":"Hernan","given":"Miguel","non-dropping-particle":"","parse-names":false,"suffix":""},{"dropping-particle":"","family":"Velásquez-Meléndez","given":"Gustavo","non-dropping-particle":"","parse-names":false,"suffix":""},{"dropping-particle":"","family":"Ascherio","given":"Alberto","non-dropping-particle":"","parse-names":false,"suffix":""}],"container-title":"Rev Saude Publica","id":"ITEM-1","issue":"4","issued":{"date-parts":[["2000"]]},"language":"en","page":"380-387","title":"Food frequency consumption and lipoproteins serum levels in the population of an urban area, Brazil","type":"article-journal","volume":"34"},"uris":["http://www.mendeley.com/documents/?uuid=eebd54a7-01dd-474d-9d35-78215220f379"]}],"mendeley":{"formattedCitation":"&lt;sup&gt;47&lt;/sup&gt;","plainTextFormattedCitation":"47","previouslyFormattedCitation":"&lt;sup&gt;47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47</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 xml:space="preserve"> </w:t>
            </w:r>
          </w:p>
        </w:tc>
        <w:tc>
          <w:tcPr>
            <w:tcW w:w="648" w:type="pct"/>
            <w:tcBorders>
              <w:top w:val="nil"/>
              <w:left w:val="nil"/>
              <w:bottom w:val="single" w:sz="4" w:space="0" w:color="auto"/>
              <w:right w:val="single" w:sz="4" w:space="0" w:color="auto"/>
            </w:tcBorders>
            <w:shd w:val="clear" w:color="auto" w:fill="auto"/>
            <w:noWrap/>
            <w:vAlign w:val="bottom"/>
            <w:hideMark/>
          </w:tcPr>
          <w:p w14:paraId="21D8F31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2000</w:t>
            </w:r>
          </w:p>
        </w:tc>
        <w:tc>
          <w:tcPr>
            <w:tcW w:w="598" w:type="pct"/>
            <w:tcBorders>
              <w:top w:val="nil"/>
              <w:left w:val="nil"/>
              <w:bottom w:val="single" w:sz="4" w:space="0" w:color="auto"/>
              <w:right w:val="single" w:sz="4" w:space="0" w:color="auto"/>
            </w:tcBorders>
            <w:shd w:val="clear" w:color="auto" w:fill="auto"/>
            <w:noWrap/>
            <w:vAlign w:val="bottom"/>
            <w:hideMark/>
          </w:tcPr>
          <w:p w14:paraId="1AF297B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1990</w:t>
            </w:r>
          </w:p>
        </w:tc>
        <w:tc>
          <w:tcPr>
            <w:tcW w:w="548" w:type="pct"/>
            <w:tcBorders>
              <w:top w:val="nil"/>
              <w:left w:val="nil"/>
              <w:bottom w:val="single" w:sz="4" w:space="0" w:color="auto"/>
              <w:right w:val="single" w:sz="4" w:space="0" w:color="auto"/>
            </w:tcBorders>
            <w:shd w:val="clear" w:color="auto" w:fill="auto"/>
            <w:noWrap/>
            <w:vAlign w:val="bottom"/>
            <w:hideMark/>
          </w:tcPr>
          <w:p w14:paraId="67B22F1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1328</w:t>
            </w:r>
          </w:p>
        </w:tc>
        <w:tc>
          <w:tcPr>
            <w:tcW w:w="399" w:type="pct"/>
            <w:tcBorders>
              <w:top w:val="nil"/>
              <w:left w:val="nil"/>
              <w:bottom w:val="single" w:sz="4" w:space="0" w:color="auto"/>
              <w:right w:val="single" w:sz="4" w:space="0" w:color="auto"/>
            </w:tcBorders>
            <w:shd w:val="clear" w:color="auto" w:fill="auto"/>
            <w:noWrap/>
            <w:vAlign w:val="bottom"/>
            <w:hideMark/>
          </w:tcPr>
          <w:p w14:paraId="39C4DA9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41.15</w:t>
            </w:r>
          </w:p>
        </w:tc>
        <w:tc>
          <w:tcPr>
            <w:tcW w:w="449" w:type="pct"/>
            <w:tcBorders>
              <w:top w:val="nil"/>
              <w:left w:val="nil"/>
              <w:bottom w:val="single" w:sz="4" w:space="0" w:color="auto"/>
              <w:right w:val="single" w:sz="4" w:space="0" w:color="auto"/>
            </w:tcBorders>
            <w:shd w:val="clear" w:color="auto" w:fill="auto"/>
            <w:noWrap/>
            <w:vAlign w:val="bottom"/>
            <w:hideMark/>
          </w:tcPr>
          <w:p w14:paraId="5001F7B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68A12A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9FAA0A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E77D889"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DF4F5A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5980368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Martins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{"citationItems":[{"id":"ITEM-1","itemData":{"ISSN":"0034-8910","abstract":"This study has sought to characterize the prevalence of lipemic disorders and other risk factors of atheroschlerotic cardiovascular disease in population groups of Cotia county in Greater S. Paulo, Brazil. The population groups were defined on the basis of socio-economic characteristics and geographical location within the county such as provided elements for the delimitation of the \"study areas\". A sample representative of each of these areas was taken, constituting in all 1,041 individuals. The data related to eating habits were collected from a subsample of 568 people. The lipemic disorders diagnosed were as follows: high risk hypercholesterolemias with values ≈ 240mg/dl for total cholesterol and ≈ 160mg/dl for LDL-cholesterol; borderline risk hypercholesterolemias with values &amp;gt; 200mg/dl and &amp;gt; 130mg/dl for total cholesterol and LDL-cholesterol respectively; hypertriglyceridemia, with values ≈ 250mg/dl. The following risk factors were included: atherogenic eating habits (consumption of proteins of animal origin, saturated fats and cholesterol), smoking, drinking, sedentary life style, obesity (IMC &amp;gt;25kg/m2), hypertension (140/90mmHg) and diabetes mellitus (glycemia&amp;gt;120mg/dl). The results found were the following: 1- the average number of risk factors was significant by greater among men than among women, for the age groups below 50 years of age (p&amp;lt;0.01); between 50 and 55 years of age they were equal for the two groups, reaching their greatest value at 60 years of age with a sharp reduction after this latter age as regard the men but presenting a constant gradual increase for the women; 2 - the average number of risk factors increased with age for both sexes (p&amp;lt;0.01); 3 - the prevalences of high risk hypercholesterolemias together with hypertriglyceridemia (&amp;gt;=250mg/dl) were significantly greater in the classes of higher socio-economic level; 4 - the lipemic profile associated with lipemic disorders show that these latter rarely occur with just one constituent in isolation; 5 - when the high-risk hypercolesterolemias are added to the borderline cases accompanied by two or more risk factors and hypertriglyceridemia they give a total of 39.2% of men and 32.8% of women, that is to say, 35.4% of the sample need immediate clinical-educational intervention.","author":[{"dropping-particle":"","family":"Martins","given":"I S","non-dropping-particle":"","parse-names":false,"suffix":""},{"dropping-particle":"","family":"Nunes Marucci","given":"M D F","non-dropping-particle":"","parse-names":false,"suffix":""},{"dropping-particle":"","family":"Cervato","given":"A M","non-dropping-particle":"","parse-names":false,"suffix":""},{"dropping-particle":"","family":"Okani","given":"E T","non-dropping-particle":"","parse-names":false,"suffix":""},{"dropping-particle":"","family":"Mazzilli","given":"R N","non-dropping-particle":"","parse-names":false,"suffix":""},{"dropping-particle":"","family":"Casajus","given":"M I","non-dropping-particle":"","parse-names":false,"suffix":""}],"container-title":"Revista de Saude Publica","id":"ITEM-1","issue":"1","issued":{"date-parts":[["1996"]]},"page":"75-84","title":"Atherosclerotic cardiovascular disease, lipemic disorders, hypertension, obesity and diabetes millitus in the population of a metropolitan area of southeastern Brazil. II - Lipemic disorders","type":"article-journal","volume":"30"},"uris":["http://www.mendeley.com/documents/?uuid=1b7284e9-f63e-41db-9074-5f05952c2bd5"]}],"mendeley":{"formattedCitation":"&lt;sup&gt;48&lt;/sup&gt;","plainTextFormattedCitation":"48","previouslyFormattedCitation":"&lt;sup&gt;48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48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6B8710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1996</w:t>
            </w:r>
          </w:p>
        </w:tc>
        <w:tc>
          <w:tcPr>
            <w:tcW w:w="598" w:type="pct"/>
            <w:tcBorders>
              <w:top w:val="nil"/>
              <w:left w:val="nil"/>
              <w:bottom w:val="single" w:sz="4" w:space="0" w:color="auto"/>
              <w:right w:val="single" w:sz="4" w:space="0" w:color="auto"/>
            </w:tcBorders>
            <w:shd w:val="clear" w:color="auto" w:fill="auto"/>
            <w:noWrap/>
            <w:vAlign w:val="bottom"/>
            <w:hideMark/>
          </w:tcPr>
          <w:p w14:paraId="0CD4AB7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1991</w:t>
            </w:r>
          </w:p>
        </w:tc>
        <w:tc>
          <w:tcPr>
            <w:tcW w:w="548" w:type="pct"/>
            <w:tcBorders>
              <w:top w:val="nil"/>
              <w:left w:val="nil"/>
              <w:bottom w:val="single" w:sz="4" w:space="0" w:color="auto"/>
              <w:right w:val="single" w:sz="4" w:space="0" w:color="auto"/>
            </w:tcBorders>
            <w:shd w:val="clear" w:color="auto" w:fill="auto"/>
            <w:noWrap/>
            <w:vAlign w:val="bottom"/>
            <w:hideMark/>
          </w:tcPr>
          <w:p w14:paraId="55C2446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1049</w:t>
            </w:r>
          </w:p>
        </w:tc>
        <w:tc>
          <w:tcPr>
            <w:tcW w:w="399" w:type="pct"/>
            <w:tcBorders>
              <w:top w:val="nil"/>
              <w:left w:val="nil"/>
              <w:bottom w:val="single" w:sz="4" w:space="0" w:color="auto"/>
              <w:right w:val="single" w:sz="4" w:space="0" w:color="auto"/>
            </w:tcBorders>
            <w:shd w:val="clear" w:color="auto" w:fill="auto"/>
            <w:noWrap/>
            <w:vAlign w:val="bottom"/>
            <w:hideMark/>
          </w:tcPr>
          <w:p w14:paraId="18C7E7C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41.11</w:t>
            </w:r>
          </w:p>
        </w:tc>
        <w:tc>
          <w:tcPr>
            <w:tcW w:w="449" w:type="pct"/>
            <w:tcBorders>
              <w:top w:val="nil"/>
              <w:left w:val="nil"/>
              <w:bottom w:val="single" w:sz="4" w:space="0" w:color="auto"/>
              <w:right w:val="single" w:sz="4" w:space="0" w:color="auto"/>
            </w:tcBorders>
            <w:shd w:val="clear" w:color="auto" w:fill="auto"/>
            <w:noWrap/>
            <w:vAlign w:val="bottom"/>
            <w:hideMark/>
          </w:tcPr>
          <w:p w14:paraId="4813C9D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3A33CD7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05E588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048AA5E"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6BAEC5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4C09A716"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Correa Leite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{"citationItems":[{"id":"ITEM-1","itemData":{"DOI":"10.1038/hr.2012.175","ISSN":"0916-9636","PMID":"23076405","abstract":"The role of apolipoprotein E (apoE) polymorphisms in regulating blood pressure (BP) is still not clear. The aim of this study was to examine longitudinal changes in BP levels by apoE genotypes in a population-based prospective cohort of elderly subjects, and explore interactions with plasma lipids and uric acid. Subjects whose apoE genes had been genotyped at baseline (1408, representing 80.8% of all the elderly residents in Bambuì city, south-eastern Brazil; age range 60-95 years) were included in the analysis. Repeated BP measurements were obtained in four waves. Multi-level random-effects pattern-mixture models were used to evaluate the age-related BP trajectories, accounting for non-ignorable dropouts/deaths and handling heterogeneities as random parameter variations. Subjects with the ɛ4/4 genotype and high levels of low-density lipoprotein cholesterol had higher systolic BP levels at 60 years of age than those with the other genotypes (154.5 vs. 133.2 mm Hg, P=0.020), but this was not the case among the older subjects. Systolic BP increased more rapidly with age in the ɛ2 carriers, leading to significantly higher levels among the oldest. This relationship seemed to be modulated by uric acid levels, as it was present in the subjects with the ɛ2/3 genotype and high uric acid levels, and in those with the ɛ2/4 genotype and low or normal uric acid levels. The differences in systolic BP between the genotypes were age dependent, and the shift between the ɛ4 and ɛ2 alleles suggest that these alleles are involved in the different mechanisms leading to increased BP in middle-aged and elderly subjects.","author":[{"dropping-particle":"","family":"Léa Correa Leite","given":"Maria","non-dropping-particle":"","parse-names":false,"suffix":""},{"dropping-particle":"","family":"Fernanda Lima-Costa","given":"Maria","non-dropping-particle":"","parse-names":false,"suffix":""},{"dropping-particle":"","family":"Moriguchi","given":"Emilio H","non-dropping-particle":"","parse-names":false,"suffix":""}],"container-title":"Hypertension Research","id":"ITEM-1","issue":"3","issued":{"date-parts":[["2013","3","18"]]},"page":"270-276","title":"Age-related trends of blood pressure levels by apolipoprotein E genotype: the Bambuì cohort study of ageing (1997–2008)","type":"article-journal","volume":"36"},"uris":["http://www.mendeley.com/documents/?uuid=996c1494-db6b-350e-b92c-de632d763190"]}],"mendeley":{"formattedCitation":"&lt;sup&gt;49&lt;/sup&gt;","plainTextFormattedCitation":"49","previouslyFormattedCitation":"&lt;sup&gt;49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49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95BDCE5"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4436183B"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1997</w:t>
            </w:r>
          </w:p>
        </w:tc>
        <w:tc>
          <w:tcPr>
            <w:tcW w:w="548" w:type="pct"/>
            <w:tcBorders>
              <w:top w:val="nil"/>
              <w:left w:val="nil"/>
              <w:bottom w:val="single" w:sz="4" w:space="0" w:color="auto"/>
              <w:right w:val="single" w:sz="4" w:space="0" w:color="auto"/>
            </w:tcBorders>
            <w:shd w:val="clear" w:color="auto" w:fill="auto"/>
            <w:noWrap/>
            <w:vAlign w:val="bottom"/>
            <w:hideMark/>
          </w:tcPr>
          <w:p w14:paraId="6A4C5D82"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1407</w:t>
            </w:r>
          </w:p>
        </w:tc>
        <w:tc>
          <w:tcPr>
            <w:tcW w:w="399" w:type="pct"/>
            <w:tcBorders>
              <w:top w:val="nil"/>
              <w:left w:val="nil"/>
              <w:bottom w:val="single" w:sz="4" w:space="0" w:color="auto"/>
              <w:right w:val="single" w:sz="4" w:space="0" w:color="auto"/>
            </w:tcBorders>
            <w:shd w:val="clear" w:color="auto" w:fill="auto"/>
            <w:noWrap/>
            <w:vAlign w:val="bottom"/>
            <w:hideMark/>
          </w:tcPr>
          <w:p w14:paraId="0EAC2869"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39.5</w:t>
            </w:r>
          </w:p>
        </w:tc>
        <w:tc>
          <w:tcPr>
            <w:tcW w:w="449" w:type="pct"/>
            <w:tcBorders>
              <w:top w:val="nil"/>
              <w:left w:val="nil"/>
              <w:bottom w:val="single" w:sz="4" w:space="0" w:color="auto"/>
              <w:right w:val="single" w:sz="4" w:space="0" w:color="auto"/>
            </w:tcBorders>
            <w:shd w:val="clear" w:color="auto" w:fill="auto"/>
            <w:noWrap/>
            <w:vAlign w:val="bottom"/>
            <w:hideMark/>
          </w:tcPr>
          <w:p w14:paraId="7D96F1FF"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69.1</w:t>
            </w:r>
          </w:p>
        </w:tc>
        <w:tc>
          <w:tcPr>
            <w:tcW w:w="498" w:type="pct"/>
            <w:tcBorders>
              <w:top w:val="nil"/>
              <w:left w:val="nil"/>
              <w:bottom w:val="single" w:sz="4" w:space="0" w:color="auto"/>
              <w:right w:val="single" w:sz="4" w:space="0" w:color="auto"/>
            </w:tcBorders>
            <w:shd w:val="clear" w:color="auto" w:fill="auto"/>
            <w:noWrap/>
            <w:vAlign w:val="bottom"/>
            <w:hideMark/>
          </w:tcPr>
          <w:p w14:paraId="22CECA23"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Community</w:t>
            </w:r>
            <w:proofErr w:type="spellEnd"/>
          </w:p>
        </w:tc>
        <w:tc>
          <w:tcPr>
            <w:tcW w:w="277" w:type="pct"/>
            <w:tcBorders>
              <w:top w:val="nil"/>
              <w:left w:val="nil"/>
              <w:bottom w:val="single" w:sz="4" w:space="0" w:color="auto"/>
              <w:right w:val="single" w:sz="4" w:space="0" w:color="auto"/>
            </w:tcBorders>
            <w:shd w:val="clear" w:color="auto" w:fill="auto"/>
            <w:noWrap/>
            <w:vAlign w:val="bottom"/>
            <w:hideMark/>
          </w:tcPr>
          <w:p w14:paraId="722D55FC"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Yes</w:t>
            </w:r>
          </w:p>
        </w:tc>
      </w:tr>
      <w:tr w:rsidR="00665066" w:rsidRPr="009E0769" w14:paraId="0FAB6A1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EBCC1E0"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Brazil</w:t>
            </w:r>
            <w:proofErr w:type="spellEnd"/>
          </w:p>
        </w:tc>
        <w:tc>
          <w:tcPr>
            <w:tcW w:w="1053" w:type="pct"/>
            <w:tcBorders>
              <w:top w:val="nil"/>
              <w:left w:val="nil"/>
              <w:bottom w:val="single" w:sz="4" w:space="0" w:color="auto"/>
              <w:right w:val="single" w:sz="4" w:space="0" w:color="auto"/>
            </w:tcBorders>
            <w:shd w:val="clear" w:color="auto" w:fill="auto"/>
            <w:noWrap/>
            <w:vAlign w:val="bottom"/>
            <w:hideMark/>
          </w:tcPr>
          <w:p w14:paraId="7A666D2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val="es-PE" w:eastAsia="en-GB"/>
              </w:rPr>
              <w:t>Gus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{"citationItems":[{"id":"ITEM-1","itemData":{"abstract":"OBJECTIVE: To determine the risk factors prevalence for coronary artery disease in the State of Rio Grande do Sul, Brazil and to identify their relation with the age bracket., METHODS: We carried out an observational, cross-sectional study of 1,066 adults older than 20 years in the Brazilian State of Rio Grande do Sul. We investigated the risk factors: familial antecedents, systemic arterial hypertension, high levels of cholesterol and glycemia, overweight/obesity, smoking and sedentary lifestyle. A standardized questionnaire completed at the patients' dwellings by health agents were used; the data were stored in an EPI-INFO software database. The results were expressed with a 95% confidence interval., RESULTS: The sample composition was of 51.8% females. The risk factors prevalences were: 1) sedentary lifestyle 71.3%; 2) familial antecedents: 57.3%; 3) overweight/obesity (body mass index &gt;25): 54.7%; 4) smokers: 33.9%; 5) hypertension: 31.6% (considering &gt;140/90 mm Hg) and 14.4% (considering &gt;160/95 mm Hg); 6) high glycemia (&gt;126 mg/dL): 7%; 7) high cholesterol &gt;240 mg/dL): 5.6%., CONCLUSION: The prevalence of the major risk factors for coronary artery disease in the Brazilian state of Rio Grande do Sul could be determined in a study that integrated public and private institutions.","author":[{"dropping-particle":"","family":"Gus","given":"Iseu","non-dropping-particle":"","parse-names":false,"suffix":""},{"dropping-particle":"","family":"Fischmann","given":"Airton","non-dropping-particle":"","parse-names":false,"suffix":""},{"dropping-particle":"","family":"Medina","given":"Claudio","non-dropping-particle":"","parse-names":false,"suffix":""}],"container-title":"Arquivos brasileiros de cardiologia","id":"ITEM-1","issue":"5","issued":{"date-parts":[["2002"]]},"page":"478-490","title":"Prevalence of risk factors for coronary artery disease in the Brazilian State of Rio Grande do Sul","type":"article-journal","volume":"78"},"uris":["http://www.mendeley.com/documents/?uuid=eeb0e5a3-f444-4383-8ed2-7a4954d923e3"]}],"mendeley":{"formattedCitation":"&lt;sup&gt;50&lt;/sup&gt;","plainTextFormattedCitation":"50","previouslyFormattedCitation":"&lt;sup&gt;50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50</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 xml:space="preserve"> </w:t>
            </w:r>
          </w:p>
        </w:tc>
        <w:tc>
          <w:tcPr>
            <w:tcW w:w="648" w:type="pct"/>
            <w:tcBorders>
              <w:top w:val="nil"/>
              <w:left w:val="nil"/>
              <w:bottom w:val="single" w:sz="4" w:space="0" w:color="auto"/>
              <w:right w:val="single" w:sz="4" w:space="0" w:color="auto"/>
            </w:tcBorders>
            <w:shd w:val="clear" w:color="auto" w:fill="auto"/>
            <w:noWrap/>
            <w:vAlign w:val="bottom"/>
            <w:hideMark/>
          </w:tcPr>
          <w:p w14:paraId="4676C65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2002</w:t>
            </w:r>
          </w:p>
        </w:tc>
        <w:tc>
          <w:tcPr>
            <w:tcW w:w="598" w:type="pct"/>
            <w:tcBorders>
              <w:top w:val="nil"/>
              <w:left w:val="nil"/>
              <w:bottom w:val="single" w:sz="4" w:space="0" w:color="auto"/>
              <w:right w:val="single" w:sz="4" w:space="0" w:color="auto"/>
            </w:tcBorders>
            <w:shd w:val="clear" w:color="auto" w:fill="auto"/>
            <w:noWrap/>
            <w:vAlign w:val="bottom"/>
            <w:hideMark/>
          </w:tcPr>
          <w:p w14:paraId="55A3C89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2000</w:t>
            </w:r>
          </w:p>
        </w:tc>
        <w:tc>
          <w:tcPr>
            <w:tcW w:w="548" w:type="pct"/>
            <w:tcBorders>
              <w:top w:val="nil"/>
              <w:left w:val="nil"/>
              <w:bottom w:val="single" w:sz="4" w:space="0" w:color="auto"/>
              <w:right w:val="single" w:sz="4" w:space="0" w:color="auto"/>
            </w:tcBorders>
            <w:shd w:val="clear" w:color="auto" w:fill="auto"/>
            <w:noWrap/>
            <w:vAlign w:val="bottom"/>
            <w:hideMark/>
          </w:tcPr>
          <w:p w14:paraId="0753A35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1066</w:t>
            </w:r>
          </w:p>
        </w:tc>
        <w:tc>
          <w:tcPr>
            <w:tcW w:w="399" w:type="pct"/>
            <w:tcBorders>
              <w:top w:val="nil"/>
              <w:left w:val="nil"/>
              <w:bottom w:val="single" w:sz="4" w:space="0" w:color="auto"/>
              <w:right w:val="single" w:sz="4" w:space="0" w:color="auto"/>
            </w:tcBorders>
            <w:shd w:val="clear" w:color="auto" w:fill="auto"/>
            <w:noWrap/>
            <w:vAlign w:val="bottom"/>
            <w:hideMark/>
          </w:tcPr>
          <w:p w14:paraId="2EAE5A4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48.2</w:t>
            </w:r>
          </w:p>
        </w:tc>
        <w:tc>
          <w:tcPr>
            <w:tcW w:w="449" w:type="pct"/>
            <w:tcBorders>
              <w:top w:val="nil"/>
              <w:left w:val="nil"/>
              <w:bottom w:val="single" w:sz="4" w:space="0" w:color="auto"/>
              <w:right w:val="single" w:sz="4" w:space="0" w:color="auto"/>
            </w:tcBorders>
            <w:shd w:val="clear" w:color="auto" w:fill="auto"/>
            <w:noWrap/>
            <w:vAlign w:val="bottom"/>
            <w:hideMark/>
          </w:tcPr>
          <w:p w14:paraId="71CA6AE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D73E53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22DBCA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F27BD3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E121E9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582C7B1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Marcopito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{"citationItems":[{"id":"ITEM-1","itemData":{"ISSN":"0034-8910","abstract":"OBJECTIVE: To estimate the prevalence of a set of risk factors for non-transmissible chronic diseases and compare it to that found 15-16 years ago in a similar survey., METHODS: A cross-sectional household survey was carried out comprising a random sample of people aged 15-59 years in the city of Sao Paulo between 2001 and 2002. The total of 2,103 people answered a questionnaire and had their blood pressure, weight, height, waist and hip circumferences measured. For a third of these participants, their total cholesterol, HDL-cholesterol, triglycerides and glucose levels were determined., RESULTS: The total age-adjusted prevalences in the study age group were as follows: smoking, 22.6%; uncontrolled blood pressure, 24.3%; obesity, 13.7%; increased waist circumference, 19.7%; total cholesterol &gt;or =240 mg/dL, 8.1%; HDL-cholesterol &lt;40 mg/dL, 27.1%; triglycerides &gt; or =200 mg/dL, 14.4%; and blood glucose &gt; or =110 mg/dL, 6.8%. Smoking, uncontrolled blood pressure, high total cholesterol, low HDL-cholesterol and high triglycerides were significantly more prevalent in men than women., CONCLUSIONS: The prevalences of a set of risk factors for chronic diseases showed men to have a poorer condition than women. In comparison to the previous survey, the prevalence of uncontrolled blood pressure remained unchanged but the prevalence of smoking has significantly lowered.","author":[{"dropping-particle":"","family":"Marcopito","given":"Luiz Francisco","non-dropping-particle":"","parse-names":false,"suffix":""},{"dropping-particle":"","family":"Rodrigues","given":"Sergio Sao Fins","non-dropping-particle":"","parse-names":false,"suffix":""},{"dropping-particle":"","family":"Pacheco","given":"Maria Aparecida","non-dropping-particle":"","parse-names":false,"suffix":""},{"dropping-particle":"","family":"Shirassu","given":"Mirian Matsura","non-dropping-particle":"","parse-names":false,"suffix":""},{"dropping-particle":"","family":"Goldfeder","given":"Artur Jaques","non-dropping-particle":"","parse-names":false,"suffix":""},{"dropping-particle":"de","family":"Moraes","given":"Marco Antonio","non-dropping-particle":"","parse-names":false,"suffix":""}],"container-title":"Prevalencia de alguns fatores de risco para doencas cronicas na cidade de Sao Paulo.","id":"ITEM-1","issue":"5","issued":{"date-parts":[["2005"]]},"page":"738-745","title":"[Prevalence of a set of risk factors for chronic diseases in the city of Sao Paulo, Brazil]","type":"article-journal","volume":"39"},"uris":["http://www.mendeley.com/documents/?uuid=85118f12-5229-43ca-9605-34c3bcaee8ec"]}],"mendeley":{"formattedCitation":"&lt;sup&gt;51&lt;/sup&gt;","plainTextFormattedCitation":"51","previouslyFormattedCitation":"&lt;sup&gt;51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51</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 xml:space="preserve"> </w:t>
            </w:r>
          </w:p>
        </w:tc>
        <w:tc>
          <w:tcPr>
            <w:tcW w:w="648" w:type="pct"/>
            <w:tcBorders>
              <w:top w:val="nil"/>
              <w:left w:val="nil"/>
              <w:bottom w:val="single" w:sz="4" w:space="0" w:color="auto"/>
              <w:right w:val="single" w:sz="4" w:space="0" w:color="auto"/>
            </w:tcBorders>
            <w:shd w:val="clear" w:color="auto" w:fill="auto"/>
            <w:noWrap/>
            <w:vAlign w:val="bottom"/>
            <w:hideMark/>
          </w:tcPr>
          <w:p w14:paraId="3D7A30D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98" w:type="pct"/>
            <w:tcBorders>
              <w:top w:val="nil"/>
              <w:left w:val="nil"/>
              <w:bottom w:val="single" w:sz="4" w:space="0" w:color="auto"/>
              <w:right w:val="single" w:sz="4" w:space="0" w:color="auto"/>
            </w:tcBorders>
            <w:shd w:val="clear" w:color="auto" w:fill="auto"/>
            <w:noWrap/>
            <w:vAlign w:val="bottom"/>
            <w:hideMark/>
          </w:tcPr>
          <w:p w14:paraId="13AF7C2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2001</w:t>
            </w:r>
          </w:p>
        </w:tc>
        <w:tc>
          <w:tcPr>
            <w:tcW w:w="548" w:type="pct"/>
            <w:tcBorders>
              <w:top w:val="nil"/>
              <w:left w:val="nil"/>
              <w:bottom w:val="single" w:sz="4" w:space="0" w:color="auto"/>
              <w:right w:val="single" w:sz="4" w:space="0" w:color="auto"/>
            </w:tcBorders>
            <w:shd w:val="clear" w:color="auto" w:fill="auto"/>
            <w:noWrap/>
            <w:vAlign w:val="bottom"/>
            <w:hideMark/>
          </w:tcPr>
          <w:p w14:paraId="4E3A767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2103</w:t>
            </w:r>
          </w:p>
        </w:tc>
        <w:tc>
          <w:tcPr>
            <w:tcW w:w="399" w:type="pct"/>
            <w:tcBorders>
              <w:top w:val="nil"/>
              <w:left w:val="nil"/>
              <w:bottom w:val="single" w:sz="4" w:space="0" w:color="auto"/>
              <w:right w:val="single" w:sz="4" w:space="0" w:color="auto"/>
            </w:tcBorders>
            <w:shd w:val="clear" w:color="auto" w:fill="auto"/>
            <w:noWrap/>
            <w:vAlign w:val="bottom"/>
            <w:hideMark/>
          </w:tcPr>
          <w:p w14:paraId="33DEFFE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43.71</w:t>
            </w:r>
          </w:p>
        </w:tc>
        <w:tc>
          <w:tcPr>
            <w:tcW w:w="449" w:type="pct"/>
            <w:tcBorders>
              <w:top w:val="nil"/>
              <w:left w:val="nil"/>
              <w:bottom w:val="single" w:sz="4" w:space="0" w:color="auto"/>
              <w:right w:val="single" w:sz="4" w:space="0" w:color="auto"/>
            </w:tcBorders>
            <w:shd w:val="clear" w:color="auto" w:fill="auto"/>
            <w:noWrap/>
            <w:vAlign w:val="bottom"/>
            <w:hideMark/>
          </w:tcPr>
          <w:p w14:paraId="0D0C30D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27BB500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7F8CEF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8B33E1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29262E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34EA4C28"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de Oliveira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{"citationItems":[{"id":"ITEM-1","itemData":{"DOI":"10.1186/1471-2350-9-32","abstract":"Background: The heritability of cardiovascular risk factors is expected to differ between populations because of the different distribution of environmental risk factors, as well as the genetic make-up of different human populations. Methods: The purpose of this analysis was to evaluate genetic and environmental influences on cardiovascular risk factor traits, using a variance component approach, by estimating the heritability of these traits in a sample of 1,666 individuals in 81 families ascertained randomly from a highly admixed population of a city in a rural area in Brazil. Results: Before adjustment for sex, age, age2, and age × sex interaction, polygenic heritability of systolic (SBP) and diastolic (DBP) blood pressure were 15.0% and 16.4%, waist circumference 26.1%, triglycerides 25.7%, fasting glucose 32.8%, HDL-c 31.2%, total cholesterol 28.6%, LDL-c 26.3%, BMI 39.1%. Adjustment for covariates increased polygenic heritability estimates for all traits mainly systolic and diastolic blood pressure (25.9 and 26.2%, respectively), waist circumference (40.1%), and BMI (51.0%). Conclusion: Heritability estimates for cardiovascular traits in the Brazilian population are high and not significantly different from other studied worldwide populations. Mapping efforts to identify genetic loci associated with variability of these traits are warranted. © 2008 de Oliveira et al; licensee BioMed Central Ltd.","author":[{"dropping-particle":"","family":"Oliveira","given":"Camila M","non-dropping-particle":"de","parse-names":false,"suffix":""},{"dropping-particle":"","family":"Pereira","given":"Alexandre C","non-dropping-particle":"","parse-names":false,"suffix":""},{"dropping-particle":"","family":"Andrade","given":"Mariza","non-dropping-particle":"de","parse-names":false,"suffix":""},{"dropping-particle":"","family":"Soler","given":"Júlia M","non-dropping-particle":"","parse-names":false,"suffix":""},{"dropping-particle":"","family":"Krieger","given":"José E","non-dropping-particle":"","parse-names":false,"suffix":""}],"container-title":"BMC Medical Genetics","id":"ITEM-1","issued":{"date-parts":[["2008"]]},"title":"Heritability of cardiovascular risk factors in a Brazilian population: Baependi Heart Study","type":"article-journal","volume":"9"},"uris":["http://www.mendeley.com/documents/?uuid=a7064641-c2ec-4ca3-9969-4cb205c9c510"]}],"mendeley":{"formattedCitation":"&lt;sup&gt;52&lt;/sup&gt;","plainTextFormattedCitation":"52","previouslyFormattedCitation":"&lt;sup&gt;52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52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B78728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98" w:type="pct"/>
            <w:tcBorders>
              <w:top w:val="nil"/>
              <w:left w:val="nil"/>
              <w:bottom w:val="single" w:sz="4" w:space="0" w:color="auto"/>
              <w:right w:val="single" w:sz="4" w:space="0" w:color="auto"/>
            </w:tcBorders>
            <w:shd w:val="clear" w:color="auto" w:fill="auto"/>
            <w:noWrap/>
            <w:vAlign w:val="bottom"/>
            <w:hideMark/>
          </w:tcPr>
          <w:p w14:paraId="76CD556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48" w:type="pct"/>
            <w:tcBorders>
              <w:top w:val="nil"/>
              <w:left w:val="nil"/>
              <w:bottom w:val="single" w:sz="4" w:space="0" w:color="auto"/>
              <w:right w:val="single" w:sz="4" w:space="0" w:color="auto"/>
            </w:tcBorders>
            <w:shd w:val="clear" w:color="auto" w:fill="auto"/>
            <w:noWrap/>
            <w:vAlign w:val="bottom"/>
            <w:hideMark/>
          </w:tcPr>
          <w:p w14:paraId="3E52B73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1666</w:t>
            </w:r>
          </w:p>
        </w:tc>
        <w:tc>
          <w:tcPr>
            <w:tcW w:w="399" w:type="pct"/>
            <w:tcBorders>
              <w:top w:val="nil"/>
              <w:left w:val="nil"/>
              <w:bottom w:val="single" w:sz="4" w:space="0" w:color="auto"/>
              <w:right w:val="single" w:sz="4" w:space="0" w:color="auto"/>
            </w:tcBorders>
            <w:shd w:val="clear" w:color="auto" w:fill="auto"/>
            <w:noWrap/>
            <w:vAlign w:val="bottom"/>
            <w:hideMark/>
          </w:tcPr>
          <w:p w14:paraId="064AE46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43.4</w:t>
            </w:r>
          </w:p>
        </w:tc>
        <w:tc>
          <w:tcPr>
            <w:tcW w:w="449" w:type="pct"/>
            <w:tcBorders>
              <w:top w:val="nil"/>
              <w:left w:val="nil"/>
              <w:bottom w:val="single" w:sz="4" w:space="0" w:color="auto"/>
              <w:right w:val="single" w:sz="4" w:space="0" w:color="auto"/>
            </w:tcBorders>
            <w:shd w:val="clear" w:color="auto" w:fill="auto"/>
            <w:noWrap/>
            <w:vAlign w:val="bottom"/>
            <w:hideMark/>
          </w:tcPr>
          <w:p w14:paraId="0228810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44</w:t>
            </w:r>
          </w:p>
        </w:tc>
        <w:tc>
          <w:tcPr>
            <w:tcW w:w="498" w:type="pct"/>
            <w:tcBorders>
              <w:top w:val="nil"/>
              <w:left w:val="nil"/>
              <w:bottom w:val="single" w:sz="4" w:space="0" w:color="auto"/>
              <w:right w:val="single" w:sz="4" w:space="0" w:color="auto"/>
            </w:tcBorders>
            <w:shd w:val="clear" w:color="auto" w:fill="auto"/>
            <w:noWrap/>
            <w:vAlign w:val="bottom"/>
            <w:hideMark/>
          </w:tcPr>
          <w:p w14:paraId="66EAEC4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D77D1A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0B38B6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F63238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lastRenderedPageBreak/>
              <w:t>Brazil</w:t>
            </w:r>
          </w:p>
        </w:tc>
        <w:tc>
          <w:tcPr>
            <w:tcW w:w="1053" w:type="pct"/>
            <w:tcBorders>
              <w:top w:val="nil"/>
              <w:left w:val="nil"/>
              <w:bottom w:val="single" w:sz="4" w:space="0" w:color="auto"/>
              <w:right w:val="single" w:sz="4" w:space="0" w:color="auto"/>
            </w:tcBorders>
            <w:shd w:val="clear" w:color="auto" w:fill="auto"/>
            <w:noWrap/>
            <w:vAlign w:val="bottom"/>
            <w:hideMark/>
          </w:tcPr>
          <w:p w14:paraId="4956939C"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de Castro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{"citationItems":[{"id":"ITEM-1","itemData":{"DOI":"10.1016/j.nut.2014.09.007","abstract":"Objective: At elevated concentrations, circulating leptin has been associated with metabolic disturbances, namely insulin resistance, elevated blood pressure, inflammation, and endothelial dysfunction. Because women have higher leptin concentrations than men, it is possible that the effects of leptin on the metabolic profile are different between the sexes. The aim of this study was to investigate whether leptin is one of the key hormones to sex affect differences in the pathophysiology of cardiometabolic risk. Methods: Participants were 178 men and 284 women (average age: 53.9 y), evaluated in a cross-sectional, population-based study performed in Brazil. A structural equation model was used to test a theoretic pathway for the relationship between serum leptin, obesity indicators (body weight and waist circumference), and cardiometabolic risk factors (high-sensitivity C-reactive protein; blood pressure; atherogenic dyslipidemia-total cholesterol/high-density lipoprotein cholesterol (HDL-C) ratio and triacylglycerol /HDL-C ratio; and fasting plasma glucose) stratified by sex. Results: In men, increasing 1 SD in serum leptin predicted an increase in 0.731 SD in body weight and in 0.123 SD in C-reactive protein. Serum leptin had positive and significant indirect effects on men's ratios of total cholesterol to HDL-C (β = 0.215) and triacylglycerol to HDL-C (β = 0.209), as well as fasting glucose (β = 0.173). In women, serum leptin predicted an increase of 0.675 SD in body weight and had positive indirect effects on all cardiometabolic risk factors evaluated. Conclusions: Serum leptin was indirectly related to cardiometabolic risk factors and its relation was modest and different between sexes. The effects of leptin through mediation of body weight and waist circumference highlight the importance of weight control to prevent cardiometabolic disorders in middle-aged adults.","author":[{"dropping-particle":"","family":"Castro","given":"Michelle Alessandra","non-dropping-particle":"de","parse-names":false,"suffix":""},{"dropping-particle":"","family":"Baltar","given":"Valéria Troncoso","non-dropping-particle":"","parse-names":false,"suffix":""},{"dropping-particle":"","family":"Marchioni","given":"Dirce Maria Lobo","non-dropping-particle":"","parse-names":false,"suffix":""},{"dropping-particle":"","family":"Fisberg","given":"Regina Mara","non-dropping-particle":"","parse-names":false,"suffix":""}],"container-title":"Nutrition","id":"ITEM-1","issue":"3","issued":{"date-parts":[["2015"]]},"page":"491-497","title":"Sex differences in serum leptin and its relation to markers of cardiometabolic risk in middle-aged adults: Evidence from a population-based study","type":"article-journal","volume":"31"},"uris":["http://www.mendeley.com/documents/?uuid=6542f800-4119-4987-b952-23afa7829edc"]}],"mendeley":{"formattedCitation":"&lt;sup&gt;53&lt;/sup&gt;","plainTextFormattedCitation":"53","previouslyFormattedCitation":"&lt;sup&gt;53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53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969AFE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068DD76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0A8E7EB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462</w:t>
            </w:r>
          </w:p>
        </w:tc>
        <w:tc>
          <w:tcPr>
            <w:tcW w:w="399" w:type="pct"/>
            <w:tcBorders>
              <w:top w:val="nil"/>
              <w:left w:val="nil"/>
              <w:bottom w:val="single" w:sz="4" w:space="0" w:color="auto"/>
              <w:right w:val="single" w:sz="4" w:space="0" w:color="auto"/>
            </w:tcBorders>
            <w:shd w:val="clear" w:color="auto" w:fill="auto"/>
            <w:noWrap/>
            <w:vAlign w:val="bottom"/>
            <w:hideMark/>
          </w:tcPr>
          <w:p w14:paraId="17A0E21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38.53</w:t>
            </w:r>
          </w:p>
        </w:tc>
        <w:tc>
          <w:tcPr>
            <w:tcW w:w="449" w:type="pct"/>
            <w:tcBorders>
              <w:top w:val="nil"/>
              <w:left w:val="nil"/>
              <w:bottom w:val="single" w:sz="4" w:space="0" w:color="auto"/>
              <w:right w:val="single" w:sz="4" w:space="0" w:color="auto"/>
            </w:tcBorders>
            <w:shd w:val="clear" w:color="auto" w:fill="auto"/>
            <w:noWrap/>
            <w:vAlign w:val="bottom"/>
            <w:hideMark/>
          </w:tcPr>
          <w:p w14:paraId="120E667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53.9</w:t>
            </w:r>
          </w:p>
        </w:tc>
        <w:tc>
          <w:tcPr>
            <w:tcW w:w="498" w:type="pct"/>
            <w:tcBorders>
              <w:top w:val="nil"/>
              <w:left w:val="nil"/>
              <w:bottom w:val="single" w:sz="4" w:space="0" w:color="auto"/>
              <w:right w:val="single" w:sz="4" w:space="0" w:color="auto"/>
            </w:tcBorders>
            <w:shd w:val="clear" w:color="auto" w:fill="auto"/>
            <w:noWrap/>
            <w:vAlign w:val="bottom"/>
            <w:hideMark/>
          </w:tcPr>
          <w:p w14:paraId="4D7EDD5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6FD5BB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03422F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2F738F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715254E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de Souza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{"citationItems":[{"id":"ITEM-1","itemData":{"DOI":"10.1016/j.nutres.2015.10.006","abstract":"Besides the classic vitamin D function on bone homeostasis, there are bodies of evidence showing that adequate status of vitamin D can modulate inflammation. We hypothesized that higher plasma levels of 25-hydroxyvitamin D (25[OH]D) would correlate with lower plasma levels of proinflammatory cytokines, acute-phase proteins, and soluble adhesion molecules and higher plasma levels of anti-inflammatory cytokines. We included all adults (age, 20-59 years) of the population-based, cross-sectional study, Health Survey-São Paulo, conducted in São Paulo (Brazil) in the study (n = 281). Anthropometric parameters, blood pressure measurements, and a fasting blood sample were collected by trained fieldworkers. Serum 25(OH)D concentration, plasma inflammatory biomarker levels (C-reactive protein, interleukin [IL]-1β, IL-6, IL-8, IL-10, tumor necrosis factor [TNF] α, IL-12p70, adiponectin, monocyte chemoattractant protein-1, soluble intercellular adhesion molecule-1, and soluble vascular cell adhesion molecule-1), and plasma blood lipid parameters were evaluated. The prevalence of vitamin D inadequacy (&lt;50 nmol/L) was 65.5%. Inadequate participants were younger, with lower body mass index (BMI), systolic and diastolic blood pressures, triglyceride, and total cholesterol levels as well as low-density lipoprotein cholesterol, compared with individuals adequate for vitamin D status. After adjustment, plasma concentration of soluble intercellular adhesion molecule-1 was statistically higher among adequate participants. Stratifying for BMI categories, a negative association was observed between plasma IL-6 and TNF-α levels and serum 25(OH)D concentration in normal-weight participants, whereas a negative association was detected between plasma adiponectin level and serum 25(OH)D concentration in overweight participants. The present findings suggest that BMI interacts with serum 25(OH)D levels, modulating inflammatory response and affecting plasma IL-6, TNF-α, and adiponectin levels. These data indicate that BMI plays a determinant role in the vitamin D-inflammation axis.","author":[{"dropping-particle":"","family":"Souza","given":"Wysllenny N","non-dropping-particle":"de","parse-names":false,"suffix":""},{"dropping-particle":"","family":"Norde","given":"Marina M","non-dropping-particle":"","parse-names":false,"suffix":""},{"dropping-particle":"","family":"Oki","given":"Érica","non-dropping-particle":"","parse-names":false,"suffix":""},{"dropping-particle":"","family":"Rogero","given":"Marcelo M","non-dropping-particle":"","parse-names":false,"suffix":""},{"dropping-particle":"","family":"Marchioni","given":"Dirce M L","non-dropping-particle":"","parse-names":false,"suffix":""},{"dropping-particle":"","family":"Fisberg","given":"Regina M","non-dropping-particle":"","parse-names":false,"suffix":""},{"dropping-particle":"","family":"Martini","given":"Lígia A","non-dropping-particle":"","parse-names":false,"suffix":""}],"container-title":"Nutrition Research","id":"ITEM-1","issue":"1","issued":{"date-parts":[["2016"]]},"page":"1-8","title":"Association between 25-hydroxyvitamin D and inflammatory biomarker levels in a cross-sectional population-based study, São Paulo, Brazil","type":"article-journal","volume":"36"},"uris":["http://www.mendeley.com/documents/?uuid=116e60f5-310d-4fea-96d4-b7b21e124ff1"]}],"mendeley":{"formattedCitation":"&lt;sup&gt;54&lt;/sup&gt;","plainTextFormattedCitation":"54","previouslyFormattedCitation":"&lt;sup&gt;54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54</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 xml:space="preserve"> </w:t>
            </w:r>
          </w:p>
        </w:tc>
        <w:tc>
          <w:tcPr>
            <w:tcW w:w="648" w:type="pct"/>
            <w:tcBorders>
              <w:top w:val="nil"/>
              <w:left w:val="nil"/>
              <w:bottom w:val="single" w:sz="4" w:space="0" w:color="auto"/>
              <w:right w:val="single" w:sz="4" w:space="0" w:color="auto"/>
            </w:tcBorders>
            <w:shd w:val="clear" w:color="auto" w:fill="auto"/>
            <w:noWrap/>
            <w:vAlign w:val="bottom"/>
            <w:hideMark/>
          </w:tcPr>
          <w:p w14:paraId="7E90A3B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0DE6B14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662BB10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281</w:t>
            </w:r>
          </w:p>
        </w:tc>
        <w:tc>
          <w:tcPr>
            <w:tcW w:w="399" w:type="pct"/>
            <w:tcBorders>
              <w:top w:val="nil"/>
              <w:left w:val="nil"/>
              <w:bottom w:val="single" w:sz="4" w:space="0" w:color="auto"/>
              <w:right w:val="single" w:sz="4" w:space="0" w:color="auto"/>
            </w:tcBorders>
            <w:shd w:val="clear" w:color="auto" w:fill="auto"/>
            <w:noWrap/>
            <w:vAlign w:val="bottom"/>
            <w:hideMark/>
          </w:tcPr>
          <w:p w14:paraId="353266C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37.7</w:t>
            </w:r>
          </w:p>
        </w:tc>
        <w:tc>
          <w:tcPr>
            <w:tcW w:w="449" w:type="pct"/>
            <w:tcBorders>
              <w:top w:val="nil"/>
              <w:left w:val="nil"/>
              <w:bottom w:val="single" w:sz="4" w:space="0" w:color="auto"/>
              <w:right w:val="single" w:sz="4" w:space="0" w:color="auto"/>
            </w:tcBorders>
            <w:shd w:val="clear" w:color="auto" w:fill="auto"/>
            <w:noWrap/>
            <w:vAlign w:val="bottom"/>
            <w:hideMark/>
          </w:tcPr>
          <w:p w14:paraId="699CC97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39.8</w:t>
            </w:r>
          </w:p>
        </w:tc>
        <w:tc>
          <w:tcPr>
            <w:tcW w:w="498" w:type="pct"/>
            <w:tcBorders>
              <w:top w:val="nil"/>
              <w:left w:val="nil"/>
              <w:bottom w:val="single" w:sz="4" w:space="0" w:color="auto"/>
              <w:right w:val="single" w:sz="4" w:space="0" w:color="auto"/>
            </w:tcBorders>
            <w:shd w:val="clear" w:color="auto" w:fill="auto"/>
            <w:noWrap/>
            <w:vAlign w:val="bottom"/>
            <w:hideMark/>
          </w:tcPr>
          <w:p w14:paraId="3EE99B6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22FC32C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B2D1719"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B2EBD3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3B1EC6F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Drumond</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{"citationItems":[{"id":"ITEM-1","itemData":{"author":[{"dropping-particle":"","family":"Drumond","given":"Maria Góes","non-dropping-particle":"","parse-names":false,"suffix":""},{"dropping-particle":"","family":"Da","given":"Estabilidade","non-dropping-particle":"","parse-names":false,"suffix":""},{"dropping-particle":"","family":"Metabólica","given":"Síndrome","non-dropping-particle":"","parse-names":false,"suffix":""}],"id":"ITEM-1","issued":{"date-parts":[["2011"]]},"title":"Estabilidade da síndrome metabólica e dos seus componentes em duas comunidades rurais de Minas Gerais","type":"article-journal"},"uris":["http://www.mendeley.com/documents/?uuid=9e3c16bd-4bc0-4c0c-aa2f-bcb136fa7ab5"]}],"mendeley":{"formattedCitation":"&lt;sup&gt;55&lt;/sup&gt;","plainTextFormattedCitation":"55","previouslyFormattedCitation":"&lt;sup&gt;55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55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6C4E57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6AA34B2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1588452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382</w:t>
            </w:r>
          </w:p>
        </w:tc>
        <w:tc>
          <w:tcPr>
            <w:tcW w:w="399" w:type="pct"/>
            <w:tcBorders>
              <w:top w:val="nil"/>
              <w:left w:val="nil"/>
              <w:bottom w:val="single" w:sz="4" w:space="0" w:color="auto"/>
              <w:right w:val="single" w:sz="4" w:space="0" w:color="auto"/>
            </w:tcBorders>
            <w:shd w:val="clear" w:color="auto" w:fill="auto"/>
            <w:noWrap/>
            <w:vAlign w:val="bottom"/>
            <w:hideMark/>
          </w:tcPr>
          <w:p w14:paraId="27D2E04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48.17</w:t>
            </w:r>
          </w:p>
        </w:tc>
        <w:tc>
          <w:tcPr>
            <w:tcW w:w="449" w:type="pct"/>
            <w:tcBorders>
              <w:top w:val="nil"/>
              <w:left w:val="nil"/>
              <w:bottom w:val="single" w:sz="4" w:space="0" w:color="auto"/>
              <w:right w:val="single" w:sz="4" w:space="0" w:color="auto"/>
            </w:tcBorders>
            <w:shd w:val="clear" w:color="auto" w:fill="auto"/>
            <w:noWrap/>
            <w:vAlign w:val="bottom"/>
            <w:hideMark/>
          </w:tcPr>
          <w:p w14:paraId="5FF2290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681DD93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C224E9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004C2A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BDBEEA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3F603F76"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Mendes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{"citationItems":[{"id":"ITEM-1","itemData":{"DOI":"10.1590/0102-311X00103213","abstract":"This cross-sectional study assessed cardiovascular health in 863 adults in rural communities in the Jequitinhonha Valley, Minas Gerais State, Brazil, focusing on seven factors, four of which behavioral (diet, physical activity, smoking, and body weight) and three biological (total cholesterol, fasting blood glucose, and arterial pressure), classified as ideal, intermediate, or poor. Men showed better results in behavioral factors (p = 0.01), with more men displaying 2 or 3 factors at ideal levels (48.5 and 25.8%, respectively), when compared to women (44.2 and 19.8%, respectively) (p = 0.01). Women presented more biological factors at ideal levels (19.1%) when compared to men (7.9%) (p &lt; 0.001). Only three participants (0.4%) showed all seven factors at ideal levels. Prevalence of ideal indices was very low, showing the need for strategies to improve cardiovascular health in this population.","author":[{"dropping-particle":"","family":"Felisbino-Mendes","given":"Mariana Santos","non-dropping-particle":"","parse-names":false,"suffix":""},{"dropping-particle":"","family":"Jansen","given":"Ann Kristine","non-dropping-particle":"","parse-names":false,"suffix":""},{"dropping-particle":"","family":"Gomes","given":"Crizian Saar","non-dropping-particle":"","parse-names":false,"suffix":""},{"dropping-particle":"","family":"Velásquez-Meléndez","given":"Gustavo","non-dropping-particle":"","parse-names":false,"suffix":""}],"container-title":"Cadernos de Saude Publica","id":"ITEM-1","issue":"6","issued":{"date-parts":[["2014"]]},"page":"1183-1194","title":"Avaliação dos fatores de risco cardiovasculares em uma população rural Brasileira","type":"article-journal","volume":"30"},"uris":["http://www.mendeley.com/documents/?uuid=0e068214-3e5c-4f6e-9fb2-056cff8e8985"]}],"mendeley":{"formattedCitation":"&lt;sup&gt;56&lt;/sup&gt;","plainTextFormattedCitation":"56","previouslyFormattedCitation":"&lt;sup&gt;56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56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A6F58D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2014</w:t>
            </w:r>
          </w:p>
        </w:tc>
        <w:tc>
          <w:tcPr>
            <w:tcW w:w="598" w:type="pct"/>
            <w:tcBorders>
              <w:top w:val="nil"/>
              <w:left w:val="nil"/>
              <w:bottom w:val="single" w:sz="4" w:space="0" w:color="auto"/>
              <w:right w:val="single" w:sz="4" w:space="0" w:color="auto"/>
            </w:tcBorders>
            <w:shd w:val="clear" w:color="auto" w:fill="auto"/>
            <w:noWrap/>
            <w:vAlign w:val="bottom"/>
            <w:hideMark/>
          </w:tcPr>
          <w:p w14:paraId="4CAF710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018F828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881</w:t>
            </w:r>
          </w:p>
        </w:tc>
        <w:tc>
          <w:tcPr>
            <w:tcW w:w="399" w:type="pct"/>
            <w:tcBorders>
              <w:top w:val="nil"/>
              <w:left w:val="nil"/>
              <w:bottom w:val="single" w:sz="4" w:space="0" w:color="auto"/>
              <w:right w:val="single" w:sz="4" w:space="0" w:color="auto"/>
            </w:tcBorders>
            <w:shd w:val="clear" w:color="auto" w:fill="auto"/>
            <w:noWrap/>
            <w:vAlign w:val="bottom"/>
            <w:hideMark/>
          </w:tcPr>
          <w:p w14:paraId="798FCB0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45.74</w:t>
            </w:r>
          </w:p>
        </w:tc>
        <w:tc>
          <w:tcPr>
            <w:tcW w:w="449" w:type="pct"/>
            <w:tcBorders>
              <w:top w:val="nil"/>
              <w:left w:val="nil"/>
              <w:bottom w:val="single" w:sz="4" w:space="0" w:color="auto"/>
              <w:right w:val="single" w:sz="4" w:space="0" w:color="auto"/>
            </w:tcBorders>
            <w:shd w:val="clear" w:color="auto" w:fill="auto"/>
            <w:noWrap/>
            <w:vAlign w:val="bottom"/>
            <w:hideMark/>
          </w:tcPr>
          <w:p w14:paraId="1C6D0F7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1EF7C6C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229101F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9277CC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1AD93A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3B058272"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Castro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{"citationItems":[{"id":"ITEM-1","itemData":{"DOI":"10.1017/S0007114516000556","ISSN":"0007114516","abstract":"The association between dietary patterns and metabolic cardiovascular risk factors has long been addressed but there is a lack of evidence towards the effects of the overall diet on the complex net of biological inter-relationships between risk factors. This study aimed to derive dietary patterns and examine their associations with metabolic cardiovascular risk factors following a theoretic model for the relationship between them. Participants included 417 adults of both sexes, enrolled to the cross-sectional population-based study performed in Brazil. Body weight, waist circumference, high-sensitivity C-reactive protein, blood pressure, total cholesterol:HDL-cholesterol ratio, TAG:HDL-cholesterol ratio, fasting plasma glucose and serum leptin were evaluated. Food consumption was assessed by two non-consecutive 24-h dietary recalls adjusted for the within-person variation of intake. A total of three dietary patterns were derived by exploratory structural equation modelling: 'Traditional', 'Prudent' and 'Modern'. The 'Traditional' pattern had a negative and direct effect on obesity indicators (serum LEP, body weight and waist circumference) and negative indirect effects on total cholesterol:HDL-cholesterol ratio, TAG:HDL-cholesterol ratio and fasting plasma glucose. The 'Prudent' pattern had a negative and direct effect on systolic blood pressure. No association was observed for the 'Modern' pattern and metabolic risk factors. In conclusion, the 'Traditional' and 'Prudent' dietary patterns were negatively associated with metabolic cardiovascular risk factors among Brazilian adults. Their apparent protective effects against obesity and high blood pressure may be important non-pharmacological strategies for the prevention and control of obesity-related metabolic disorders and CVD.","author":[{"dropping-particle":"","family":"Castro","given":"Michelle Alessandra","non-dropping-particle":"","parse-names":false,"suffix":""},{"dropping-particle":"","family":"Baltar","given":"Valéria Troncoso","non-dropping-particle":"","parse-names":false,"suffix":""},{"dropping-particle":"","family":"Marchioni","given":"Dirce Maria","non-dropping-particle":"","parse-names":false,"suffix":""},{"dropping-particle":"","family":"Fisberg","given":"Regina Mara","non-dropping-particle":"","parse-names":false,"suffix":""}],"container-title":"British Journal of Nutrition","id":"ITEM-1","issue":"9","issued":{"date-parts":[["2016"]]},"page":"1586-1597","title":"Examining associations between dietary patterns and metabolic CVD risk factors: A novel use of structural equation modelling","type":"article-journal","volume":"115"},"uris":["http://www.mendeley.com/documents/?uuid=2f481562-aa1b-46e4-ae93-60239dfe7916"]}],"mendeley":{"formattedCitation":"&lt;sup&gt;57&lt;/sup&gt;","plainTextFormattedCitation":"57","previouslyFormattedCitation":"&lt;sup&gt;57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57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D6A2C0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4D27CF8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48" w:type="pct"/>
            <w:tcBorders>
              <w:top w:val="nil"/>
              <w:left w:val="nil"/>
              <w:bottom w:val="single" w:sz="4" w:space="0" w:color="auto"/>
              <w:right w:val="single" w:sz="4" w:space="0" w:color="auto"/>
            </w:tcBorders>
            <w:shd w:val="clear" w:color="auto" w:fill="auto"/>
            <w:noWrap/>
            <w:vAlign w:val="bottom"/>
            <w:hideMark/>
          </w:tcPr>
          <w:p w14:paraId="0B503BD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417</w:t>
            </w:r>
          </w:p>
        </w:tc>
        <w:tc>
          <w:tcPr>
            <w:tcW w:w="399" w:type="pct"/>
            <w:tcBorders>
              <w:top w:val="nil"/>
              <w:left w:val="nil"/>
              <w:bottom w:val="single" w:sz="4" w:space="0" w:color="auto"/>
              <w:right w:val="single" w:sz="4" w:space="0" w:color="auto"/>
            </w:tcBorders>
            <w:shd w:val="clear" w:color="auto" w:fill="auto"/>
            <w:noWrap/>
            <w:vAlign w:val="bottom"/>
            <w:hideMark/>
          </w:tcPr>
          <w:p w14:paraId="2015696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w:t>
            </w:r>
          </w:p>
        </w:tc>
        <w:tc>
          <w:tcPr>
            <w:tcW w:w="449" w:type="pct"/>
            <w:tcBorders>
              <w:top w:val="nil"/>
              <w:left w:val="nil"/>
              <w:bottom w:val="single" w:sz="4" w:space="0" w:color="auto"/>
              <w:right w:val="single" w:sz="4" w:space="0" w:color="auto"/>
            </w:tcBorders>
            <w:shd w:val="clear" w:color="auto" w:fill="auto"/>
            <w:noWrap/>
            <w:vAlign w:val="bottom"/>
            <w:hideMark/>
          </w:tcPr>
          <w:p w14:paraId="7078446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54</w:t>
            </w:r>
          </w:p>
        </w:tc>
        <w:tc>
          <w:tcPr>
            <w:tcW w:w="498" w:type="pct"/>
            <w:tcBorders>
              <w:top w:val="nil"/>
              <w:left w:val="nil"/>
              <w:bottom w:val="single" w:sz="4" w:space="0" w:color="auto"/>
              <w:right w:val="single" w:sz="4" w:space="0" w:color="auto"/>
            </w:tcBorders>
            <w:shd w:val="clear" w:color="auto" w:fill="auto"/>
            <w:noWrap/>
            <w:vAlign w:val="bottom"/>
            <w:hideMark/>
          </w:tcPr>
          <w:p w14:paraId="50E58DB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117AA56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05D8D5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AEA2EB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350EEF3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Cocate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{"citationItems":[{"id":"ITEM-1","itemData":{"DOI":"10.1016/j.jsams.2013.04.017","abstract":"Objectives: We evaluated the benefits and relationship of the number of steps per day to the cardiometabolic risk factors: adiposity indicators; insulin resistance; and metabolic syndrome (MetS) in apparently healthy Brazilian middle-aged men. Design: Cross-sectional. Methods: Apparently healthy men (age: 50 ± 5 years; n= 299) were studied. The number of steps per day was measured by pedometer. The adiposity indicators (waist circumference, total body fat, android and gynoid body fat), serum insulin, glucose and triglycerides, triglycerides/high-density lipoprotein cholesterol (HDL-c) ratio, homeostasis model assessment of insulin resistance (HOMA-IR) and MetS were assessed. Subjects were placed in groups to reflect different levels of steps per day (average of 7 consecutive days): Group 1 &lt; 10,000 and Group 2 ≥ 10,000. Relationships among variables were measured by multiple linear regressions and the Spearman correlation coefficient as appropriate (p&lt; 0.05). Results: The cardiometabolic risk factors were lower (p&lt; 0.05) in Group 2 than in Group 1. The number of steps per day was a negative predictive factor for total body fat, android and gynoid body fat and HOMA-IR independent of age, working position, android fat, overweight/obesity prevalence, and triglycerides/HDL-c ratio. Moreover, there was a negative correlation between the number of steps and total body fat, android and gynoid body fat, HOMA-IR and MetS. Conclusions: Brazilian middle-aged men performing more than 10,000 steps per day have better cardiometabolic conditions than those walking fewer than 10,000 steps. The number of steps per day is inversely related to the indicators of total and regional adiposity, insulin resistance and MetS. © 2013 Sports Medicine Australia.","author":[{"dropping-particle":"","family":"Cocate","given":"Paula G","non-dropping-particle":"","parse-names":false,"suffix":""},{"dropping-particle":"","family":"Oliveira","given":"Alessandro","non-dropping-particle":"de","parse-names":false,"suffix":""},{"dropping-particle":"","family":"Hermsdorff","given":"Helen H M","non-dropping-particle":"","parse-names":false,"suffix":""},{"dropping-particle":"","family":"Alfenas","given":"Rita de Cássia G","non-dropping-particle":"","parse-names":false,"suffix":""},{"dropping-particle":"","family":"Amorim","given":"Paulo Roberto S","non-dropping-particle":"","parse-names":false,"suffix":""},{"dropping-particle":"","family":"Longo","given":"Giana Z","non-dropping-particle":"","parse-names":false,"suffix":""},{"dropping-particle":"","family":"Peluzio","given":"Maria do Carmo G","non-dropping-particle":"","parse-names":false,"suffix":""},{"dropping-particle":"","family":"Faria","given":"Fernanda R","non-dropping-particle":"","parse-names":false,"suffix":""},{"dropping-particle":"","family":"Natali","given":"Ant Ônio José","non-dropping-particle":"","parse-names":false,"suffix":""}],"container-title":"Journal of Science and Medicine in Sport","id":"ITEM-1","issue":"3","issued":{"date-parts":[["2014"]]},"page":"283-287","title":"Benefits and relationship of steps walked per day to cardiometabolic risk factor in Brazilian middle-aged men","type":"article-journal","volume":"17"},"uris":["http://www.mendeley.com/documents/?uuid=bfd10088-df1a-4d27-b3db-0996324655e6"]}],"mendeley":{"formattedCitation":"&lt;sup&gt;58&lt;/sup&gt;","plainTextFormattedCitation":"58","previouslyFormattedCitation":"&lt;sup&gt;58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58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8FB9E1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07ECD06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48" w:type="pct"/>
            <w:tcBorders>
              <w:top w:val="nil"/>
              <w:left w:val="nil"/>
              <w:bottom w:val="single" w:sz="4" w:space="0" w:color="auto"/>
              <w:right w:val="single" w:sz="4" w:space="0" w:color="auto"/>
            </w:tcBorders>
            <w:shd w:val="clear" w:color="auto" w:fill="auto"/>
            <w:noWrap/>
            <w:vAlign w:val="bottom"/>
            <w:hideMark/>
          </w:tcPr>
          <w:p w14:paraId="230365B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299</w:t>
            </w:r>
          </w:p>
        </w:tc>
        <w:tc>
          <w:tcPr>
            <w:tcW w:w="399" w:type="pct"/>
            <w:tcBorders>
              <w:top w:val="nil"/>
              <w:left w:val="nil"/>
              <w:bottom w:val="single" w:sz="4" w:space="0" w:color="auto"/>
              <w:right w:val="single" w:sz="4" w:space="0" w:color="auto"/>
            </w:tcBorders>
            <w:shd w:val="clear" w:color="auto" w:fill="auto"/>
            <w:noWrap/>
            <w:vAlign w:val="bottom"/>
            <w:hideMark/>
          </w:tcPr>
          <w:p w14:paraId="5462121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100</w:t>
            </w:r>
          </w:p>
        </w:tc>
        <w:tc>
          <w:tcPr>
            <w:tcW w:w="449" w:type="pct"/>
            <w:tcBorders>
              <w:top w:val="nil"/>
              <w:left w:val="nil"/>
              <w:bottom w:val="single" w:sz="4" w:space="0" w:color="auto"/>
              <w:right w:val="single" w:sz="4" w:space="0" w:color="auto"/>
            </w:tcBorders>
            <w:shd w:val="clear" w:color="auto" w:fill="auto"/>
            <w:noWrap/>
            <w:vAlign w:val="bottom"/>
            <w:hideMark/>
          </w:tcPr>
          <w:p w14:paraId="515C084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50.5</w:t>
            </w:r>
          </w:p>
        </w:tc>
        <w:tc>
          <w:tcPr>
            <w:tcW w:w="498" w:type="pct"/>
            <w:tcBorders>
              <w:top w:val="nil"/>
              <w:left w:val="nil"/>
              <w:bottom w:val="single" w:sz="4" w:space="0" w:color="auto"/>
              <w:right w:val="single" w:sz="4" w:space="0" w:color="auto"/>
            </w:tcBorders>
            <w:shd w:val="clear" w:color="auto" w:fill="auto"/>
            <w:noWrap/>
            <w:vAlign w:val="bottom"/>
            <w:hideMark/>
          </w:tcPr>
          <w:p w14:paraId="52B6F13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F50F89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CD5F6E3"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005718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7BE0C677"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Costa-Fagundes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{"citationItems":[{"id":"ITEM-1","itemData":{"DOI":"10.1590/1413-81232018232.02862016","abstract":"To identify the prevalence and factors associated with hypertriglyceridemic waist (HW) in community-dwelling elderly people in northeast Brazil. Population-based cross-sectional study. Some 316 elderly (≥ 60 years) people of both sexes participated in this study. Data were collected using a questionnaire, based on that used in the Health, Welfare and Aging Study (SABE), in addition to blood tests, blood pressure measurements and anthropometric measurements. The hypertriglyceridemic waist condition was diagnosed using high values of triglycerides (≥ 150 mg/dl) and waist circumference increased ≥ 88 and ≥ 102 cm for women and men, respectively. Logistic regression analysis was used to compare the hypertriglyceridemic waist and associated factors, significance level of 5%. The prevalence of hypertriglyceridemic waist (HW) was 27.1%. The logistic regression model (OR) adjusted showed the condition of HW associated to the feminine sex (OR 4.19), to the insufficiently active elderly (OR 2.41) and with overweight (OR 4.06). A high prevalence (27.1%) of hypertriglyceridemic waist was observed, indicating the female sex, physical inactivity and overweight as key factors associated with hypertriglyceridemic waist in community-dwelling elderly people.","author":[{"dropping-particle":"","family":"Fagundes","given":"Luara Costa","non-dropping-particle":"","parse-names":false,"suffix":""},{"dropping-particle":"","family":"Fernandes","given":"Marcos Henrique","non-dropping-particle":"","parse-names":false,"suffix":""},{"dropping-particle":"","family":"Brito","given":"Thais Alves","non-dropping-particle":"","parse-names":false,"suffix":""},{"dropping-particle":"","family":"Coqueiro","given":"Raildo da Silva","non-dropping-particle":"","parse-names":false,"suffix":""},{"dropping-particle":"","family":"Carneiro","given":"José Ailton Oliveira","non-dropping-particle":"","parse-names":false,"suffix":""}],"container-title":"Ciencia e Saude Coletiva","id":"ITEM-1","issue":"2","issued":{"date-parts":[["2018"]]},"page":"607-616","title":"Prevalência e fatores associados à cintura hipertrigliceridêmica em idosos: Um estudo de base populacional","type":"article-journal","volume":"23"},"uris":["http://www.mendeley.com/documents/?uuid=efe1f083-cea8-450f-b86f-480cf552e2fb"]}],"mendeley":{"formattedCitation":"&lt;sup&gt;59&lt;/sup&gt;","plainTextFormattedCitation":"59","previouslyFormattedCitation":"&lt;sup&gt;59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59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92ACA8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2018</w:t>
            </w:r>
          </w:p>
        </w:tc>
        <w:tc>
          <w:tcPr>
            <w:tcW w:w="598" w:type="pct"/>
            <w:tcBorders>
              <w:top w:val="nil"/>
              <w:left w:val="nil"/>
              <w:bottom w:val="single" w:sz="4" w:space="0" w:color="auto"/>
              <w:right w:val="single" w:sz="4" w:space="0" w:color="auto"/>
            </w:tcBorders>
            <w:shd w:val="clear" w:color="auto" w:fill="auto"/>
            <w:noWrap/>
            <w:vAlign w:val="bottom"/>
            <w:hideMark/>
          </w:tcPr>
          <w:p w14:paraId="79A95ED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48" w:type="pct"/>
            <w:tcBorders>
              <w:top w:val="nil"/>
              <w:left w:val="nil"/>
              <w:bottom w:val="single" w:sz="4" w:space="0" w:color="auto"/>
              <w:right w:val="single" w:sz="4" w:space="0" w:color="auto"/>
            </w:tcBorders>
            <w:shd w:val="clear" w:color="auto" w:fill="auto"/>
            <w:noWrap/>
            <w:vAlign w:val="bottom"/>
            <w:hideMark/>
          </w:tcPr>
          <w:p w14:paraId="71A8FD7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316</w:t>
            </w:r>
          </w:p>
        </w:tc>
        <w:tc>
          <w:tcPr>
            <w:tcW w:w="399" w:type="pct"/>
            <w:tcBorders>
              <w:top w:val="nil"/>
              <w:left w:val="nil"/>
              <w:bottom w:val="single" w:sz="4" w:space="0" w:color="auto"/>
              <w:right w:val="single" w:sz="4" w:space="0" w:color="auto"/>
            </w:tcBorders>
            <w:shd w:val="clear" w:color="auto" w:fill="auto"/>
            <w:noWrap/>
            <w:vAlign w:val="bottom"/>
            <w:hideMark/>
          </w:tcPr>
          <w:p w14:paraId="7B103BC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45.3</w:t>
            </w:r>
          </w:p>
        </w:tc>
        <w:tc>
          <w:tcPr>
            <w:tcW w:w="449" w:type="pct"/>
            <w:tcBorders>
              <w:top w:val="nil"/>
              <w:left w:val="nil"/>
              <w:bottom w:val="single" w:sz="4" w:space="0" w:color="auto"/>
              <w:right w:val="single" w:sz="4" w:space="0" w:color="auto"/>
            </w:tcBorders>
            <w:shd w:val="clear" w:color="auto" w:fill="auto"/>
            <w:noWrap/>
            <w:vAlign w:val="bottom"/>
            <w:hideMark/>
          </w:tcPr>
          <w:p w14:paraId="38D15B9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74.22</w:t>
            </w:r>
          </w:p>
        </w:tc>
        <w:tc>
          <w:tcPr>
            <w:tcW w:w="498" w:type="pct"/>
            <w:tcBorders>
              <w:top w:val="nil"/>
              <w:left w:val="nil"/>
              <w:bottom w:val="single" w:sz="4" w:space="0" w:color="auto"/>
              <w:right w:val="single" w:sz="4" w:space="0" w:color="auto"/>
            </w:tcBorders>
            <w:shd w:val="clear" w:color="auto" w:fill="auto"/>
            <w:noWrap/>
            <w:vAlign w:val="bottom"/>
            <w:hideMark/>
          </w:tcPr>
          <w:p w14:paraId="52B483A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22B93E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3F3CE7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76D209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0087BDD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Barbosa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{"citationItems":[{"id":"ITEM-1","itemData":{"DOI":"10.1590/1413-81232015214.10472015","abstract":"A cross-sectional population-based study using questionnaire and anthropometric data was conducted on 968 university students of São Luís, Brazil, from which 590 showed up for blood collection. In the statistical analysis the Student t-test, Mann-Whitney and chi-square tests were used. The prevalence of metabolic syndrome by the Joint Interim Statement (JIS) criteria was 20.5%, almost three times more prevalent in men (32.2%) than in women (13.5%) (P &lt; 0.001). The prevalence of insulin resistance was 7.3% and the prevalence of low HDL-cholesterol was high (61.2%), both with no statistically significant differences by sex. Men showed a higher percentage of smoking, overweight, high blood pressure, high blood glucose and increased fasting hypertriglyceridemia. Women were more sedentary. University students of private institutions had higher prevalences of sedentary lifestyle, obesity, abdominal obesity, elevated triglycerides and metabolic syndrome than students from public institutions. High prevalences of metabolic syndrome, insulin resistance and other cardiovascular risk factors were found in this young population. This suggests that the burden of these diseases in the future will be increased.","author":[{"dropping-particle":"","family":"Barbosa","given":"José Bonifácio","non-dropping-particle":"","parse-names":false,"suffix":""},{"dropping-particle":"","family":"Santos","given":"Alcione Miranda","non-dropping-particle":"dos","parse-names":false,"suffix":""},{"dropping-particle":"","family":"Barbosa","given":"Marcelo Mesquita","non-dropping-particle":"","parse-names":false,"suffix":""},{"dropping-particle":"","family":"Barbosa","given":"Márcio Mesquita","non-dropping-particle":"","parse-names":false,"suffix":""},{"dropping-particle":"","family":"Carvalho","given":"Carolina Abreu","non-dropping-particle":"de","parse-names":false,"suffix":""},{"dropping-particle":"","family":"Fonseca","given":"Poliana Cristina de Almeida","non-dropping-particle":"","parse-names":false,"suffix":""},{"dropping-particle":"","family":"Fonseca","given":"Jessica Magalhães","non-dropping-particle":"","parse-names":false,"suffix":""},{"dropping-particle":"","family":"Barbosa","given":"Maria do Carmo Lacerda","non-dropping-particle":"","parse-names":false,"suffix":""},{"dropping-particle":"","family":"Bogea","given":"Eduarda Gomes","non-dropping-particle":"","parse-names":false,"suffix":""},{"dropping-particle":"","family":"Silva","given":"Antônio Augusto Moura","non-dropping-particle":"da","parse-names":false,"suffix":""}],"container-title":"Ciencia e Saude Coletiva","id":"ITEM-1","issue":"4","issued":{"date-parts":[["2016"]]},"page":"1123-1136","title":"Síndrome metabólica, resistência insulínica e outros fatores de risco cardiovascular em universitários","type":"article-journal","volume":"21"},"uris":["http://www.mendeley.com/documents/?uuid=92c854d4-16cc-4d74-ace8-de204ba1d54d"]}],"mendeley":{"formattedCitation":"&lt;sup&gt;60&lt;/sup&gt;","plainTextFormattedCitation":"60","previouslyFormattedCitation":"&lt;sup&gt;60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60</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ab/>
            </w:r>
          </w:p>
        </w:tc>
        <w:tc>
          <w:tcPr>
            <w:tcW w:w="648" w:type="pct"/>
            <w:tcBorders>
              <w:top w:val="nil"/>
              <w:left w:val="nil"/>
              <w:bottom w:val="single" w:sz="4" w:space="0" w:color="auto"/>
              <w:right w:val="single" w:sz="4" w:space="0" w:color="auto"/>
            </w:tcBorders>
            <w:shd w:val="clear" w:color="auto" w:fill="auto"/>
            <w:noWrap/>
            <w:vAlign w:val="bottom"/>
            <w:hideMark/>
          </w:tcPr>
          <w:p w14:paraId="728B709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6A6A6E1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2012</w:t>
            </w:r>
          </w:p>
        </w:tc>
        <w:tc>
          <w:tcPr>
            <w:tcW w:w="548" w:type="pct"/>
            <w:tcBorders>
              <w:top w:val="nil"/>
              <w:left w:val="nil"/>
              <w:bottom w:val="single" w:sz="4" w:space="0" w:color="auto"/>
              <w:right w:val="single" w:sz="4" w:space="0" w:color="auto"/>
            </w:tcBorders>
            <w:shd w:val="clear" w:color="auto" w:fill="auto"/>
            <w:noWrap/>
            <w:vAlign w:val="bottom"/>
            <w:hideMark/>
          </w:tcPr>
          <w:p w14:paraId="100EB16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968</w:t>
            </w:r>
          </w:p>
        </w:tc>
        <w:tc>
          <w:tcPr>
            <w:tcW w:w="399" w:type="pct"/>
            <w:tcBorders>
              <w:top w:val="nil"/>
              <w:left w:val="nil"/>
              <w:bottom w:val="single" w:sz="4" w:space="0" w:color="auto"/>
              <w:right w:val="single" w:sz="4" w:space="0" w:color="auto"/>
            </w:tcBorders>
            <w:shd w:val="clear" w:color="auto" w:fill="auto"/>
            <w:noWrap/>
            <w:vAlign w:val="bottom"/>
            <w:hideMark/>
          </w:tcPr>
          <w:p w14:paraId="1EB809E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w:t>
            </w:r>
          </w:p>
        </w:tc>
        <w:tc>
          <w:tcPr>
            <w:tcW w:w="449" w:type="pct"/>
            <w:tcBorders>
              <w:top w:val="nil"/>
              <w:left w:val="nil"/>
              <w:bottom w:val="single" w:sz="4" w:space="0" w:color="auto"/>
              <w:right w:val="single" w:sz="4" w:space="0" w:color="auto"/>
            </w:tcBorders>
            <w:shd w:val="clear" w:color="auto" w:fill="auto"/>
            <w:noWrap/>
            <w:vAlign w:val="bottom"/>
            <w:hideMark/>
          </w:tcPr>
          <w:p w14:paraId="156145E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22.63</w:t>
            </w:r>
          </w:p>
        </w:tc>
        <w:tc>
          <w:tcPr>
            <w:tcW w:w="498" w:type="pct"/>
            <w:tcBorders>
              <w:top w:val="nil"/>
              <w:left w:val="nil"/>
              <w:bottom w:val="single" w:sz="4" w:space="0" w:color="auto"/>
              <w:right w:val="single" w:sz="4" w:space="0" w:color="auto"/>
            </w:tcBorders>
            <w:shd w:val="clear" w:color="auto" w:fill="auto"/>
            <w:noWrap/>
            <w:vAlign w:val="bottom"/>
            <w:hideMark/>
          </w:tcPr>
          <w:p w14:paraId="4FC2837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43AEF1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0214DB0"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B44047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4B6D332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Bernardi</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{"citationItems":[{"id":"ITEM-1","itemData":{"DOI":"10.3945/ajcn.114.105205","abstract":"Background: Cesarean delivery (CD) perturbs the assembly of the neonatal gut microbiome and has been associated with child and adult obesity. However, it is still unknown whether CD is associated with metabolic risk factors in young adults. Objective: We investigated the association of CD and metabolic risk factors in young adults in a cohort study who were 23-25 y of age at follow-up. Design: We used data from a cohort study in Ribeirão Preto, Brazil. Baseline data on 6827 singleton pregnancies were collected in 1978-1979, and a sample of 2063 subjects were followed up 23-25 y later (2002-2004). Information on the type of delivery, birth weight, maternal age, parity, maternal schooling, and maternal smoking was obtained after birth. Anthropometric data, biochemical measurements, and information on participant schooling and smoking history were collected at 23-25 y of age. A linear regression was performed to assess the association between CD and biochemical measurements in early adulthood, controlling for a minimum set of confounders that were identified in a directed acyclic graph. Results: The mean ± SD age of the subjects was 23.9 ± 0.71 y, and 51.8% of the sample were women. The CD rate was 32.0% and was more common in older (P &lt; 0.001) and more educated mothers (P &lt; 0.001). Compared with vaginal delivery, CD was associated with higher body mass index (BMI) after multivariable adjustment (P &lt; 0.001) but not with glucose, homeostasis model assessment of insulin resistance, the quantitative insulin-sensitivity check index, total cholesterol, LDL cholesterol, HDL cholesterol, or triglycerides (all P &gt; 0.05). Conclusion: In our sample of Brazilian adults, CD was associated with higher BMI but not with other metabolic risk factors.","author":[{"dropping-particle":"","family":"Bernardi","given":"Juliana Rombaldi","non-dropping-particle":"","parse-names":false,"suffix":""},{"dropping-particle":"","family":"Pinheiro","given":"Tanara Vogel","non-dropping-particle":"","parse-names":false,"suffix":""},{"dropping-particle":"","family":"Mueller","given":"Noel Theodore","non-dropping-particle":"","parse-names":false,"suffix":""},{"dropping-particle":"","family":"Goldani","given":"Helena Ayako Sueno","non-dropping-particle":"","parse-names":false,"suffix":""},{"dropping-particle":"","family":"Gutierrez","given":"Manoel Romeu Pereira","non-dropping-particle":"","parse-names":false,"suffix":""},{"dropping-particle":"","family":"Bettiol","given":"Heloisa","non-dropping-particle":"","parse-names":false,"suffix":""},{"dropping-particle":"","family":"Silva","given":"Antônio Augusto Moura","non-dropping-particle":"Da","parse-names":false,"suffix":""},{"dropping-particle":"","family":"Barbieri","given":"Marco Antônio","non-dropping-particle":"","parse-names":false,"suffix":""},{"dropping-particle":"","family":"Goldani","given":"Marcelo Zubaran","non-dropping-particle":"","parse-names":false,"suffix":""}],"container-title":"American Journal of Clinical Nutrition","id":"ITEM-1","issue":"2","issued":{"date-parts":[["2015"]]},"page":"295-301","title":"Cesarean delivery and metabolic risk factors in young adults: A Brazilian birth cohort study","type":"article-journal","volume":"102"},"uris":["http://www.mendeley.com/documents/?uuid=5b733777-7a0e-4584-8e3a-90fca856e611"]}],"mendeley":{"formattedCitation":"&lt;sup&gt;61&lt;/sup&gt;","plainTextFormattedCitation":"61","previouslyFormattedCitation":"&lt;sup&gt;61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61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74F85A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00C6490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2003</w:t>
            </w:r>
          </w:p>
        </w:tc>
        <w:tc>
          <w:tcPr>
            <w:tcW w:w="548" w:type="pct"/>
            <w:tcBorders>
              <w:top w:val="nil"/>
              <w:left w:val="nil"/>
              <w:bottom w:val="single" w:sz="4" w:space="0" w:color="auto"/>
              <w:right w:val="single" w:sz="4" w:space="0" w:color="auto"/>
            </w:tcBorders>
            <w:shd w:val="clear" w:color="auto" w:fill="auto"/>
            <w:noWrap/>
            <w:vAlign w:val="bottom"/>
            <w:hideMark/>
          </w:tcPr>
          <w:p w14:paraId="51EB8B3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2063</w:t>
            </w:r>
          </w:p>
        </w:tc>
        <w:tc>
          <w:tcPr>
            <w:tcW w:w="399" w:type="pct"/>
            <w:tcBorders>
              <w:top w:val="nil"/>
              <w:left w:val="nil"/>
              <w:bottom w:val="single" w:sz="4" w:space="0" w:color="auto"/>
              <w:right w:val="single" w:sz="4" w:space="0" w:color="auto"/>
            </w:tcBorders>
            <w:shd w:val="clear" w:color="auto" w:fill="auto"/>
            <w:noWrap/>
            <w:vAlign w:val="bottom"/>
            <w:hideMark/>
          </w:tcPr>
          <w:p w14:paraId="5447E33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48.23</w:t>
            </w:r>
          </w:p>
        </w:tc>
        <w:tc>
          <w:tcPr>
            <w:tcW w:w="449" w:type="pct"/>
            <w:tcBorders>
              <w:top w:val="nil"/>
              <w:left w:val="nil"/>
              <w:bottom w:val="single" w:sz="4" w:space="0" w:color="auto"/>
              <w:right w:val="single" w:sz="4" w:space="0" w:color="auto"/>
            </w:tcBorders>
            <w:shd w:val="clear" w:color="auto" w:fill="auto"/>
            <w:noWrap/>
            <w:vAlign w:val="bottom"/>
            <w:hideMark/>
          </w:tcPr>
          <w:p w14:paraId="64E4A96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23.9</w:t>
            </w:r>
          </w:p>
        </w:tc>
        <w:tc>
          <w:tcPr>
            <w:tcW w:w="498" w:type="pct"/>
            <w:tcBorders>
              <w:top w:val="nil"/>
              <w:left w:val="nil"/>
              <w:bottom w:val="single" w:sz="4" w:space="0" w:color="auto"/>
              <w:right w:val="single" w:sz="4" w:space="0" w:color="auto"/>
            </w:tcBorders>
            <w:shd w:val="clear" w:color="auto" w:fill="auto"/>
            <w:noWrap/>
            <w:vAlign w:val="bottom"/>
            <w:hideMark/>
          </w:tcPr>
          <w:p w14:paraId="3344520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F0C90F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509A96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8AE0E2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68612D34" w14:textId="77777777" w:rsidR="00665066" w:rsidRPr="009E0769" w:rsidRDefault="00665066" w:rsidP="0054001C">
            <w:pPr>
              <w:spacing w:after="0" w:line="240" w:lineRule="auto"/>
              <w:rPr>
                <w:rFonts w:ascii="Arial" w:eastAsia="Times New Roman" w:hAnsi="Arial" w:cs="Arial"/>
                <w:color w:val="000000"/>
                <w:sz w:val="16"/>
                <w:szCs w:val="16"/>
                <w:highlight w:val="yellow"/>
                <w:lang w:eastAsia="en-GB"/>
              </w:rPr>
            </w:pPr>
            <w:r w:rsidRPr="009E0769">
              <w:rPr>
                <w:rFonts w:ascii="Arial" w:eastAsia="Times New Roman" w:hAnsi="Arial" w:cs="Arial"/>
                <w:color w:val="000000"/>
                <w:sz w:val="16"/>
                <w:szCs w:val="16"/>
                <w:lang w:eastAsia="en-GB"/>
              </w:rPr>
              <w:t>Candido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{"citationItems":[{"id":"ITEM-1","itemData":{"DOI":"10.1016/j.atherosclerosis.2006.04.031","abstract":"Evidences suggest that lipoprotein(a) [Lp(a)] is an important risk factor for cardiovascular disease. However, literature has been controversial in confirming its role as an independent risk factor for cardiovascular disease. The objective of the present study is to evaluate the association between serum levels of Lp(a) and ischemic heart disease as well as other cardiovascular risk factors in a population-based study conducted on a local cohort of the Brazilian population. Lp(a) serum levels were measured in 400 individuals selected from a larger sample of a populational survey carried out in Ouro Preto, a city in the southeast of Brazil. Lipid profile, fasting blood glucose, anthropometric and clinical parameters were analyzed. Lp(a) levels were significantly associated with the presence of ischemic heart disease. In relation to other cardiovascular risk factors, it was verified that Lp(a) levels were statistically associated with age, total cholesterol, LDL-cholesterol and percentage of body fat determined by bioelectric impedance. Lp(a) was also highly associated with the Framingham risk score (p = 0.003). In a multivariate analysis two significant interactions were revealed; one involving ischemic heart disease, sex and age and other associating ischemic heart disease, age and total cholesterol. In summary, in the present analysis Lp(a) serum levels were correlated with the occurrence of ischemic heart disease and other cardiovascular risk factors. © 2006 Elsevier Ireland Ltd. All rights reserved.","author":[{"dropping-particle":"","family":"Cândido","given":"Ana Paula Carlos","non-dropping-particle":"","parse-names":false,"suffix":""},{"dropping-particle":"","family":"Ferreira","given":"Silvania","non-dropping-particle":"","parse-names":false,"suffix":""},{"dropping-particle":"","family":"Lima","given":"Angélica Alves","non-dropping-particle":"","parse-names":false,"suffix":""},{"dropping-particle":"","family":"Nicolato","given":"Roney Luiz de Carvalho","non-dropping-particle":"","parse-names":false,"suffix":""},{"dropping-particle":"de","family":"Freitas","given":"Sílvia Nascimento","non-dropping-particle":"","parse-names":false,"suffix":""},{"dropping-particle":"","family":"Brandão","given":"Paulo","non-dropping-particle":"","parse-names":false,"suffix":""},{"dropping-particle":"","family":"Pereira","given":"Alexandre","non-dropping-particle":"","parse-names":false,"suffix":""},{"dropping-particle":"","family":"Krieger","given":"José Eduardo","non-dropping-particle":"","parse-names":false,"suffix":""},{"dropping-particle":"do","family":"Nascimento-Neto","given":"Raimundo Marques","non-dropping-particle":"","parse-names":false,"suffix":""},{"dropping-particle":"","family":"Machado-Coelho","given":"George Luiz Lins","non-dropping-particle":"","parse-names":false,"suffix":""}],"container-title":"Atherosclerosis","id":"ITEM-1","issue":"2","issued":{"date-parts":[["2007"]]},"page":"454-459","title":"Lipoprotein(a) as a risk factor associated with ischemic heart disease: Ouro Preto Study","type":"article-journal","volume":"191"},"uris":["http://www.mendeley.com/documents/?uuid=77bf1cf6-172b-4baf-9f27-e37f5c14cc3b"]}],"mendeley":{"formattedCitation":"&lt;sup&gt;62&lt;/sup&gt;","plainTextFormattedCitation":"62","previouslyFormattedCitation":"&lt;sup&gt;62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62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3101FF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4CA6AD8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315CF93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400</w:t>
            </w:r>
          </w:p>
        </w:tc>
        <w:tc>
          <w:tcPr>
            <w:tcW w:w="399" w:type="pct"/>
            <w:tcBorders>
              <w:top w:val="nil"/>
              <w:left w:val="nil"/>
              <w:bottom w:val="single" w:sz="4" w:space="0" w:color="auto"/>
              <w:right w:val="single" w:sz="4" w:space="0" w:color="auto"/>
            </w:tcBorders>
            <w:shd w:val="clear" w:color="auto" w:fill="auto"/>
            <w:noWrap/>
            <w:vAlign w:val="bottom"/>
            <w:hideMark/>
          </w:tcPr>
          <w:p w14:paraId="56D1FB5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26.5</w:t>
            </w:r>
          </w:p>
        </w:tc>
        <w:tc>
          <w:tcPr>
            <w:tcW w:w="449" w:type="pct"/>
            <w:tcBorders>
              <w:top w:val="nil"/>
              <w:left w:val="nil"/>
              <w:bottom w:val="single" w:sz="4" w:space="0" w:color="auto"/>
              <w:right w:val="single" w:sz="4" w:space="0" w:color="auto"/>
            </w:tcBorders>
            <w:shd w:val="clear" w:color="auto" w:fill="auto"/>
            <w:noWrap/>
            <w:vAlign w:val="bottom"/>
            <w:hideMark/>
          </w:tcPr>
          <w:p w14:paraId="50A4073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45.17</w:t>
            </w:r>
          </w:p>
        </w:tc>
        <w:tc>
          <w:tcPr>
            <w:tcW w:w="498" w:type="pct"/>
            <w:tcBorders>
              <w:top w:val="nil"/>
              <w:left w:val="nil"/>
              <w:bottom w:val="single" w:sz="4" w:space="0" w:color="auto"/>
              <w:right w:val="single" w:sz="4" w:space="0" w:color="auto"/>
            </w:tcBorders>
            <w:shd w:val="clear" w:color="auto" w:fill="auto"/>
            <w:noWrap/>
            <w:vAlign w:val="bottom"/>
            <w:hideMark/>
          </w:tcPr>
          <w:p w14:paraId="3FB5447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81126C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C7B758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EB50A6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125D8C95"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eastAsia="en-GB"/>
              </w:rPr>
              <w:t>de Oliveira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{"citationItems":[{"id":"ITEM-1","itemData":{"DOI":"10.1155/2012/480251","abstract":"Some mechanisms have been proposed to explain the role of bradykinin on glucose homeostasis and some studies reported that the BDKRB2 +9/-9 polymorphism was associated to the transcriptional activity of the receptor. In this scenario, the main aim of this study was to evaluate the association of the BDKRB2 +9/-9 polymorphism with diabetes mellitus risk in the Brazilian general population. This study included 1,032 subjects of the general urban population. Anthropometrical, blood pressure, biochemical, and genotype analyses for the BDKRB2 +9/-9 bp insertion/deletion polymorphism were performed. Individuals carrying +9/+9 or +9/-9 genotypes had higher glucose values (84.5 mg/dL versus 80.6 mg/dL, resp.) and higher frequency of diabetes mellitus (7.6% versus 3.6%, resp.) compared to individuals carrying -9/-9, adjusting for age and gender. In addition, higher diabetes mellitus risk was associated to presence of the +9/+9 or +9/-9 genotypes (OR = 1.91; 95% CI = 1.09-4.19; P = 0.03). Our data suggest that the BDKRB2 +9/-9 polymorphism may act as a genetic modulator of glucose homeostasis. It was previously associated to insulin sensitivity, glucose uptake, and insulin secretion, and, in this study, data suggest that the polymorphism may increase susceptibility to chronic metabolic conditions such as diabetes in the Brazilian population. © 2012 Rafael de Oliveira Alvim et al.","author":[{"dropping-particle":"","family":"Alvim","given":"Rafael De Oliveira","non-dropping-particle":"","parse-names":false,"suffix":""},{"dropping-particle":"","family":"Santos","given":"Paulo C J L","non-dropping-particle":"","parse-names":false,"suffix":""},{"dropping-particle":"","family":"Nascimento","given":"Raimundo M","non-dropping-particle":"","parse-names":false,"suffix":""},{"dropping-particle":"","family":"Coelho","given":"George L L M","non-dropping-particle":"","parse-names":false,"suffix":""},{"dropping-particle":"","family":"Mill","given":"José G","non-dropping-particle":"","parse-names":false,"suffix":""},{"dropping-particle":"","family":"Krieger","given":"José E","non-dropping-particle":"","parse-names":false,"suffix":""},{"dropping-particle":"","family":"Pereira","given":"Alexandre C","non-dropping-particle":"","parse-names":false,"suffix":""}],"container-title":"Experimental Diabetes Research","id":"ITEM-1","issued":{"date-parts":[["2012"]]},"title":"BDKRB2 +9/-9 polymorphism is associated with higher risk for diabetes mellitus in the Brazilian general population","type":"article-journal","volume":"2012"},"uris":["http://www.mendeley.com/documents/?uuid=59975f1d-2c75-4c2e-b7f0-52e2353e3dad"]}],"mendeley":{"formattedCitation":"&lt;sup&gt;63&lt;/sup&gt;","plainTextFormattedCitation":"63","previouslyFormattedCitation":"&lt;sup&gt;63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63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9E6DE36"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2012</w:t>
            </w:r>
          </w:p>
        </w:tc>
        <w:tc>
          <w:tcPr>
            <w:tcW w:w="598" w:type="pct"/>
            <w:tcBorders>
              <w:top w:val="nil"/>
              <w:left w:val="nil"/>
              <w:bottom w:val="single" w:sz="4" w:space="0" w:color="auto"/>
              <w:right w:val="single" w:sz="4" w:space="0" w:color="auto"/>
            </w:tcBorders>
            <w:shd w:val="clear" w:color="auto" w:fill="auto"/>
            <w:noWrap/>
            <w:vAlign w:val="bottom"/>
            <w:hideMark/>
          </w:tcPr>
          <w:p w14:paraId="18E78C4B"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05FDE873"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1032</w:t>
            </w:r>
          </w:p>
        </w:tc>
        <w:tc>
          <w:tcPr>
            <w:tcW w:w="399" w:type="pct"/>
            <w:tcBorders>
              <w:top w:val="nil"/>
              <w:left w:val="nil"/>
              <w:bottom w:val="single" w:sz="4" w:space="0" w:color="auto"/>
              <w:right w:val="single" w:sz="4" w:space="0" w:color="auto"/>
            </w:tcBorders>
            <w:shd w:val="clear" w:color="auto" w:fill="auto"/>
            <w:noWrap/>
            <w:vAlign w:val="bottom"/>
            <w:hideMark/>
          </w:tcPr>
          <w:p w14:paraId="78CB3706"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45.77</w:t>
            </w:r>
          </w:p>
        </w:tc>
        <w:tc>
          <w:tcPr>
            <w:tcW w:w="449" w:type="pct"/>
            <w:tcBorders>
              <w:top w:val="nil"/>
              <w:left w:val="nil"/>
              <w:bottom w:val="single" w:sz="4" w:space="0" w:color="auto"/>
              <w:right w:val="single" w:sz="4" w:space="0" w:color="auto"/>
            </w:tcBorders>
            <w:shd w:val="clear" w:color="auto" w:fill="auto"/>
            <w:noWrap/>
            <w:vAlign w:val="bottom"/>
            <w:hideMark/>
          </w:tcPr>
          <w:p w14:paraId="270AEAAD"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43.04</w:t>
            </w:r>
          </w:p>
        </w:tc>
        <w:tc>
          <w:tcPr>
            <w:tcW w:w="498" w:type="pct"/>
            <w:tcBorders>
              <w:top w:val="nil"/>
              <w:left w:val="nil"/>
              <w:bottom w:val="single" w:sz="4" w:space="0" w:color="auto"/>
              <w:right w:val="single" w:sz="4" w:space="0" w:color="auto"/>
            </w:tcBorders>
            <w:shd w:val="clear" w:color="auto" w:fill="auto"/>
            <w:noWrap/>
            <w:vAlign w:val="bottom"/>
            <w:hideMark/>
          </w:tcPr>
          <w:p w14:paraId="68D9AE4F"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National</w:t>
            </w:r>
            <w:proofErr w:type="spellEnd"/>
          </w:p>
        </w:tc>
        <w:tc>
          <w:tcPr>
            <w:tcW w:w="277" w:type="pct"/>
            <w:tcBorders>
              <w:top w:val="nil"/>
              <w:left w:val="nil"/>
              <w:bottom w:val="single" w:sz="4" w:space="0" w:color="auto"/>
              <w:right w:val="single" w:sz="4" w:space="0" w:color="auto"/>
            </w:tcBorders>
            <w:shd w:val="clear" w:color="auto" w:fill="auto"/>
            <w:noWrap/>
            <w:vAlign w:val="bottom"/>
            <w:hideMark/>
          </w:tcPr>
          <w:p w14:paraId="02010723"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Yes</w:t>
            </w:r>
          </w:p>
        </w:tc>
      </w:tr>
      <w:tr w:rsidR="00665066" w:rsidRPr="009E0769" w14:paraId="78EC6CF1"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7595FAB"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Brazil</w:t>
            </w:r>
            <w:proofErr w:type="spellEnd"/>
          </w:p>
        </w:tc>
        <w:tc>
          <w:tcPr>
            <w:tcW w:w="1053" w:type="pct"/>
            <w:tcBorders>
              <w:top w:val="nil"/>
              <w:left w:val="nil"/>
              <w:bottom w:val="single" w:sz="4" w:space="0" w:color="auto"/>
              <w:right w:val="single" w:sz="4" w:space="0" w:color="auto"/>
            </w:tcBorders>
            <w:shd w:val="clear" w:color="auto" w:fill="auto"/>
            <w:noWrap/>
            <w:vAlign w:val="bottom"/>
            <w:hideMark/>
          </w:tcPr>
          <w:p w14:paraId="2AB7EB94"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de Oliveira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{"citationItems":[{"id":"ITEM-1","itemData":{"DOI":"10.1186/1758-5996-5-45","abstract":"Background: Independent of other cardiovascular (CV) risk factors, increased arterial stiffness has been established as a predictor of morbidity and mortality. The main aim of this study was to investigate the impact of diabetes on arterial stiffness in a representative sample of an urban Brazilian population plus Amerindians. Methods. A total of 1,415 individuals from the general population were randomly selected plus 588 Amerindians from a native community in Brazil. In addition, a sub-sample of 380 individuals from the general population had 5-year follow-up data. Pulse wave velocity (PWV) was measured with a non-invasive automatic device (Complior, Colson; Garges les Gonesses, France) and increased arterial stiffness was defined as PWV ≥ 12 m/s. Results: In the overall group, diabetic individuals had higher frequencies of increased arterial stiffness and hypertension. They also had higher values of PWV, body mass index, total cholesterol, triglycerides, systolic and diastolic blood pressures compared to non-diabetic individuals (p &lt; 0.01). In an analysis stratified by hypertension, PWV values and increased arterial stiffness frequency were higher in diabetic individuals in both groups (hypertensive and non-hypertensive) (p &lt; 0.05). Furthermore, higher risk for increased arterial stiffness was observed in the diabetic individuals from the overall group (OR = 2.27; CI = 1.47-3.52, p &lt; 0.001) and from the hypertensive group (OR = 2.70; CI = 1.58-4.75, p &lt; 0.001), adjusted for covariates. Regarding the ethnic stratification, diabetic individuals from Amerindian, White, and Mulatto (mixed-race) groups had higher PWV values and a greater frequency of increased arterial stiffness compared to non-diabetic individuals. Both diabetic and non-diabetic individuals had higher PWV values after 5 years. There was no significant difference in the 5-year PWV progression in diabetic compared to non-diabetic individuals. Conclusions: These results confirm, in a sample of Brazilian population, that the presence of diabetes is associated with increased arterial stiffness and it may contribute in part to increased cardiovascular risk in diabetic patients. © 2013 Oliveira Alvim et al.; licensee BioMed Central Ltd.","author":[{"dropping-particle":"","family":"Oliveira Alvim","given":"Rafael","non-dropping-particle":"De","parse-names":false,"suffix":""},{"dropping-particle":"","family":"Santos","given":"Paulo Caleb Junior Lima","non-dropping-particle":"","parse-names":false,"suffix":""},{"dropping-particle":"","family":"Musso","given":"Mariane Manso","non-dropping-particle":"","parse-names":false,"suffix":""},{"dropping-particle":"","family":"Sá Cunha","given":"Roberto","non-dropping-particle":"De","parse-names":false,"suffix":""},{"dropping-particle":"","family":"Krieger","given":"José Eduardo","non-dropping-particle":"","parse-names":false,"suffix":""},{"dropping-particle":"","family":"Mill","given":"José Geraldo","non-dropping-particle":"","parse-names":false,"suffix":""},{"dropping-particle":"","family":"Pereira","given":"Alexandre Costa","non-dropping-particle":"","parse-names":false,"suffix":""}],"container-title":"Diabetology and Metabolic Syndrome","id":"ITEM-1","issue":"1","issued":{"date-parts":[["2013"]]},"page":"1-8","title":"Impact of diabetes mellitus on arterial stiffness in a representative sample of an urban Brazilian population","type":"article-journal","volume":"5"},"uris":["http://www.mendeley.com/documents/?uuid=ff9f1ef1-58b6-454c-906b-807c40afa148"]}],"mendeley":{"formattedCitation":"&lt;sup&gt;64&lt;/sup&gt;","plainTextFormattedCitation":"64","previouslyFormattedCitation":"&lt;sup&gt;64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64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CD5590A"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4FC5D163"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72FEAD6F"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2003</w:t>
            </w:r>
          </w:p>
        </w:tc>
        <w:tc>
          <w:tcPr>
            <w:tcW w:w="399" w:type="pct"/>
            <w:tcBorders>
              <w:top w:val="nil"/>
              <w:left w:val="nil"/>
              <w:bottom w:val="single" w:sz="4" w:space="0" w:color="auto"/>
              <w:right w:val="single" w:sz="4" w:space="0" w:color="auto"/>
            </w:tcBorders>
            <w:shd w:val="clear" w:color="auto" w:fill="auto"/>
            <w:noWrap/>
            <w:vAlign w:val="bottom"/>
            <w:hideMark/>
          </w:tcPr>
          <w:p w14:paraId="2F507FCC"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46.43</w:t>
            </w:r>
          </w:p>
        </w:tc>
        <w:tc>
          <w:tcPr>
            <w:tcW w:w="449" w:type="pct"/>
            <w:tcBorders>
              <w:top w:val="nil"/>
              <w:left w:val="nil"/>
              <w:bottom w:val="single" w:sz="4" w:space="0" w:color="auto"/>
              <w:right w:val="single" w:sz="4" w:space="0" w:color="auto"/>
            </w:tcBorders>
            <w:shd w:val="clear" w:color="auto" w:fill="auto"/>
            <w:noWrap/>
            <w:vAlign w:val="bottom"/>
            <w:hideMark/>
          </w:tcPr>
          <w:p w14:paraId="3E439458"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42.54</w:t>
            </w:r>
          </w:p>
        </w:tc>
        <w:tc>
          <w:tcPr>
            <w:tcW w:w="498" w:type="pct"/>
            <w:tcBorders>
              <w:top w:val="nil"/>
              <w:left w:val="nil"/>
              <w:bottom w:val="single" w:sz="4" w:space="0" w:color="auto"/>
              <w:right w:val="single" w:sz="4" w:space="0" w:color="auto"/>
            </w:tcBorders>
            <w:shd w:val="clear" w:color="auto" w:fill="auto"/>
            <w:noWrap/>
            <w:vAlign w:val="bottom"/>
            <w:hideMark/>
          </w:tcPr>
          <w:p w14:paraId="419EC8A3"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Community</w:t>
            </w:r>
            <w:proofErr w:type="spellEnd"/>
          </w:p>
        </w:tc>
        <w:tc>
          <w:tcPr>
            <w:tcW w:w="277" w:type="pct"/>
            <w:tcBorders>
              <w:top w:val="nil"/>
              <w:left w:val="nil"/>
              <w:bottom w:val="single" w:sz="4" w:space="0" w:color="auto"/>
              <w:right w:val="single" w:sz="4" w:space="0" w:color="auto"/>
            </w:tcBorders>
            <w:shd w:val="clear" w:color="auto" w:fill="auto"/>
            <w:noWrap/>
            <w:vAlign w:val="bottom"/>
            <w:hideMark/>
          </w:tcPr>
          <w:p w14:paraId="0383F8CC"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Yes</w:t>
            </w:r>
          </w:p>
        </w:tc>
      </w:tr>
      <w:tr w:rsidR="00665066" w:rsidRPr="009E0769" w14:paraId="19F91B4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11C5AA8"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Brazil</w:t>
            </w:r>
            <w:proofErr w:type="spellEnd"/>
          </w:p>
        </w:tc>
        <w:tc>
          <w:tcPr>
            <w:tcW w:w="1053" w:type="pct"/>
            <w:tcBorders>
              <w:top w:val="nil"/>
              <w:left w:val="nil"/>
              <w:bottom w:val="single" w:sz="4" w:space="0" w:color="auto"/>
              <w:right w:val="single" w:sz="4" w:space="0" w:color="auto"/>
            </w:tcBorders>
            <w:shd w:val="clear" w:color="auto" w:fill="auto"/>
            <w:noWrap/>
            <w:vAlign w:val="bottom"/>
            <w:hideMark/>
          </w:tcPr>
          <w:p w14:paraId="57CE914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val="es-PE" w:eastAsia="en-GB"/>
              </w:rPr>
              <w:t>de Oliveira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{"citationItems":[{"id":"ITEM-1","itemData":{"DOI":"10.6061/clinics/2017(02)07","abstract":"OBJECTIVES: Increased arterial stiffness is an important determinant of the risk of cardiovascular disease. Lipid profile impairment, especially hypercholesterolemia, is associated with stiffer blood vessels. Thus, the aim of this study was to determine which of the five circulating lipid components (high-density lipoprotein cholesterol (HDL-C), non-high-density lipoprotein cholesterol (non-HDL-C), low-density lipoprotein cholesterol (LDL), total cholesterol (TC) and triglycerides) is the best predictor of increased arterial stiffness in an urban Brazilian population. METHODS: A random sample of 1,662 individuals from the general population of Vitoria, Brazil (25-64 years), was selected, and lipid components were measured using standard methods. Pulse wave velocity was measured using a non-invasive automatic device, and increased arterial stiffness was defined as a pulse wave velocity ≥10 m/s. RESULTS: In men, only total cholesterol (OR=1.59; CI=1.02 to 2.48, p=0.04) was associated with the risk of increased arterial stiffness. In women, HDL-C (OR=1.99; CI=1.18 to 3.35, p=0.01) and non-HDL-C (OR=1.61; CI=1.01 to 2.56, p=0.04) were good predictors of the risk of increased arterial stiffness. However, these associations were only found in postmenopausal women (OR=2.06; CI=1.00 to 4.26, p=0.05 for HDL-C and OR=1.83; CI=1.01 to 3.33, p=0.04 for non-HDL-C). CONCLUSION: Our findings indicate that both HDL-C and non-HDL-C are good predictors of the risk of increased arterial stiffness in postmenopausal women in an urban Brazilian population and may be useful tools for assessing the risk of arterial stiffness.","author":[{"dropping-particle":"","family":"Alvim","given":"Rafael de Oliveira","non-dropping-particle":"","parse-names":false,"suffix":""},{"dropping-particle":"","family":"Mourao-Junior","given":"Carlos Alberto","non-dropping-particle":"","parse-names":false,"suffix":""},{"dropping-particle":"","family":"Magalhães","given":"Géssica Lopes","non-dropping-particle":"","parse-names":false,"suffix":""},{"dropping-particle":"","family":"Oliveira","given":"Camila Maciel","non-dropping-particle":"de","parse-names":false,"suffix":""},{"dropping-particle":"","family":"Krieger","given":"José Eduardo","non-dropping-particle":"","parse-names":false,"suffix":""},{"dropping-particle":"","family":"Mill","given":"José Geraldo","non-dropping-particle":"","parse-names":false,"suffix":""},{"dropping-particle":"","family":"Pereira","given":"Alexandre Costa","non-dropping-particle":"","parse-names":false,"suffix":""}],"container-title":"Clinics","id":"ITEM-1","issue":"2","issued":{"date-parts":[["2017"]]},"page":"106-110","title":"Non-hdl cholesterol is a good predictor of the risk of increased arterial stiffness in postmenopausal women in an urban brazilian population","type":"article-journal","volume":"72"},"uris":["http://www.mendeley.com/documents/?uuid=5bd7c0d6-1485-435e-b188-28c8b292eb8e"]}],"mendeley":{"formattedCitation":"&lt;sup&gt;65&lt;/sup&gt;","plainTextFormattedCitation":"65","previouslyFormattedCitation":"&lt;sup&gt;65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65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AA958F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3DC6F0B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140CA4E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1662</w:t>
            </w:r>
          </w:p>
        </w:tc>
        <w:tc>
          <w:tcPr>
            <w:tcW w:w="399" w:type="pct"/>
            <w:tcBorders>
              <w:top w:val="nil"/>
              <w:left w:val="nil"/>
              <w:bottom w:val="single" w:sz="4" w:space="0" w:color="auto"/>
              <w:right w:val="single" w:sz="4" w:space="0" w:color="auto"/>
            </w:tcBorders>
            <w:shd w:val="clear" w:color="auto" w:fill="auto"/>
            <w:noWrap/>
            <w:vAlign w:val="bottom"/>
            <w:hideMark/>
          </w:tcPr>
          <w:p w14:paraId="441EC2E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45.78</w:t>
            </w:r>
          </w:p>
        </w:tc>
        <w:tc>
          <w:tcPr>
            <w:tcW w:w="449" w:type="pct"/>
            <w:tcBorders>
              <w:top w:val="nil"/>
              <w:left w:val="nil"/>
              <w:bottom w:val="single" w:sz="4" w:space="0" w:color="auto"/>
              <w:right w:val="single" w:sz="4" w:space="0" w:color="auto"/>
            </w:tcBorders>
            <w:shd w:val="clear" w:color="auto" w:fill="auto"/>
            <w:noWrap/>
            <w:vAlign w:val="bottom"/>
            <w:hideMark/>
          </w:tcPr>
          <w:p w14:paraId="6B28E0D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44.75</w:t>
            </w:r>
          </w:p>
        </w:tc>
        <w:tc>
          <w:tcPr>
            <w:tcW w:w="498" w:type="pct"/>
            <w:tcBorders>
              <w:top w:val="nil"/>
              <w:left w:val="nil"/>
              <w:bottom w:val="single" w:sz="4" w:space="0" w:color="auto"/>
              <w:right w:val="single" w:sz="4" w:space="0" w:color="auto"/>
            </w:tcBorders>
            <w:shd w:val="clear" w:color="auto" w:fill="auto"/>
            <w:noWrap/>
            <w:vAlign w:val="bottom"/>
            <w:hideMark/>
          </w:tcPr>
          <w:p w14:paraId="1A46F47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F1D816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790DC1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498B07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70B5884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Dressler</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{"citationItems":[{"id":"ITEM-1","itemData":{"DOI":"10.1590/S0100-879X2006000800003","abstract":"Pychological depression is an independent risk factor for coronary artery disease. C-reactive protein has been implicated as a mediator of the effect of psychological depression. Several studies have found that individuals, especially men, who report higher levels of psychological depression also have higher levels of C-reactive protein. The current study was undertaken to replicate these results in a Brazilian population, in which there is a much wider range of variation in both background characteristics (such as socioeconomic status) and coronary artery disease risk factors. A sample of 271 individuals was interviewed using the Center for Epidemiological Studies Depression Scale. Fasting blood samples were obtained and evaluated for C-reactive protein (assessed by a turbidimetric immunoassay using a Dade Behring kit) analysis in a subsample (N = 258) of individuals. The mean ± SD C-reactive protein for the entire sample was 0.43 ± 0.44, with 0.42 ± 0.48 for men and 0.43.± 0.42 mg/L for women. Data were analyzed using multiple regression analysis, controlling for age, sex, body mass index, socioeconomic status, tobacco use, and both total cholesterol and low-density lipoprotein cholesterol. Higher reported depressive symptoms were correlated with higher C-reactive protein for men (partial r = 0.298, P = 0.004) and with lower C-reactive protein for women (partial r = -0.154, P = 0.059). The differences in the associations for men and women could be a result of differential effects of sex hormones on stress reactivity and immune response. On the other hand, this difference in the associations may be related to gender differences in the disclosure of emotion and the effect that self-disclosure has on physical health and immune response.","author":[{"dropping-particle":"","family":"Dressler","given":"W W","non-dropping-particle":"","parse-names":false,"suffix":""},{"dropping-particle":"","family":"Balieiro","given":"M C","non-dropping-particle":"","parse-names":false,"suffix":""},{"dropping-particle":"","family":"Ribeiro","given":"R P","non-dropping-particle":"","parse-names":false,"suffix":""},{"dropping-particle":"","family":"Santos","given":"J E","non-dropping-particle":"Dos","parse-names":false,"suffix":""}],"container-title":"Brazilian Journal of Medical and Biological Research","id":"ITEM-1","issue":"8","issued":{"date-parts":[["2006"]]},"page":"1013-1019","title":"Depressive symptoms and C-reactive protein in a Brazilian urban community","type":"article-journal","volume":"39"},"uris":["http://www.mendeley.com/documents/?uuid=e52d5b89-c29e-467d-b125-ff698abce11c"]}],"mendeley":{"formattedCitation":"&lt;sup&gt;66&lt;/sup&gt;","plainTextFormattedCitation":"66","previouslyFormattedCitation":"&lt;sup&gt;66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66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F39486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98" w:type="pct"/>
            <w:tcBorders>
              <w:top w:val="nil"/>
              <w:left w:val="nil"/>
              <w:bottom w:val="single" w:sz="4" w:space="0" w:color="auto"/>
              <w:right w:val="single" w:sz="4" w:space="0" w:color="auto"/>
            </w:tcBorders>
            <w:shd w:val="clear" w:color="auto" w:fill="auto"/>
            <w:noWrap/>
            <w:vAlign w:val="bottom"/>
            <w:hideMark/>
          </w:tcPr>
          <w:p w14:paraId="539C98E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39A3846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258</w:t>
            </w:r>
          </w:p>
        </w:tc>
        <w:tc>
          <w:tcPr>
            <w:tcW w:w="399" w:type="pct"/>
            <w:tcBorders>
              <w:top w:val="nil"/>
              <w:left w:val="nil"/>
              <w:bottom w:val="single" w:sz="4" w:space="0" w:color="auto"/>
              <w:right w:val="single" w:sz="4" w:space="0" w:color="auto"/>
            </w:tcBorders>
            <w:shd w:val="clear" w:color="auto" w:fill="auto"/>
            <w:noWrap/>
            <w:vAlign w:val="bottom"/>
            <w:hideMark/>
          </w:tcPr>
          <w:p w14:paraId="511B481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38.8</w:t>
            </w:r>
          </w:p>
        </w:tc>
        <w:tc>
          <w:tcPr>
            <w:tcW w:w="449" w:type="pct"/>
            <w:tcBorders>
              <w:top w:val="nil"/>
              <w:left w:val="nil"/>
              <w:bottom w:val="single" w:sz="4" w:space="0" w:color="auto"/>
              <w:right w:val="single" w:sz="4" w:space="0" w:color="auto"/>
            </w:tcBorders>
            <w:shd w:val="clear" w:color="auto" w:fill="auto"/>
            <w:noWrap/>
            <w:vAlign w:val="bottom"/>
            <w:hideMark/>
          </w:tcPr>
          <w:p w14:paraId="1EAAABE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40.9</w:t>
            </w:r>
          </w:p>
        </w:tc>
        <w:tc>
          <w:tcPr>
            <w:tcW w:w="498" w:type="pct"/>
            <w:tcBorders>
              <w:top w:val="nil"/>
              <w:left w:val="nil"/>
              <w:bottom w:val="single" w:sz="4" w:space="0" w:color="auto"/>
              <w:right w:val="single" w:sz="4" w:space="0" w:color="auto"/>
            </w:tcBorders>
            <w:shd w:val="clear" w:color="auto" w:fill="auto"/>
            <w:noWrap/>
            <w:vAlign w:val="bottom"/>
            <w:hideMark/>
          </w:tcPr>
          <w:p w14:paraId="149159D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7306B4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FE5B33E"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B58088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5B4C7A1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Beleigoli</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{"citationItems":[{"id":"ITEM-1","itemData":{"DOI":"10.1007/s12603-016-0858-z","abstract":"Objective: We aimed to investigate the risk of long-term mortality associated with weight and waist circumference (WC) change among older adults, particularly the overweight and obese ones. Design: Cohort Study. Setting: The Bambuí (Brazil) Cohort Study of Aging. Participants: Community-dwelling elderly (n=1138). Measurements: Weight and WC were reassessed three years after baseline. Mortality risk associated with a 5% weight/WC loss and gain was compared to that of weight/WC stability by Cox models adjusted for clinical, behavioral and social known risk factors for death (age, gender, BMI, smoking, diabetes, total cholesterol, hypertension, Chagas disease, major electrocardiographic changes, physical activity, B-type natriuretic peptide, C-reactive protein, creatinine, education and household income). Results: Female sex was predominant (718; 63.1%). Mean age was 68 (6.7) years. Weight stability (696; 61.1%) was more common than weight loss (251; 22.1%) or gain (191; 16.8%). WC remained stable in 422 (37.3%), decreased in 418 (37.0%) and increased in 291 (25.7%) participants. There were 334 (29.3%) deaths over a median follow-up time of 8.0 (6.4-8.0) years from weight/WC reassessment. Weight loss (HR 1.69; 95% CI 1.30-2.21) and gain (HR 1.37; 95% CI 1.01-1.85) were associated with increased mortality, except in those who were physically active in which weight gain was associated with decreased mortality. Results were similar for participants who were overweight/ obese or with abdominal obesity at baseline (HR 1.41; 95%CI 1.02-1.97 and HR 2.01; 95%CI 1.29-3.12, for weight loss and gain, respectively). WC change was not significantly associated with mortality. Conclusion: Although weight loss has been recommended for adults with excessive weight regardless of age, weight change might be detrimental in older adults. Rather than weight loss, clinical interventions should target healthy lifestyle behaviors that contribute to weight stability, particularly physical activity in overweight and obese older adults.","author":[{"dropping-particle":"","family":"Beleigoli","given":"Alline M","non-dropping-particle":"","parse-names":false,"suffix":""},{"dropping-particle":"","family":"Diniz","given":"M D F H","non-dropping-particle":"","parse-names":false,"suffix":""},{"dropping-particle":"","family":"Boersma","given":"E","non-dropping-particle":"","parse-names":false,"suffix":""},{"dropping-particle":"","family":"Silva","given":"J L","non-dropping-particle":"","parse-names":false,"suffix":""},{"dropping-particle":"","family":"Lima-Costa","given":"M F","non-dropping-particle":"","parse-names":false,"suffix":""},{"dropping-particle":"","family":"Ribeiro","given":"A L","non-dropping-particle":"","parse-names":false,"suffix":""}],"container-title":"Journal of Nutrition, Health and Aging","id":"ITEM-1","issue":"8","issued":{"date-parts":[["2017"]]},"page":"861-866","title":"The effects of weight and waist change on the risk of long-term mortality in older adults- The Bambuí (Brazil) Cohort Study of Aging","type":"article-journal","volume":"21"},"uris":["http://www.mendeley.com/documents/?uuid=8298c2df-ed2f-48c4-95d0-b7cb6c0a362d"]}],"mendeley":{"formattedCitation":"&lt;sup&gt;67&lt;/sup&gt;","plainTextFormattedCitation":"67","previouslyFormattedCitation":"&lt;sup&gt;67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67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FF483A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026C239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2000</w:t>
            </w:r>
          </w:p>
        </w:tc>
        <w:tc>
          <w:tcPr>
            <w:tcW w:w="548" w:type="pct"/>
            <w:tcBorders>
              <w:top w:val="nil"/>
              <w:left w:val="nil"/>
              <w:bottom w:val="single" w:sz="4" w:space="0" w:color="auto"/>
              <w:right w:val="single" w:sz="4" w:space="0" w:color="auto"/>
            </w:tcBorders>
            <w:shd w:val="clear" w:color="auto" w:fill="auto"/>
            <w:noWrap/>
            <w:vAlign w:val="bottom"/>
            <w:hideMark/>
          </w:tcPr>
          <w:p w14:paraId="099F3ED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1138</w:t>
            </w:r>
          </w:p>
        </w:tc>
        <w:tc>
          <w:tcPr>
            <w:tcW w:w="399" w:type="pct"/>
            <w:tcBorders>
              <w:top w:val="nil"/>
              <w:left w:val="nil"/>
              <w:bottom w:val="single" w:sz="4" w:space="0" w:color="auto"/>
              <w:right w:val="single" w:sz="4" w:space="0" w:color="auto"/>
            </w:tcBorders>
            <w:shd w:val="clear" w:color="auto" w:fill="auto"/>
            <w:noWrap/>
            <w:vAlign w:val="bottom"/>
            <w:hideMark/>
          </w:tcPr>
          <w:p w14:paraId="3D3A7AC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36.9</w:t>
            </w:r>
          </w:p>
        </w:tc>
        <w:tc>
          <w:tcPr>
            <w:tcW w:w="449" w:type="pct"/>
            <w:tcBorders>
              <w:top w:val="nil"/>
              <w:left w:val="nil"/>
              <w:bottom w:val="single" w:sz="4" w:space="0" w:color="auto"/>
              <w:right w:val="single" w:sz="4" w:space="0" w:color="auto"/>
            </w:tcBorders>
            <w:shd w:val="clear" w:color="auto" w:fill="auto"/>
            <w:noWrap/>
            <w:vAlign w:val="bottom"/>
            <w:hideMark/>
          </w:tcPr>
          <w:p w14:paraId="0785D9E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68</w:t>
            </w:r>
          </w:p>
        </w:tc>
        <w:tc>
          <w:tcPr>
            <w:tcW w:w="498" w:type="pct"/>
            <w:tcBorders>
              <w:top w:val="nil"/>
              <w:left w:val="nil"/>
              <w:bottom w:val="single" w:sz="4" w:space="0" w:color="auto"/>
              <w:right w:val="single" w:sz="4" w:space="0" w:color="auto"/>
            </w:tcBorders>
            <w:shd w:val="clear" w:color="auto" w:fill="auto"/>
            <w:noWrap/>
            <w:vAlign w:val="bottom"/>
            <w:hideMark/>
          </w:tcPr>
          <w:p w14:paraId="3504B8B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12E7FB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DD27932"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A1A3AB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0B4BA5F3"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eastAsia="en-GB"/>
              </w:rPr>
              <w:t>Bustos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{"citationItems":[{"id":"ITEM-1","itemData":{"DOI":"10.1016/j.numecd.2006.06.001","abstract":"Background and aim: Since little information on the metabolic syndrome (MS) is available in Latin America, the aim of this study was to explore whether and to what extent differing socioeconomic conditions influence the prevalence of MS and its associated factors among young adults from two towns in Latin America: semi-rural Limache (L), Chile, and urban Ribeirão Preto (RP), Brazil. Methods and results: A cross-sectional study based on two independent investigations of 22- to 28 year-old subjects using a common methodology. The prevalence of MS (according to the US National Cholesterol Education Program) and its risk factors (smoking habit, alcohol and caloric intake, obesity, physical activity and socioeconomic conditions) were assessed. The prevalence of MS was 10% in L and in RP men, but was lower (4.8%) in RP women. Hyperglycemia was very low (0.8% in L and 1.1% in RP), while the prevalence of low HDL cholesterol levels was high (66.7% and 42.2%, respectively). Intermediate prevalences of hypertriglyceridemia (17.9% and 12.9%), elevated blood pressure (15.5% and 23.1%) and abdominal obesity (19.3% versus 12.7%) were detected. RP subjects had a higher educational level and more qualified jobs, came from smaller families, and a higher proportion were car owners. In L, the smoking habit was more frequent, subjects had higher excess weight and caloric intake, and lower levels of physical activity. Conclusions: Metabolic changes possibly leading to cardiovascular diseases in later life were present in both populations at an early age, but were higher in the rural and less developed county. Our findings point to the existence of a cultural, educational and socioeconomic phenomenon that possibly influences the prevalence of the diagnostic components of MS through differences in lifestyles. © 2006 Elsevier B.V. All rights reserved.","author":[{"dropping-particle":"","family":"Bustos","given":"Patricia","non-dropping-particle":"","parse-names":false,"suffix":""},{"dropping-particle":"","family":"Silva","given":"Antonio Augusto M","non-dropping-particle":"da","parse-names":false,"suffix":""},{"dropping-particle":"","family":"Amigo","given":"Hugo","non-dropping-particle":"","parse-names":false,"suffix":""},{"dropping-particle":"","family":"Bettiol","given":"Heloisa","non-dropping-particle":"","parse-names":false,"suffix":""},{"dropping-particle":"","family":"Barbieri","given":"Marco A","non-dropping-particle":"","parse-names":false,"suffix":""}],"container-title":"Nutrition, Metabolism and Cardiovascular Diseases","id":"ITEM-1","issue":"8","issued":{"date-parts":[["2007"]]},"page":"581-589","title":"Metabolic syndrome in young adults from two socioeconomic Latin American settings","type":"article-journal","volume":"17"},"uris":["http://www.mendeley.com/documents/?uuid=2fdbca5e-1414-4a18-99d6-291f57982926"]}],"mendeley":{"formattedCitation":"&lt;sup&gt;68&lt;/sup&gt;","plainTextFormattedCitation":"68","previouslyFormattedCitation":"&lt;sup&gt;68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68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02A0D7A"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1853F5FD"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2002</w:t>
            </w:r>
          </w:p>
        </w:tc>
        <w:tc>
          <w:tcPr>
            <w:tcW w:w="548" w:type="pct"/>
            <w:tcBorders>
              <w:top w:val="nil"/>
              <w:left w:val="nil"/>
              <w:bottom w:val="single" w:sz="4" w:space="0" w:color="auto"/>
              <w:right w:val="single" w:sz="4" w:space="0" w:color="auto"/>
            </w:tcBorders>
            <w:shd w:val="clear" w:color="auto" w:fill="auto"/>
            <w:noWrap/>
            <w:vAlign w:val="bottom"/>
            <w:hideMark/>
          </w:tcPr>
          <w:p w14:paraId="68109757"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2063</w:t>
            </w:r>
          </w:p>
        </w:tc>
        <w:tc>
          <w:tcPr>
            <w:tcW w:w="399" w:type="pct"/>
            <w:tcBorders>
              <w:top w:val="nil"/>
              <w:left w:val="nil"/>
              <w:bottom w:val="single" w:sz="4" w:space="0" w:color="auto"/>
              <w:right w:val="single" w:sz="4" w:space="0" w:color="auto"/>
            </w:tcBorders>
            <w:shd w:val="clear" w:color="auto" w:fill="auto"/>
            <w:noWrap/>
            <w:vAlign w:val="bottom"/>
            <w:hideMark/>
          </w:tcPr>
          <w:p w14:paraId="5F8AD9CB"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48.2</w:t>
            </w:r>
          </w:p>
        </w:tc>
        <w:tc>
          <w:tcPr>
            <w:tcW w:w="449" w:type="pct"/>
            <w:tcBorders>
              <w:top w:val="nil"/>
              <w:left w:val="nil"/>
              <w:bottom w:val="single" w:sz="4" w:space="0" w:color="auto"/>
              <w:right w:val="single" w:sz="4" w:space="0" w:color="auto"/>
            </w:tcBorders>
            <w:shd w:val="clear" w:color="auto" w:fill="auto"/>
            <w:noWrap/>
            <w:vAlign w:val="bottom"/>
            <w:hideMark/>
          </w:tcPr>
          <w:p w14:paraId="6CD21DE1"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23.9</w:t>
            </w:r>
          </w:p>
        </w:tc>
        <w:tc>
          <w:tcPr>
            <w:tcW w:w="498" w:type="pct"/>
            <w:tcBorders>
              <w:top w:val="nil"/>
              <w:left w:val="nil"/>
              <w:bottom w:val="single" w:sz="4" w:space="0" w:color="auto"/>
              <w:right w:val="single" w:sz="4" w:space="0" w:color="auto"/>
            </w:tcBorders>
            <w:shd w:val="clear" w:color="auto" w:fill="auto"/>
            <w:noWrap/>
            <w:vAlign w:val="bottom"/>
            <w:hideMark/>
          </w:tcPr>
          <w:p w14:paraId="53D13879"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Community</w:t>
            </w:r>
            <w:proofErr w:type="spellEnd"/>
          </w:p>
        </w:tc>
        <w:tc>
          <w:tcPr>
            <w:tcW w:w="277" w:type="pct"/>
            <w:tcBorders>
              <w:top w:val="nil"/>
              <w:left w:val="nil"/>
              <w:bottom w:val="single" w:sz="4" w:space="0" w:color="auto"/>
              <w:right w:val="single" w:sz="4" w:space="0" w:color="auto"/>
            </w:tcBorders>
            <w:shd w:val="clear" w:color="auto" w:fill="auto"/>
            <w:noWrap/>
            <w:vAlign w:val="bottom"/>
            <w:hideMark/>
          </w:tcPr>
          <w:p w14:paraId="1C705DFD"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Yes</w:t>
            </w:r>
          </w:p>
        </w:tc>
      </w:tr>
      <w:tr w:rsidR="00665066" w:rsidRPr="009E0769" w14:paraId="4E3F86FC"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E80352D"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Brazil</w:t>
            </w:r>
            <w:proofErr w:type="spellEnd"/>
          </w:p>
        </w:tc>
        <w:tc>
          <w:tcPr>
            <w:tcW w:w="1053" w:type="pct"/>
            <w:tcBorders>
              <w:top w:val="nil"/>
              <w:left w:val="nil"/>
              <w:bottom w:val="single" w:sz="4" w:space="0" w:color="auto"/>
              <w:right w:val="single" w:sz="4" w:space="0" w:color="auto"/>
            </w:tcBorders>
            <w:shd w:val="clear" w:color="auto" w:fill="auto"/>
            <w:noWrap/>
            <w:vAlign w:val="bottom"/>
            <w:hideMark/>
          </w:tcPr>
          <w:p w14:paraId="0784DA2A" w14:textId="77777777" w:rsidR="00665066" w:rsidRPr="009E0769" w:rsidRDefault="00665066" w:rsidP="0054001C">
            <w:pPr>
              <w:spacing w:after="0" w:line="240" w:lineRule="auto"/>
              <w:rPr>
                <w:rFonts w:ascii="Arial" w:eastAsia="Times New Roman" w:hAnsi="Arial" w:cs="Arial"/>
                <w:color w:val="000000"/>
                <w:sz w:val="16"/>
                <w:szCs w:val="16"/>
                <w:highlight w:val="yellow"/>
                <w:lang w:val="es-PE" w:eastAsia="en-GB"/>
              </w:rPr>
            </w:pPr>
            <w:r w:rsidRPr="009E0769">
              <w:rPr>
                <w:rFonts w:ascii="Arial" w:eastAsia="Times New Roman" w:hAnsi="Arial" w:cs="Arial"/>
                <w:color w:val="000000"/>
                <w:sz w:val="16"/>
                <w:szCs w:val="16"/>
                <w:lang w:val="es-PE" w:eastAsia="en-GB"/>
              </w:rPr>
              <w:t>Costa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{"citationItems":[{"id":"ITEM-1","itemData":{"author":[{"dropping-particle":"","family":"Costa","given":"Letícia Casado","non-dropping-particle":"","parse-names":false,"suffix":""}],"id":"ITEM-1","issued":{"date-parts":[["2010"]]},"page":"83-83","title":"Prevalência de fatores de risco para doenças não transmissíveis na população adulta de 18 capitais brasileiras: um inquérito domiciliar","type":"article-journal"},"uris":["http://www.mendeley.com/documents/?uuid=6ecf85de-c36d-32a0-be14-0d962e9ff6ec"]}],"mendeley":{"formattedCitation":"&lt;sup&gt;69&lt;/sup&gt;","plainTextFormattedCitation":"69","previouslyFormattedCitation":"&lt;sup&gt;69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69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EB2366E"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65DEE423"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2004</w:t>
            </w:r>
          </w:p>
        </w:tc>
        <w:tc>
          <w:tcPr>
            <w:tcW w:w="548" w:type="pct"/>
            <w:tcBorders>
              <w:top w:val="nil"/>
              <w:left w:val="nil"/>
              <w:bottom w:val="single" w:sz="4" w:space="0" w:color="auto"/>
              <w:right w:val="single" w:sz="4" w:space="0" w:color="auto"/>
            </w:tcBorders>
            <w:shd w:val="clear" w:color="auto" w:fill="auto"/>
            <w:noWrap/>
            <w:vAlign w:val="bottom"/>
            <w:hideMark/>
          </w:tcPr>
          <w:p w14:paraId="32E30C2D" w14:textId="77777777" w:rsidR="00665066" w:rsidRPr="009E0769" w:rsidRDefault="00665066" w:rsidP="0054001C">
            <w:pPr>
              <w:spacing w:after="0" w:line="240" w:lineRule="auto"/>
              <w:jc w:val="right"/>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3123</w:t>
            </w:r>
          </w:p>
        </w:tc>
        <w:tc>
          <w:tcPr>
            <w:tcW w:w="399" w:type="pct"/>
            <w:tcBorders>
              <w:top w:val="nil"/>
              <w:left w:val="nil"/>
              <w:bottom w:val="single" w:sz="4" w:space="0" w:color="auto"/>
              <w:right w:val="single" w:sz="4" w:space="0" w:color="auto"/>
            </w:tcBorders>
            <w:shd w:val="clear" w:color="auto" w:fill="auto"/>
            <w:noWrap/>
            <w:vAlign w:val="bottom"/>
            <w:hideMark/>
          </w:tcPr>
          <w:p w14:paraId="4B56DEAF"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5EA9AC39"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2E40FFF1"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National</w:t>
            </w:r>
            <w:proofErr w:type="spellEnd"/>
          </w:p>
        </w:tc>
        <w:tc>
          <w:tcPr>
            <w:tcW w:w="277" w:type="pct"/>
            <w:tcBorders>
              <w:top w:val="nil"/>
              <w:left w:val="nil"/>
              <w:bottom w:val="single" w:sz="4" w:space="0" w:color="auto"/>
              <w:right w:val="single" w:sz="4" w:space="0" w:color="auto"/>
            </w:tcBorders>
            <w:shd w:val="clear" w:color="auto" w:fill="auto"/>
            <w:noWrap/>
            <w:vAlign w:val="bottom"/>
            <w:hideMark/>
          </w:tcPr>
          <w:p w14:paraId="0EA79659"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NI</w:t>
            </w:r>
          </w:p>
        </w:tc>
      </w:tr>
      <w:tr w:rsidR="00665066" w:rsidRPr="009E0769" w14:paraId="563A885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62A434A"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proofErr w:type="spellStart"/>
            <w:r w:rsidRPr="009E0769">
              <w:rPr>
                <w:rFonts w:ascii="Arial" w:eastAsia="Times New Roman" w:hAnsi="Arial" w:cs="Arial"/>
                <w:color w:val="000000"/>
                <w:sz w:val="16"/>
                <w:szCs w:val="16"/>
                <w:lang w:val="es-PE" w:eastAsia="en-GB"/>
              </w:rPr>
              <w:t>Brazil</w:t>
            </w:r>
            <w:proofErr w:type="spellEnd"/>
          </w:p>
        </w:tc>
        <w:tc>
          <w:tcPr>
            <w:tcW w:w="1053" w:type="pct"/>
            <w:tcBorders>
              <w:top w:val="nil"/>
              <w:left w:val="nil"/>
              <w:bottom w:val="single" w:sz="4" w:space="0" w:color="auto"/>
              <w:right w:val="single" w:sz="4" w:space="0" w:color="auto"/>
            </w:tcBorders>
            <w:shd w:val="clear" w:color="auto" w:fill="auto"/>
            <w:noWrap/>
            <w:vAlign w:val="bottom"/>
            <w:hideMark/>
          </w:tcPr>
          <w:p w14:paraId="4E64749A" w14:textId="77777777" w:rsidR="00665066" w:rsidRPr="009E0769" w:rsidRDefault="00665066" w:rsidP="0054001C">
            <w:pPr>
              <w:spacing w:after="0" w:line="240" w:lineRule="auto"/>
              <w:rPr>
                <w:rFonts w:ascii="Arial" w:eastAsia="Times New Roman" w:hAnsi="Arial" w:cs="Arial"/>
                <w:color w:val="000000"/>
                <w:sz w:val="16"/>
                <w:szCs w:val="16"/>
                <w:lang w:eastAsia="en-GB"/>
              </w:rPr>
            </w:pPr>
            <w:proofErr w:type="spellStart"/>
            <w:r w:rsidRPr="009E0769">
              <w:rPr>
                <w:rFonts w:ascii="Arial" w:eastAsia="Times New Roman" w:hAnsi="Arial" w:cs="Arial"/>
                <w:color w:val="000000"/>
                <w:sz w:val="16"/>
                <w:szCs w:val="16"/>
                <w:lang w:val="es-PE" w:eastAsia="en-GB"/>
              </w:rPr>
              <w:t>Carnelosso</w:t>
            </w:r>
            <w:proofErr w:type="spellEnd"/>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{"citationItems":[{"id":"ITEM-1","itemData":{"DOI":"10.1590/s1413-81232010000700014","abstract":"Aiming to investigate the prevalence of cardiovascular risk factors in the population of the Eastern Region of Goiania, Goiás, a transversal study was done involving 3.275 individuals, men and women, aging 15 years and up. Data was collected through home visits for identification and information on living habits, measures blood pressure, anthropometry, and blood collection for identifying dyslipidemias. The variables investigated were: weight, height, blood pressure, physical activity, use of tobacco, cholesterol, triglycerides and glucose. Estimated prevalence at intervals of 95% confidence, differences in proportions assessed using chi-square test and values (p &lt;0,05) considered statistically significant. The study showed that 33,4% of subjects had hypertension, 44.1% overweight/obesity, 16.2% used tobacco regular/occasionally; 72.5% in sedentary leisure and 70% at work, 48.4% with the waist circumference increased; 8.2% hyperglycemia plus impaired glucose tolerance; 44.4% hypercholesterolemia, 13.3% and high triglycerides. High prevalence of cardiovascular risk factors were observed in the study population suggesting greater attention of the authorities in the actions of promotion and prevention of these diseases.","author":[{"dropping-particle":"","family":"Carnelosso","given":"Maria Lúcia","non-dropping-particle":"","parse-names":false,"suffix":""},{"dropping-particle":"","family":"Barbosa","given":"Maria Alves","non-dropping-particle":"","parse-names":false,"suffix":""},{"dropping-particle":"","family":"Porto","given":"Celmo Celeno","non-dropping-particle":"","parse-names":false,"suffix":""},{"dropping-particle":"","family":"e Silva","given":"Simonne Almeida","non-dropping-particle":"","parse-names":false,"suffix":""},{"dropping-particle":"","family":"Carvalho","given":"Magna Maria","non-dropping-particle":"de","parse-names":false,"suffix":""},{"dropping-particle":"","family":"Oliveira","given":"Ana Lúcia Ignácio","non-dropping-particle":"","parse-names":false,"suffix":""}],"container-title":"Ciencia e Saude Coletiva","id":"ITEM-1","issue":"SUPPL. 1","issued":{"date-parts":[["2010"]]},"page":"1073-1080","title":"Prevalência de fatores de risco para doenças cardiovasculares na região leste de Goiânia (GO)","type":"article-journal","volume":"15"},"uris":["http://www.mendeley.com/documents/?uuid=772a21eb-31f3-4ef9-9565-b928c296e2b9"]}],"mendeley":{"formattedCitation":"&lt;sup&gt;70&lt;/sup&gt;","plainTextFormattedCitation":"70","previouslyFormattedCitation":"&lt;sup&gt;70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70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EDA288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1252F66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48" w:type="pct"/>
            <w:tcBorders>
              <w:top w:val="nil"/>
              <w:left w:val="nil"/>
              <w:bottom w:val="single" w:sz="4" w:space="0" w:color="auto"/>
              <w:right w:val="single" w:sz="4" w:space="0" w:color="auto"/>
            </w:tcBorders>
            <w:shd w:val="clear" w:color="auto" w:fill="auto"/>
            <w:noWrap/>
            <w:vAlign w:val="bottom"/>
            <w:hideMark/>
          </w:tcPr>
          <w:p w14:paraId="13C2A79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3275</w:t>
            </w:r>
          </w:p>
        </w:tc>
        <w:tc>
          <w:tcPr>
            <w:tcW w:w="399" w:type="pct"/>
            <w:tcBorders>
              <w:top w:val="nil"/>
              <w:left w:val="nil"/>
              <w:bottom w:val="single" w:sz="4" w:space="0" w:color="auto"/>
              <w:right w:val="single" w:sz="4" w:space="0" w:color="auto"/>
            </w:tcBorders>
            <w:shd w:val="clear" w:color="auto" w:fill="auto"/>
            <w:noWrap/>
            <w:vAlign w:val="bottom"/>
            <w:hideMark/>
          </w:tcPr>
          <w:p w14:paraId="2DA499E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39.1</w:t>
            </w:r>
          </w:p>
        </w:tc>
        <w:tc>
          <w:tcPr>
            <w:tcW w:w="449" w:type="pct"/>
            <w:tcBorders>
              <w:top w:val="nil"/>
              <w:left w:val="nil"/>
              <w:bottom w:val="single" w:sz="4" w:space="0" w:color="auto"/>
              <w:right w:val="single" w:sz="4" w:space="0" w:color="auto"/>
            </w:tcBorders>
            <w:shd w:val="clear" w:color="auto" w:fill="auto"/>
            <w:noWrap/>
            <w:vAlign w:val="bottom"/>
            <w:hideMark/>
          </w:tcPr>
          <w:p w14:paraId="1EB146C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42</w:t>
            </w:r>
          </w:p>
        </w:tc>
        <w:tc>
          <w:tcPr>
            <w:tcW w:w="498" w:type="pct"/>
            <w:tcBorders>
              <w:top w:val="nil"/>
              <w:left w:val="nil"/>
              <w:bottom w:val="single" w:sz="4" w:space="0" w:color="auto"/>
              <w:right w:val="single" w:sz="4" w:space="0" w:color="auto"/>
            </w:tcBorders>
            <w:shd w:val="clear" w:color="auto" w:fill="auto"/>
            <w:noWrap/>
            <w:vAlign w:val="bottom"/>
            <w:hideMark/>
          </w:tcPr>
          <w:p w14:paraId="11F41C0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CE4F29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4A5F06D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E8CEEB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1FAD8632"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Cabral</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{"citationItems":[{"id":"ITEM-1","itemData":{"DOI":"10.3305/nh.2015.32.3.9305","abstract":"Aims: the present study aims to evaluate the prevalence of cardiometabolic changes according to the hypertriglyceridemic waist (HW) phenotype in Brazilian adults. Methods: it is a population based transversal study with 976 adults (n = 533 women) 20-59 years old. Phenotype was defined by triglycerides concentration (TGL) ≥ 150 mg/dl and waist circumference (WC) ≥80 cm in females and ≥ 90 cm in males. All the analyses were adjusted according to the study design and pondered by gender, age and schooling. A descriptive analysis was performed through averages and ratios; their respective confidence intervals were herein presented (CI 95%). The prevalence of cardiometabolic changes due to the presence of HW and to gender was calculated and compared by means of Pearson’s chi-square test. Statistic significance level was 0.05. The probability of coronary event risk was estimated in 10 years and calculated from Framinghan score, using Kernel density graph. Results: no difference in phenotype prevalence between genders was observed. Higher averages in all the cardiometabolic risk factors analyzed and higher probability of evolving to a cardiovascular event in 10 years were observed in individuals with the HW phenotype. Lower HDL values were only verified in this group. Conclusion: the HW phenotype is an important cardiovascular risk sign and allows the premature identification of individuals with higher risk, so that its use in clinical practice must be encouraged, mainly because it is a simple low cost asset.","author":[{"dropping-particle":"","family":"Cabral da Rocha","given":"Anna Ligia","non-dropping-particle":"","parse-names":false,"suffix":""},{"dropping-particle":"","family":"Pereira","given":"Patricia Feliciano","non-dropping-particle":"","parse-names":false,"suffix":""},{"dropping-particle":"","family":"Pessoa","given":"Milene Cristine","non-dropping-particle":"","parse-names":false,"suffix":""},{"dropping-particle":"","family":"Alfenas","given":"Rita de Cássia Gonçalves","non-dropping-particle":"","parse-names":false,"suffix":""},{"dropping-particle":"","family":"Segheto","given":"Wellington","non-dropping-particle":"","parse-names":false,"suffix":""},{"dropping-particle":"","family":"Silva","given":"Danielle Cristina Guimarães","non-dropping-particle":"da","parse-names":false,"suffix":""},{"dropping-particle":"","family":"Andrade","given":"Márcio Pacheco","non-dropping-particle":"de","parse-names":false,"suffix":""},{"dropping-particle":"","family":"Longo","given":"Giana Zarbato","non-dropping-particle":"","parse-names":false,"suffix":""}],"container-title":"Nutricion Hospitalaria","id":"ITEM-1","issue":"3","issued":{"date-parts":[["2015"]]},"page":"1099-1106","title":"Fenotipo cintura hipertrigliceridémica y alteraciones cardiometabólicas en adultos Brasileños","type":"article-journal","volume":"32"},"uris":["http://www.mendeley.com/documents/?uuid=169ca803-105e-4937-84c6-93d5969d8c2c"]}],"mendeley":{"formattedCitation":"&lt;sup&gt;71&lt;/sup&gt;","plainTextFormattedCitation":"71","previouslyFormattedCitation":"&lt;sup&gt;71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71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F01DEB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65CAE9C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48" w:type="pct"/>
            <w:tcBorders>
              <w:top w:val="nil"/>
              <w:left w:val="nil"/>
              <w:bottom w:val="single" w:sz="4" w:space="0" w:color="auto"/>
              <w:right w:val="single" w:sz="4" w:space="0" w:color="auto"/>
            </w:tcBorders>
            <w:shd w:val="clear" w:color="auto" w:fill="auto"/>
            <w:noWrap/>
            <w:vAlign w:val="bottom"/>
            <w:hideMark/>
          </w:tcPr>
          <w:p w14:paraId="347841F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959</w:t>
            </w:r>
          </w:p>
        </w:tc>
        <w:tc>
          <w:tcPr>
            <w:tcW w:w="399" w:type="pct"/>
            <w:tcBorders>
              <w:top w:val="nil"/>
              <w:left w:val="nil"/>
              <w:bottom w:val="single" w:sz="4" w:space="0" w:color="auto"/>
              <w:right w:val="single" w:sz="4" w:space="0" w:color="auto"/>
            </w:tcBorders>
            <w:shd w:val="clear" w:color="auto" w:fill="auto"/>
            <w:noWrap/>
            <w:vAlign w:val="bottom"/>
            <w:hideMark/>
          </w:tcPr>
          <w:p w14:paraId="0486F76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49.2</w:t>
            </w:r>
          </w:p>
        </w:tc>
        <w:tc>
          <w:tcPr>
            <w:tcW w:w="449" w:type="pct"/>
            <w:tcBorders>
              <w:top w:val="nil"/>
              <w:left w:val="nil"/>
              <w:bottom w:val="single" w:sz="4" w:space="0" w:color="auto"/>
              <w:right w:val="single" w:sz="4" w:space="0" w:color="auto"/>
            </w:tcBorders>
            <w:shd w:val="clear" w:color="auto" w:fill="auto"/>
            <w:noWrap/>
            <w:vAlign w:val="bottom"/>
            <w:hideMark/>
          </w:tcPr>
          <w:p w14:paraId="48CCC72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3014CF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3F21D6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31A403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A96E4D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Brazil</w:t>
            </w:r>
          </w:p>
        </w:tc>
        <w:tc>
          <w:tcPr>
            <w:tcW w:w="1053" w:type="pct"/>
            <w:tcBorders>
              <w:top w:val="nil"/>
              <w:left w:val="nil"/>
              <w:bottom w:val="single" w:sz="4" w:space="0" w:color="auto"/>
              <w:right w:val="single" w:sz="4" w:space="0" w:color="auto"/>
            </w:tcBorders>
            <w:shd w:val="clear" w:color="auto" w:fill="auto"/>
            <w:noWrap/>
            <w:vAlign w:val="bottom"/>
            <w:hideMark/>
          </w:tcPr>
          <w:p w14:paraId="49D6BBF0" w14:textId="77777777" w:rsidR="00665066" w:rsidRPr="009E0769" w:rsidRDefault="00665066" w:rsidP="0054001C">
            <w:pPr>
              <w:spacing w:after="0" w:line="240" w:lineRule="auto"/>
              <w:rPr>
                <w:rFonts w:ascii="Arial" w:eastAsia="Times New Roman" w:hAnsi="Arial" w:cs="Arial"/>
                <w:color w:val="000000"/>
                <w:sz w:val="16"/>
                <w:szCs w:val="16"/>
                <w:highlight w:val="yellow"/>
                <w:lang w:eastAsia="en-GB"/>
              </w:rPr>
            </w:pPr>
            <w:r w:rsidRPr="009E0769">
              <w:rPr>
                <w:rFonts w:ascii="Arial" w:eastAsia="Times New Roman" w:hAnsi="Arial" w:cs="Arial"/>
                <w:color w:val="000000"/>
                <w:sz w:val="16"/>
                <w:szCs w:val="16"/>
                <w:lang w:eastAsia="en-GB"/>
              </w:rPr>
              <w:t>Matos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{"citationItems":[{"id":"ITEM-1","itemData":{"abstract":"OBJECTIVE: To assess the frequency of cardiovascular risk factors in the rural community of Cavunge, in the Brazilian state of Bahia., METHODS: A cross-sectional study was carried out with 160 individuals (age&gt;19 years) randomly drawn from those listed in the population census of the Cavunge Project. The following parameters were studied: arterial hypertension, dyslipidemia, diabetes, obesity, smoking, waist-hip ratio (WHR), physical activity, and overall cardiovascular risk classified according to the Framingham score. The assessing parameters used were those established by the III Brazilian Consensus on Hypertension and the II Brazilian Consensus on Dyslipidemia., RESULTS: Of the randomly drawn individuals, 126 with a mean age of 46.6 +/- 19.7 years were included in the study, 43.7% of whom were males. The frequency of arterial hypertension was 36.5%; 20.4% of the individuals had cholesterol levels &gt; or =240 mg/dL; 31.1% of the individuals had LDL-C levels &gt;130 mg/dL; 4% were diabetic; and 39.7% had a high-risk Framingham score. Abdominal obesity was observed in 41.3% of the population and in 57.7% of the females. High caloric-expenditure (HCE) physical activities were performed by 56.5% of the individuals. The HCE group had a greater frequency of normal triglyceride levels (63% vs 44%; P=0.05), no diabetes, and WHR tending towards normal (46% vs 27%, P=0.08) as compared with those in the low caloric-expenditure group., CONCLUSION: Cardiovascular risk factors, such as hypertension and hypercholesterolemia, are frequently found in rural communities. The greatest frequency of normal triglyceride levels and normal WHR in the HCE group reinforces the association between greater caloric expenditure and a better risk profile.","author":[{"dropping-particle":"","family":"Matos","given":"Andre Costa","non-dropping-particle":"","parse-names":false,"suffix":""},{"dropping-particle":"","family":"Ladeia","given":"Ana Marice","non-dropping-particle":"","parse-names":false,"suffix":""}],"container-title":"Arquivos brasileiros de cardiologia","id":"ITEM-1","issue":"3","issued":{"date-parts":[["2003"]]},"page":"291-302","title":"Assessment of cardiovascular risk factors in a rural community in the Brazilian state of Bahia","type":"article-journal","volume":"81"},"uris":["http://www.mendeley.com/documents/?uuid=3fe3fb32-4c20-4b36-a71f-70abc2179219"]}],"mendeley":{"formattedCitation":"&lt;sup&gt;72&lt;/sup&gt;","plainTextFormattedCitation":"72","previouslyFormattedCitation":"&lt;sup&gt;72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72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DF4D53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2003</w:t>
            </w:r>
          </w:p>
        </w:tc>
        <w:tc>
          <w:tcPr>
            <w:tcW w:w="598" w:type="pct"/>
            <w:tcBorders>
              <w:top w:val="nil"/>
              <w:left w:val="nil"/>
              <w:bottom w:val="single" w:sz="4" w:space="0" w:color="auto"/>
              <w:right w:val="single" w:sz="4" w:space="0" w:color="auto"/>
            </w:tcBorders>
            <w:shd w:val="clear" w:color="auto" w:fill="auto"/>
            <w:noWrap/>
            <w:vAlign w:val="bottom"/>
            <w:hideMark/>
          </w:tcPr>
          <w:p w14:paraId="44A5199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0CD48C6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160</w:t>
            </w:r>
          </w:p>
        </w:tc>
        <w:tc>
          <w:tcPr>
            <w:tcW w:w="399" w:type="pct"/>
            <w:tcBorders>
              <w:top w:val="nil"/>
              <w:left w:val="nil"/>
              <w:bottom w:val="single" w:sz="4" w:space="0" w:color="auto"/>
              <w:right w:val="single" w:sz="4" w:space="0" w:color="auto"/>
            </w:tcBorders>
            <w:shd w:val="clear" w:color="auto" w:fill="auto"/>
            <w:noWrap/>
            <w:vAlign w:val="bottom"/>
            <w:hideMark/>
          </w:tcPr>
          <w:p w14:paraId="511C1D1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43.7</w:t>
            </w:r>
          </w:p>
        </w:tc>
        <w:tc>
          <w:tcPr>
            <w:tcW w:w="449" w:type="pct"/>
            <w:tcBorders>
              <w:top w:val="nil"/>
              <w:left w:val="nil"/>
              <w:bottom w:val="single" w:sz="4" w:space="0" w:color="auto"/>
              <w:right w:val="single" w:sz="4" w:space="0" w:color="auto"/>
            </w:tcBorders>
            <w:shd w:val="clear" w:color="auto" w:fill="auto"/>
            <w:noWrap/>
            <w:vAlign w:val="bottom"/>
            <w:hideMark/>
          </w:tcPr>
          <w:p w14:paraId="3E95FAD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46.6</w:t>
            </w:r>
          </w:p>
        </w:tc>
        <w:tc>
          <w:tcPr>
            <w:tcW w:w="498" w:type="pct"/>
            <w:tcBorders>
              <w:top w:val="nil"/>
              <w:left w:val="nil"/>
              <w:bottom w:val="single" w:sz="4" w:space="0" w:color="auto"/>
              <w:right w:val="single" w:sz="4" w:space="0" w:color="auto"/>
            </w:tcBorders>
            <w:shd w:val="clear" w:color="auto" w:fill="auto"/>
            <w:noWrap/>
            <w:vAlign w:val="bottom"/>
            <w:hideMark/>
          </w:tcPr>
          <w:p w14:paraId="1AC4D60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C52E4A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6FA25D9"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11E799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092C4AA3" w14:textId="77777777" w:rsidR="00665066" w:rsidRPr="009E0769" w:rsidRDefault="00665066" w:rsidP="0054001C">
            <w:pPr>
              <w:spacing w:after="0" w:line="240" w:lineRule="auto"/>
              <w:rPr>
                <w:rFonts w:ascii="Arial" w:eastAsia="Times New Roman" w:hAnsi="Arial" w:cs="Arial"/>
                <w:color w:val="000000"/>
                <w:sz w:val="16"/>
                <w:szCs w:val="16"/>
                <w:highlight w:val="yellow"/>
                <w:lang w:eastAsia="en-GB"/>
              </w:rPr>
            </w:pPr>
            <w:r w:rsidRPr="009E0769">
              <w:rPr>
                <w:rFonts w:ascii="Arial" w:eastAsia="Times New Roman" w:hAnsi="Arial" w:cs="Arial"/>
                <w:color w:val="000000"/>
                <w:sz w:val="16"/>
                <w:szCs w:val="16"/>
                <w:lang w:eastAsia="en-GB"/>
              </w:rPr>
              <w:t>Jadue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{"citationItems":[{"id":"ITEM-1","itemData":{"ISSN":"0034-9887 (Print) 0034-9887","abstract":"Background: In the last decades, chronic non communicable diseases are becoming the main cause of disability and mortality among adults. The risk factor surveillance and management is the most efficient mean of reducing the impact of these diseases. Aim: To report the results of a non communicable disease risk factor surveillance program in Valparaiso, Chile. Material and methods: a random samples of people aged 25 to 64 years old living in Valparaiso, Chile was studied. Subjects were questioned about smoking and physical activity habits. Blood pressure, height and weight were measured using standardized techniques at their homes and blood samples were obtained to measure serum lipid levels and oral glucose tolerance test at the nearest outpatient clinic. Results: Of the initial 3852 homes selected, 752 individuals did no agree to answer the inquiry, therefore 3120 subjects were finally interviewed. Of these, 40.6 percent were smokers, 15 percent drank alcohol in two or more occasions per month, 84.6 percent were physically inactive, 19.7 percent had a body mass index over 30 kg/m2, 11.1 percent had high blood pressure, 3.9 percent were diabetic and 46.9 percent had high serum cholesterol levels. Conclusions: The basal survey for the CARMEN program shows a high prevalence of cardiovascular risk factors among chileans","author":[{"dropping-particle":"","family":"Jadue Hund","given":"Liliana","non-dropping-particle":"","parse-names":false,"suffix":""},{"dropping-particle":"","family":"Vega Morales","given":"Jeanette","non-dropping-particle":"","parse-names":false,"suffix":""},{"dropping-particle":"","family":"Escobar S","given":"María Cristina","non-dropping-particle":"","parse-names":false,"suffix":""},{"dropping-particle":"","family":"Delgado B","given":"Iris","non-dropping-particle":"","parse-names":false,"suffix":""},{"dropping-particle":"","family":"Garrido G","given":"Carmen","non-dropping-particle":"","parse-names":false,"suffix":""},{"dropping-particle":"","family":"Lastra M","given":"Patricia","non-dropping-particle":"","parse-names":false,"suffix":""},{"dropping-particle":"","family":"Espejo E","given":"Francisco","non-dropping-particle":"","parse-names":false,"suffix":""},{"dropping-particle":"","family":"Peruga U","given":"Arm","non-dropping-particle":"","parse-names":false,"suffix":""}],"container-title":"Rev Med Chil","id":"ITEM-1","issue":"8","issued":{"date-parts":[["1999"]]},"language":"es","page":"1004-1013","title":"Factores de riesgo para las enfermedades no transmisibles: metodología y resultados globales de la encuesta de base del programa CARMEN: conjunto de acciones para la reducción multifactorial de las enfermedades no transmisibles","type":"article-journal","volume":"127"},"uris":["http://www.mendeley.com/documents/?uuid=ba504d67-fdcd-4093-951d-17d552dcb2fd"]}],"mendeley":{"formattedCitation":"&lt;sup&gt;73&lt;/sup&gt;","plainTextFormattedCitation":"73","previouslyFormattedCitation":"&lt;sup&gt;73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73</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 </w:t>
            </w:r>
          </w:p>
        </w:tc>
        <w:tc>
          <w:tcPr>
            <w:tcW w:w="648" w:type="pct"/>
            <w:tcBorders>
              <w:top w:val="nil"/>
              <w:left w:val="nil"/>
              <w:bottom w:val="single" w:sz="4" w:space="0" w:color="auto"/>
              <w:right w:val="single" w:sz="4" w:space="0" w:color="auto"/>
            </w:tcBorders>
            <w:shd w:val="clear" w:color="auto" w:fill="auto"/>
            <w:noWrap/>
            <w:vAlign w:val="bottom"/>
            <w:hideMark/>
          </w:tcPr>
          <w:p w14:paraId="0338177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1999</w:t>
            </w:r>
          </w:p>
        </w:tc>
        <w:tc>
          <w:tcPr>
            <w:tcW w:w="598" w:type="pct"/>
            <w:tcBorders>
              <w:top w:val="nil"/>
              <w:left w:val="nil"/>
              <w:bottom w:val="single" w:sz="4" w:space="0" w:color="auto"/>
              <w:right w:val="single" w:sz="4" w:space="0" w:color="auto"/>
            </w:tcBorders>
            <w:shd w:val="clear" w:color="auto" w:fill="auto"/>
            <w:noWrap/>
            <w:vAlign w:val="bottom"/>
            <w:hideMark/>
          </w:tcPr>
          <w:p w14:paraId="19E859A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1997</w:t>
            </w:r>
          </w:p>
        </w:tc>
        <w:tc>
          <w:tcPr>
            <w:tcW w:w="548" w:type="pct"/>
            <w:tcBorders>
              <w:top w:val="nil"/>
              <w:left w:val="nil"/>
              <w:bottom w:val="single" w:sz="4" w:space="0" w:color="auto"/>
              <w:right w:val="single" w:sz="4" w:space="0" w:color="auto"/>
            </w:tcBorders>
            <w:shd w:val="clear" w:color="auto" w:fill="auto"/>
            <w:noWrap/>
            <w:vAlign w:val="bottom"/>
            <w:hideMark/>
          </w:tcPr>
          <w:p w14:paraId="01C426B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1669</w:t>
            </w:r>
          </w:p>
        </w:tc>
        <w:tc>
          <w:tcPr>
            <w:tcW w:w="399" w:type="pct"/>
            <w:tcBorders>
              <w:top w:val="nil"/>
              <w:left w:val="nil"/>
              <w:bottom w:val="single" w:sz="4" w:space="0" w:color="auto"/>
              <w:right w:val="single" w:sz="4" w:space="0" w:color="auto"/>
            </w:tcBorders>
            <w:shd w:val="clear" w:color="auto" w:fill="auto"/>
            <w:noWrap/>
            <w:vAlign w:val="bottom"/>
            <w:hideMark/>
          </w:tcPr>
          <w:p w14:paraId="5D0DEE7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26.43</w:t>
            </w:r>
          </w:p>
        </w:tc>
        <w:tc>
          <w:tcPr>
            <w:tcW w:w="449" w:type="pct"/>
            <w:tcBorders>
              <w:top w:val="nil"/>
              <w:left w:val="nil"/>
              <w:bottom w:val="single" w:sz="4" w:space="0" w:color="auto"/>
              <w:right w:val="single" w:sz="4" w:space="0" w:color="auto"/>
            </w:tcBorders>
            <w:shd w:val="clear" w:color="auto" w:fill="auto"/>
            <w:noWrap/>
            <w:vAlign w:val="bottom"/>
            <w:hideMark/>
          </w:tcPr>
          <w:p w14:paraId="7A8150D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4E070A7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F2A5B3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5C1AB23"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58AB9C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060670EC"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Garcia Hermozo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{"citationItems":[{"id":"ITEM-1","itemData":{"ISSN":"1932-6203","abstract":"High levels of gamma glutamyltransferase (gamma-GT) and alanine aminotransferase (ALT), as well as fatty liver index (FLI) has been associated with higher cardiovascular disease risk factors in adults. The aim of this study was to examine the relationship between gamma-GT, ALT, and fatty liver index FLI levels across a gradient number of ideal cardiovascular health metrics in a representative sample of adults from the Chilean National Health Survey 2009-2010. Data from 1,023 men and 1,449 women (&gt;= 15 years) from the Chilean Health Survey 2009-2010 were analyzed. Ideal cardiovascular health was defined as meeting ideal levels of the following components: four behaviours (smoking, body mass index, physical activity and diet adherence) and three factors (total cholesterol, blood pressure and fasting glucose). Adults were grouped into three categories according to their number of ideal cardiovascular health metrics: ideal (5-7 metrics), intermediate (3-4 metrics), and poor (0-2 metrics). Blood levels of gamma-GT and ALT were measured and the FLI was calculated. A higher number of ideal cardiovascular health index metric was associated with lower gamma-GT, ALT and FLI (p from trend analysis &lt;0.001). Also, adults meeting at least 3-4 metrics were predicted less likely to have prevalence of abnormal levels of gamma-GT and FLI (p&lt;0.001) compared to adults who met only 0-2 metrics. These findings reinforce the usefulness of the ideal cardiovascular health metrics proposed by the American Heart Association as a tool to identify target subjects and promote cardiovascular health in South-American adults.","author":[{"dropping-particle":"","family":"Garcia-Hermoso","given":"Antonio","non-dropping-particle":"","parse-names":false,"suffix":""},{"dropping-particle":"","family":"Hackney","given":"Anthony C","non-dropping-particle":"","parse-names":false,"suffix":""},{"dropping-particle":"","family":"Ramirez-Velez","given":"Robinson","non-dropping-particle":"","parse-names":false,"suffix":""}],"container-title":"PloS one","id":"ITEM-1","issue":"10","issued":{"date-parts":[["2017"]]},"page":"e0185908","title":"Ideal cardiovascular health predicts lower risk of abnormal liver enzymes levels in the Chilean National Health Survey (2009-2010)","type":"article-journal","volume":"12"},"uris":["http://www.mendeley.com/documents/?uuid=0aabe73e-2bc4-4894-88b0-8dd14b69e3c7"]}],"mendeley":{"formattedCitation":"&lt;sup&gt;74&lt;/sup&gt;","plainTextFormattedCitation":"74","previouslyFormattedCitation":"&lt;sup&gt;74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74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026CED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2BDA2EC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6C40665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2472</w:t>
            </w:r>
          </w:p>
        </w:tc>
        <w:tc>
          <w:tcPr>
            <w:tcW w:w="399" w:type="pct"/>
            <w:tcBorders>
              <w:top w:val="nil"/>
              <w:left w:val="nil"/>
              <w:bottom w:val="single" w:sz="4" w:space="0" w:color="auto"/>
              <w:right w:val="single" w:sz="4" w:space="0" w:color="auto"/>
            </w:tcBorders>
            <w:shd w:val="clear" w:color="auto" w:fill="auto"/>
            <w:noWrap/>
            <w:vAlign w:val="bottom"/>
            <w:hideMark/>
          </w:tcPr>
          <w:p w14:paraId="7DA4368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41.4</w:t>
            </w:r>
          </w:p>
        </w:tc>
        <w:tc>
          <w:tcPr>
            <w:tcW w:w="449" w:type="pct"/>
            <w:tcBorders>
              <w:top w:val="nil"/>
              <w:left w:val="nil"/>
              <w:bottom w:val="single" w:sz="4" w:space="0" w:color="auto"/>
              <w:right w:val="single" w:sz="4" w:space="0" w:color="auto"/>
            </w:tcBorders>
            <w:shd w:val="clear" w:color="auto" w:fill="auto"/>
            <w:noWrap/>
            <w:vAlign w:val="bottom"/>
            <w:hideMark/>
          </w:tcPr>
          <w:p w14:paraId="1FCDE31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w:t>
            </w:r>
          </w:p>
        </w:tc>
        <w:tc>
          <w:tcPr>
            <w:tcW w:w="498" w:type="pct"/>
            <w:tcBorders>
              <w:top w:val="nil"/>
              <w:left w:val="nil"/>
              <w:bottom w:val="single" w:sz="4" w:space="0" w:color="auto"/>
              <w:right w:val="single" w:sz="4" w:space="0" w:color="auto"/>
            </w:tcBorders>
            <w:shd w:val="clear" w:color="auto" w:fill="auto"/>
            <w:noWrap/>
            <w:vAlign w:val="bottom"/>
            <w:hideMark/>
          </w:tcPr>
          <w:p w14:paraId="388DCCC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32F6164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CB4342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1CF358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554577C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Vinueza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{"citationItems":[{"id":"ITEM-1","itemData":{"ISSN":"0091-7435","abstract":"Objective: The objective of this study was to describe the prevalence of dyslipidemia in the CARMELA study population. Methods: CARMELA was a cross-sectional study of cardiovascular risk conducted between September 2003 and August 2005 in adults (aged 25 to 64 years) living in Barquisimeto (n=1,824), Bogotá (n=1,511), Buenos Aires (n=1,412), Lima (n=1,628), Mexico City (n=1,677), Quito (n=1,620), and Santiago (n=1,605). Dyslipidemia was defined as the presence of one or more of the following conditions: triglycerides. ≥ 200 mg/dL, or total cholesterol (TC) ≥ 240 mg/dL, or HDL cholesterol. &lt; 40 mg/dL, or LDL cholesterol = not optimal, or currently taking antilipemic agents. Results: Prevalence rates of dyslipidemia in men and women were: 75.5% (CI: 71.9-79.1) and 48.7% (CI: 45.4-51.9) in Barquisimeto; 70% (CI: 66.2-73.8) and 47.7% (CI: 43.9-51.5) in Bogotá; 50.4% (CI: 46.8-54.0) and 24.1% (CI: 21.0-27.2) in Buenos Aires; 73.1% (CI: 69.3-76.8) and 62.8% (CI: 59.2-66.5) in Lima; 62.5% (CI: 58.5-66.5) and 37.5% (CI: 33.5-41.6) in Mexico City; 52.2% (CI: 47.9-56.5) and 38.1% (CI: 34.5-41.7) in Quito; and, 50.8% (CI: 47.1-54.4) and 32.8% (CI: 29.3-36.3) in Santiago. Conclusions: Dyslipidemia was disturbingly prevalent and varied across cities. The most frequent dyslipidemia was low HDL-C followed by high triglycerides. The high TC/HDL-C ratios and non-HDL-C levels suggest a high risk of cardiovascular disease. © 2009 Elsevier Inc.","author":[{"dropping-particle":"","family":"Vinueza","given":"R","non-dropping-particle":"","parse-names":false,"suffix":""},{"dropping-particle":"","family":"Boissonnet","given":"C P","non-dropping-particle":"","parse-names":false,"suffix":""},{"dropping-particle":"","family":"Acevedo","given":"M","non-dropping-particle":"","parse-names":false,"suffix":""},{"dropping-particle":"","family":"Uriza","given":"F","non-dropping-particle":"","parse-names":false,"suffix":""},{"dropping-particle":"","family":"Benitez","given":"F J","non-dropping-particle":"","parse-names":false,"suffix":""},{"dropping-particle":"","family":"Silva","given":"H","non-dropping-particle":"","parse-names":false,"suffix":""},{"dropping-particle":"","family":"Schargrodsky","given":"H","non-dropping-particle":"","parse-names":false,"suffix":""},{"dropping-particle":"","family":"Champagne","given":"B","non-dropping-particle":"","parse-names":false,"suffix":""},{"dropping-particle":"","family":"Wilson","given":"E","non-dropping-particle":"","parse-names":false,"suffix":""}],"container-title":"Preventive Medicine","id":"ITEM-1","issue":"3","issued":{"date-parts":[["2010"]]},"page":"106-111","title":"Dyslipidemia in seven Latin American cities: CARMELA study","type":"article-journal","volume":"50"},"uris":["http://www.mendeley.com/documents/?uuid=dec74194-a203-4dec-b7ae-764a9f731745"]}],"mendeley":{"formattedCitation":"&lt;sup&gt;1&lt;/sup&gt;","plainTextFormattedCitation":"1","previouslyFormattedCitation":"&lt;sup&gt;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50FD65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2B9DCBE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48" w:type="pct"/>
            <w:tcBorders>
              <w:top w:val="nil"/>
              <w:left w:val="nil"/>
              <w:bottom w:val="single" w:sz="4" w:space="0" w:color="auto"/>
              <w:right w:val="single" w:sz="4" w:space="0" w:color="auto"/>
            </w:tcBorders>
            <w:shd w:val="clear" w:color="auto" w:fill="auto"/>
            <w:noWrap/>
            <w:vAlign w:val="bottom"/>
            <w:hideMark/>
          </w:tcPr>
          <w:p w14:paraId="5FA414A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1605</w:t>
            </w:r>
          </w:p>
        </w:tc>
        <w:tc>
          <w:tcPr>
            <w:tcW w:w="399" w:type="pct"/>
            <w:tcBorders>
              <w:top w:val="nil"/>
              <w:left w:val="nil"/>
              <w:bottom w:val="single" w:sz="4" w:space="0" w:color="auto"/>
              <w:right w:val="single" w:sz="4" w:space="0" w:color="auto"/>
            </w:tcBorders>
            <w:shd w:val="clear" w:color="auto" w:fill="auto"/>
            <w:noWrap/>
            <w:vAlign w:val="bottom"/>
            <w:hideMark/>
          </w:tcPr>
          <w:p w14:paraId="34B99CF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4FC890F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5C6D512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8CE482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C15343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8427AE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6972314E"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Palomo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{"citationItems":[{"id":"ITEM-1","itemData":{"ISSN":"0034-9887 (Print) 0034-9887","abstract":"Background: Cardiovascular disease (CVD) has several traditional risk factors (RF), and some of them are potentially modifiable. Aim: To determine the prevalence of most common risk factors in adult population in Talca in Central Chile. Subjects and methods: We studied 1007 subjects aged 18 to 74 years (66 percent women), living in Talca, selected by a probability sampling. They answered a questionnaire and anthropometry, blood pressure, lipid profile and blood glucose were measured. Results: Thirty seven percent of subjects smoked, 70.1 percent had a body mass index over 25 kg/m² and 41 percent had an abnormally high circumference. High blood pressure was found in 37 percent (36 percent of these subjects were unaware of this condition), 44.5 percent had hypercholesterolemia, 21.5 percent had low HDL cholesterol, 40.1 percent had hypertriglyceridemia and 26.3 percent had high blood glucose levels. Conclusions: There is a high prevalence of risk factors for CVD in adult population from Talca. The prevalence of risk factors is higher than that reported by the 2003 National Health Survery.","author":[{"dropping-particle":"","family":"Palomo G","given":"Iván","non-dropping-particle":"","parse-names":false,"suffix":""},{"dropping-particle":"","family":"Icaza N","given":"Gloria","non-dropping-particle":"","parse-names":false,"suffix":""},{"dropping-particle":"","family":"Mujica E","given":"Verónica","non-dropping-particle":"","parse-names":false,"suffix":""},{"dropping-particle":"","family":"Núñez F","given":"Loreto","non-dropping-particle":"","parse-names":false,"suffix":""},{"dropping-particle":"","family":"Leiva M","given":"Elba","non-dropping-particle":"","parse-names":false,"suffix":""},{"dropping-particle":"","family":"Vásquez R","given":"Marcela","non-dropping-particle":"","parse-names":false,"suffix":""},{"dropping-particle":"","family":"Alarcón L","given":"Marcelo","non-dropping-particle":"","parse-names":false,"suffix":""},{"dropping-particle":"","family":"Moyano D","given":"Emilio","non-dropping-particle":"","parse-names":false,"suffix":""}],"container-title":"Rev Med Chil","id":"ITEM-1","issue":"7","issued":{"date-parts":[["2007"]]},"language":"es","page":"904-912","title":"Prevalencia de factores de riesgo cardiovascular clásicos en población adulta de Talca, Chile, 2005","type":"article-journal","volume":"135"},"uris":["http://www.mendeley.com/documents/?uuid=513a2aa1-23f1-49bf-ba4b-16a3c9905afc"]}],"mendeley":{"formattedCitation":"&lt;sup&gt;75&lt;/sup&gt;","plainTextFormattedCitation":"75","previouslyFormattedCitation":"&lt;sup&gt;75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75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CDA766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43FDD51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7BE4B49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1007</w:t>
            </w:r>
          </w:p>
        </w:tc>
        <w:tc>
          <w:tcPr>
            <w:tcW w:w="399" w:type="pct"/>
            <w:tcBorders>
              <w:top w:val="nil"/>
              <w:left w:val="nil"/>
              <w:bottom w:val="single" w:sz="4" w:space="0" w:color="auto"/>
              <w:right w:val="single" w:sz="4" w:space="0" w:color="auto"/>
            </w:tcBorders>
            <w:shd w:val="clear" w:color="auto" w:fill="auto"/>
            <w:noWrap/>
            <w:vAlign w:val="bottom"/>
            <w:hideMark/>
          </w:tcPr>
          <w:p w14:paraId="0FF1BC0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33.7</w:t>
            </w:r>
          </w:p>
        </w:tc>
        <w:tc>
          <w:tcPr>
            <w:tcW w:w="449" w:type="pct"/>
            <w:tcBorders>
              <w:top w:val="nil"/>
              <w:left w:val="nil"/>
              <w:bottom w:val="single" w:sz="4" w:space="0" w:color="auto"/>
              <w:right w:val="single" w:sz="4" w:space="0" w:color="auto"/>
            </w:tcBorders>
            <w:shd w:val="clear" w:color="auto" w:fill="auto"/>
            <w:noWrap/>
            <w:vAlign w:val="bottom"/>
            <w:hideMark/>
          </w:tcPr>
          <w:p w14:paraId="47C7666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45.16</w:t>
            </w:r>
          </w:p>
        </w:tc>
        <w:tc>
          <w:tcPr>
            <w:tcW w:w="498" w:type="pct"/>
            <w:tcBorders>
              <w:top w:val="nil"/>
              <w:left w:val="nil"/>
              <w:bottom w:val="single" w:sz="4" w:space="0" w:color="auto"/>
              <w:right w:val="single" w:sz="4" w:space="0" w:color="auto"/>
            </w:tcBorders>
            <w:shd w:val="clear" w:color="auto" w:fill="auto"/>
            <w:noWrap/>
            <w:vAlign w:val="bottom"/>
            <w:hideMark/>
          </w:tcPr>
          <w:p w14:paraId="47AF918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56E85F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FB6023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481B8C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7F9AF2D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Tejos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{"citationItems":[{"id":"ITEM-1","itemData":{"ISSN":"0717-6163 0034-9887","abstract":"BACKGROUND: Determination of Alanine aminotransferase serum levels ([ALT]s) is a sensitive ana reliable test for liver diseases., AIM: To report the prevalence of abnormal [ALT]s in Chilean population and to identify associated variables., METHODS: We analyzed data from a random sub-sample of 2,794 adults surveyed during the second Chilean National Health Survey. Abnormal [ALT]s were defined by using three different cut-off values (COV), two fixed COV (COV1: &gt; 30 IU/L in men and &gt; 19 IU/L in women and COV2 pre-defined by the performing laboratory) and a COV adjusted by age, weight and sex (COV3 &gt; 31 IU/L for women and &gt; 44 IU/L and men &gt; 42 IU/L and &gt; 66 IU/L with a BMI &gt; 23). Logistic regression analysis was performed to determine risk factors for elevated [ALT]s., RESULTS: Mean [ALT]s values were 30.14 I U/L in men and 22.03 IU/L in women. The observed prevalence of abnormal [ALT]s defined by different COV were 38%, 11.5%, and 8.1% for COV1, COV2 and COV3 respectively. Variables independently associated to abnormal [ALT]s in a multivariate analysis were the following: serum gamma-glutamyl-transpeptidase (OR: 1.055 [95% CI 1.033-1.078]) and body mass index (OR:1.13 [95% CI 1.09-1.17]). Variables inversely associated with abnormal [ALT]s (COV1) were mole gender (OR-.0.976 [95% CI 0.96-0.99) and HDL-cholesterol (OR:0979 [95% CI 0.96-0.99])., CONCLUSIONS: Independently of the COV used, Chilean population exhibits a high prevalence of abnormal [ALT]s which may reflect a significant burden of liver disease. Non-alcoholic fatty liver disease could be a major contributor to elevated [ALT]s considering the association of abnormal [ALT]s and metabolic variables.","author":[{"dropping-particle":"","family":"Tejos","given":"Rodrigo","non-dropping-particle":"","parse-names":false,"suffix":""},{"dropping-particle":"","family":"Padilla","given":"Osl","non-dropping-particle":"","parse-names":false,"suffix":""},{"dropping-particle":"","family":"Pizarro","given":"Margarita","non-dropping-particle":"","parse-names":false,"suffix":""},{"dropping-particle":"","family":"Solis","given":"Nancy","non-dropping-particle":"","parse-names":false,"suffix":""},{"dropping-particle":"","family":"Arab","given":"Juan Pablo","non-dropping-particle":"","parse-names":false,"suffix":""},{"dropping-particle":"","family":"Margozzini","given":"Paula","non-dropping-particle":"","parse-names":false,"suffix":""},{"dropping-particle":"","family":"Miquel","given":"Juan Francisco","non-dropping-particle":"","parse-names":false,"suffix":""},{"dropping-particle":"","family":"Riquelme","given":"Arnoldo","non-dropping-particle":"","parse-names":false,"suffix":""},{"dropping-particle":"","family":"Arrese","given":"Marco","non-dropping-particle":"","parse-names":false,"suffix":""}],"container-title":"Niveles sericos de alanino-aminotransferasa en poblacion Chilena: analisis de los resultados de la encuesta nacional de salud 2009-2010.","id":"ITEM-1","issue":"7","issued":{"date-parts":[["2013"]]},"page":"909-916","title":"[Serum levels of alanine aminotransferase in Chilean population: analysis of results of the national health survey 2009-2010]","type":"article-journal","volume":"141"},"uris":["http://www.mendeley.com/documents/?uuid=941f8944-5f68-4bf3-8a15-e726dbe73328"]}],"mendeley":{"formattedCitation":"&lt;sup&gt;76&lt;/sup&gt;","plainTextFormattedCitation":"76","previouslyFormattedCitation":"&lt;sup&gt;76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76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6645EE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0398BFF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48" w:type="pct"/>
            <w:tcBorders>
              <w:top w:val="nil"/>
              <w:left w:val="nil"/>
              <w:bottom w:val="single" w:sz="4" w:space="0" w:color="auto"/>
              <w:right w:val="single" w:sz="4" w:space="0" w:color="auto"/>
            </w:tcBorders>
            <w:shd w:val="clear" w:color="auto" w:fill="auto"/>
            <w:noWrap/>
            <w:vAlign w:val="bottom"/>
            <w:hideMark/>
          </w:tcPr>
          <w:p w14:paraId="16096C0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2794</w:t>
            </w:r>
          </w:p>
        </w:tc>
        <w:tc>
          <w:tcPr>
            <w:tcW w:w="399" w:type="pct"/>
            <w:tcBorders>
              <w:top w:val="nil"/>
              <w:left w:val="nil"/>
              <w:bottom w:val="single" w:sz="4" w:space="0" w:color="auto"/>
              <w:right w:val="single" w:sz="4" w:space="0" w:color="auto"/>
            </w:tcBorders>
            <w:shd w:val="clear" w:color="auto" w:fill="auto"/>
            <w:noWrap/>
            <w:vAlign w:val="bottom"/>
            <w:hideMark/>
          </w:tcPr>
          <w:p w14:paraId="028227B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48.9</w:t>
            </w:r>
          </w:p>
        </w:tc>
        <w:tc>
          <w:tcPr>
            <w:tcW w:w="449" w:type="pct"/>
            <w:tcBorders>
              <w:top w:val="nil"/>
              <w:left w:val="nil"/>
              <w:bottom w:val="single" w:sz="4" w:space="0" w:color="auto"/>
              <w:right w:val="single" w:sz="4" w:space="0" w:color="auto"/>
            </w:tcBorders>
            <w:shd w:val="clear" w:color="auto" w:fill="auto"/>
            <w:noWrap/>
            <w:vAlign w:val="bottom"/>
            <w:hideMark/>
          </w:tcPr>
          <w:p w14:paraId="5639F21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41.7</w:t>
            </w:r>
          </w:p>
        </w:tc>
        <w:tc>
          <w:tcPr>
            <w:tcW w:w="498" w:type="pct"/>
            <w:tcBorders>
              <w:top w:val="nil"/>
              <w:left w:val="nil"/>
              <w:bottom w:val="single" w:sz="4" w:space="0" w:color="auto"/>
              <w:right w:val="single" w:sz="4" w:space="0" w:color="auto"/>
            </w:tcBorders>
            <w:shd w:val="clear" w:color="auto" w:fill="auto"/>
            <w:noWrap/>
            <w:vAlign w:val="bottom"/>
            <w:hideMark/>
          </w:tcPr>
          <w:p w14:paraId="0809441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6684CCE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8348676"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47F4C8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32A77D0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Villanueva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{"citationItems":[{"id":"ITEM-1","itemData":{"ISSN":"1932-6203","abstract":"BACKGROUND/OBJECTIVES: Abdominal obesity (AO) is associated with elevated risk for cardiovascular diseases; however, this association is less clear for non-obese people. We estimated the association of AO and cardiovascular risk factors (CVRF) and disease in non-obese adult individuals from Chile., SUBJECTS/METHODS: 5248 adults (15 years of age or older) of both sexes from the Chilean National Health Survey (October 2009 -September 2010, response rate 85%.) were included. Information on myocardial infarction and stroke was self-reported. BMI, waist circumference (WC), arterial pressure, plasma glucose, and cholesterol levels were measured. Predictive accuracy of WC was evaluated by area under curve of receiver operating characteristic analysis and cut off points were established by Youden Index. Relationship between AO and CVRF was analyzed by Chi-squared tests., RESULTS: Normal weight/overweight/obesity were present in 34.4%/45.2%/18.1% of men and 33.4%/33.6%/27.5% of women. Predictive accuracy of WC to identify at least one CVRF was 0.70/0.67 and optimal cutoff points for WC in non-obese subjects were 91/83 cm in men/women, respectively. AO was present in 98.2%/99.1% of obese, 70.5%/77.4% of overweight and 12.4%/16.4% of normal weight men/women. AO was associated with increased frequency of CVRF in overweight men (6/8 and stroke) and women (4/8) and higher frequency in normal weight men (8/8 and myocardial infarction/stroke) and women (6/8 and myocardial infarction)., CONCLUSIONS: WC cutoff points calculated for non-obese chilean population discriminate more differences in CVRF in normal weight woman. AO significantly increases the frequency of CVRF and diseases in overweight and especially normal weight individuals. WC can be used as a low cost, feasible and reproducible predictor for CVRF in non-obese individuals in most clinical settings.","author":[{"dropping-particle":"","family":"Villanueva","given":"Beatriz","non-dropping-particle":"","parse-names":false,"suffix":""},{"dropping-particle":"","family":"Arteaga","given":"Antonio","non-dropping-particle":"","parse-names":false,"suffix":""},{"dropping-particle":"","family":"Maiz","given":"Alberto","non-dropping-particle":"","parse-names":false,"suffix":""},{"dropping-particle":"","family":"Cortes","given":"Victor A","non-dropping-particle":"","parse-names":false,"suffix":""}],"container-title":"PloS one","id":"ITEM-1","issue":"3","issued":{"date-parts":[["2018"]]},"page":"e0194644","title":"Abdominal obesity is a common finding in normal and overweight subjects of Chile and is associated with increased frequency of cardiometabolic risk factors","type":"article-journal","volume":"13"},"uris":["http://www.mendeley.com/documents/?uuid=e6c2757b-1a9f-483b-9471-e07eb7b2f679"]}],"mendeley":{"formattedCitation":"&lt;sup&gt;77&lt;/sup&gt;","plainTextFormattedCitation":"77","previouslyFormattedCitation":"&lt;sup&gt;77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77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E74794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2018</w:t>
            </w:r>
          </w:p>
        </w:tc>
        <w:tc>
          <w:tcPr>
            <w:tcW w:w="598" w:type="pct"/>
            <w:tcBorders>
              <w:top w:val="nil"/>
              <w:left w:val="nil"/>
              <w:bottom w:val="single" w:sz="4" w:space="0" w:color="auto"/>
              <w:right w:val="single" w:sz="4" w:space="0" w:color="auto"/>
            </w:tcBorders>
            <w:shd w:val="clear" w:color="auto" w:fill="auto"/>
            <w:noWrap/>
            <w:vAlign w:val="bottom"/>
            <w:hideMark/>
          </w:tcPr>
          <w:p w14:paraId="355D0BF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48" w:type="pct"/>
            <w:tcBorders>
              <w:top w:val="nil"/>
              <w:left w:val="nil"/>
              <w:bottom w:val="single" w:sz="4" w:space="0" w:color="auto"/>
              <w:right w:val="single" w:sz="4" w:space="0" w:color="auto"/>
            </w:tcBorders>
            <w:shd w:val="clear" w:color="auto" w:fill="auto"/>
            <w:noWrap/>
            <w:vAlign w:val="bottom"/>
            <w:hideMark/>
          </w:tcPr>
          <w:p w14:paraId="4DA173B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5248</w:t>
            </w:r>
          </w:p>
        </w:tc>
        <w:tc>
          <w:tcPr>
            <w:tcW w:w="399" w:type="pct"/>
            <w:tcBorders>
              <w:top w:val="nil"/>
              <w:left w:val="nil"/>
              <w:bottom w:val="single" w:sz="4" w:space="0" w:color="auto"/>
              <w:right w:val="single" w:sz="4" w:space="0" w:color="auto"/>
            </w:tcBorders>
            <w:shd w:val="clear" w:color="auto" w:fill="auto"/>
            <w:noWrap/>
            <w:vAlign w:val="bottom"/>
            <w:hideMark/>
          </w:tcPr>
          <w:p w14:paraId="45E079D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40.62</w:t>
            </w:r>
          </w:p>
        </w:tc>
        <w:tc>
          <w:tcPr>
            <w:tcW w:w="449" w:type="pct"/>
            <w:tcBorders>
              <w:top w:val="nil"/>
              <w:left w:val="nil"/>
              <w:bottom w:val="single" w:sz="4" w:space="0" w:color="auto"/>
              <w:right w:val="single" w:sz="4" w:space="0" w:color="auto"/>
            </w:tcBorders>
            <w:shd w:val="clear" w:color="auto" w:fill="auto"/>
            <w:noWrap/>
            <w:vAlign w:val="bottom"/>
            <w:hideMark/>
          </w:tcPr>
          <w:p w14:paraId="4FAFD2F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41.57</w:t>
            </w:r>
          </w:p>
        </w:tc>
        <w:tc>
          <w:tcPr>
            <w:tcW w:w="498" w:type="pct"/>
            <w:tcBorders>
              <w:top w:val="nil"/>
              <w:left w:val="nil"/>
              <w:bottom w:val="single" w:sz="4" w:space="0" w:color="auto"/>
              <w:right w:val="single" w:sz="4" w:space="0" w:color="auto"/>
            </w:tcBorders>
            <w:shd w:val="clear" w:color="auto" w:fill="auto"/>
            <w:noWrap/>
            <w:vAlign w:val="bottom"/>
            <w:hideMark/>
          </w:tcPr>
          <w:p w14:paraId="273D836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7DE7FF2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D4D135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2172A1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6DB7A52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Rubinstein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Cardiovascular disease is a major cause of death, and its mortality is increasing in Latin America. However, population-based data on cardiovascular disease risk factors are sparse in these countries., METHODS: A total of 7524 men and women, aged 35 to 74 years old, were recruited between February 2010 and December 2011 from randomly selected samples in 4 cities (Bariloche and Marcos Paz, Argentina; Temuco, Chile; and Pando-Barros Blancos, Uruguay) in the Southern Cone of Latin America. Cardiovascular risk factors were measured using standard methods by trained and certified observers., RESULTS: Approximately 85.5% of adults ate less than five servings of fruit or vegetables per day, 35.2% engaged in low physical activity, and 29.7% currently smoked cigarettes. The prevalences of obesity, central obesity, hypertension, chronic kidney disease, dyslipidemia, diabetes, and metabolic syndrome were 35.7%, 52.9%, 40.8%, 2.0%, 58.4%, 12.4%, and 37.4%, respectively. The proportion of individuals with &gt;=3 cardiovascular risk factors, including low intake of fruit and vegetables, low physical activity, current cigarette smoking, obesity or central obesity, hypertension, chronic kidney disease, dyslipidemia, and diabetes, was 68.3%, and the proportion of individuals with &gt;=3 cardiometabolic risk factors, including obesity or central obesity, hypertension, chronic kidney disease, dyslipidemia, and diabetes, was 22.9%., CONCLUSIONS: Cardiovascular disease risk factors are highly prevalent in the general population in the Southern Cone of Latin America. These data suggest that national efforts on the prevention, treatment, and control of cardiovascular risk factors should be a public health priority in the Southern Cone of Latin America.Copyright © 2015. Published by Elsevier Ireland Ltd.","author":[{"dropping-particle":"","family":"Rubinstein","given":"Adolfo L","non-dropping-particle":"","parse-names":false,"suffix":""},{"dropping-particle":"","family":"Irazola","given":"Vilma E","non-dropping-particle":"","parse-names":false,"suffix":""},{"dropping-particle":"","family":"relli","given":"Matias","non-dropping-particle":"","parse-names":false,"suffix":""},{"dropping-particle":"","family":"Elorriaga","given":"Natalia","non-dropping-particle":"","parse-names":false,"suffix":""},{"dropping-particle":"","family":"Gutierrez","given":"Laura","non-dropping-particle":"","parse-names":false,"suffix":""},{"dropping-particle":"","family":"Lanas","given":"Fern","non-dropping-particle":"","parse-names":false,"suffix":""},{"dropping-particle":"","family":"Manfredi","given":"Jose A","non-dropping-particle":"","parse-names":false,"suffix":""},{"dropping-particle":"","family":"Mores","given":"Nora","non-dropping-particle":"","parse-names":false,"suffix":""},{"dropping-particle":"","family":"Olivera","given":"Hector","non-dropping-particle":"","parse-names":false,"suffix":""},{"dropping-particle":"","family":"Poggio","given":"Rosana","non-dropping-particle":"","parse-names":false,"suffix":""},{"dropping-particle":"","family":"Ponzo","given":"Jacqueline","non-dropping-particle":"","parse-names":false,"suffix":""},{"dropping-particle":"","family":"Seron","given":"Pamela","non-dropping-particle":"","parse-names":false,"suffix":""},{"dropping-particle":"","family":"Chen","given":"Chung-Shiuan","non-dropping-particle":"","parse-names":false,"suffix":""},{"dropping-particle":"","family":"Bazzano","given":"Lydia A","non-dropping-particle":"","parse-names":false,"suffix":""},{"dropping-particle":"","family":"He","given":"Jiang","non-dropping-particle":"","parse-names":false,"suffix":""}],"container-title":"International journal of cardiology","id":"ITEM-1","issued":{"date-parts":[["2015"]]},"page":"82-88","title":"Multiple cardiometabolic risk factors in the Southern Cone of Latin America: a population-based study in Argentina, Chile, and Uruguay","type":"article-journal","volume":"183"},"uris":["http://www.mendeley.com/documents/?uuid=960b14ce-e917-470a-84b5-0fcd0c87f178"]}],"mendeley":{"formattedCitation":"&lt;sup&gt;3&lt;/sup&gt;","plainTextFormattedCitation":"3","previouslyFormattedCitation":"&lt;sup&gt;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947A45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0C79132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48" w:type="pct"/>
            <w:tcBorders>
              <w:top w:val="nil"/>
              <w:left w:val="nil"/>
              <w:bottom w:val="single" w:sz="4" w:space="0" w:color="auto"/>
              <w:right w:val="single" w:sz="4" w:space="0" w:color="auto"/>
            </w:tcBorders>
            <w:shd w:val="clear" w:color="auto" w:fill="auto"/>
            <w:noWrap/>
            <w:vAlign w:val="bottom"/>
            <w:hideMark/>
          </w:tcPr>
          <w:p w14:paraId="1BE0555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1950</w:t>
            </w:r>
          </w:p>
        </w:tc>
        <w:tc>
          <w:tcPr>
            <w:tcW w:w="399" w:type="pct"/>
            <w:tcBorders>
              <w:top w:val="nil"/>
              <w:left w:val="nil"/>
              <w:bottom w:val="single" w:sz="4" w:space="0" w:color="auto"/>
              <w:right w:val="single" w:sz="4" w:space="0" w:color="auto"/>
            </w:tcBorders>
            <w:shd w:val="clear" w:color="auto" w:fill="auto"/>
            <w:noWrap/>
            <w:vAlign w:val="bottom"/>
            <w:hideMark/>
          </w:tcPr>
          <w:p w14:paraId="0837082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4241A62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6B90E18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029592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10C12D5"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0EBCDF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01496303"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Lanas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{"citationItems":[{"id":"ITEM-1","itemData":{"abstract":"Objectives Obesity is an important determinant of cardiovascular risk. However, the optimal measure and cutoffs in Latin America are not defined. We sought to assess the relationship between body mass index (BMI), waist circumference (WC), and waist-to-height ratio (WHtR) with risk factor prevalence and estimated coronary heart disease (CHD) risk and to assess if recommended cutoffs apply to the Chilean population. Study Design and Setting Data from 2,200 men and 3,216 women from the Chilean Health Survey 2009–2010 were analyzed. Receiver operator characteristic (ROC) curves were used to compare discrimination and estimate optimal cutoffs. Sensitivity, specificity, and net reclassification improvement (NRI) for these cutoffs were compared with values obtained applying international recommendations. Results WHtR and WC have a higher ROC area for risk factors and CHD risk. BMI and WC optimal cutoffs did not improve net reclassification when compared with international recommendations. A WHtR of 0.55 in men improves NRI compared with proposed values (P &lt; 0.01). A WHtR of 0.6 in women improves NRI when compared with BMI (P &gt; 0.01) but not when compared with WC. Conclusion Central obesity measurements demonstrated the strongest associations with CV risk factors and estimated risk. Optimal cutoffs were similar to those recommended internationally with the exception of WHtR. © 2016 Elsevier Inc.","author":[{"dropping-particle":"","family":"Lanas","given":"F","non-dropping-particle":"","parse-names":false,"suffix":""},{"dropping-particle":"","family":"Serón","given":"P","non-dropping-particle":"","parse-names":false,"suffix":""},{"dropping-particle":"","family":"Muñoz","given":"S","non-dropping-particle":"","parse-names":false,"suffix":""},{"dropping-particle":"","family":"Margozzini","given":"P","non-dropping-particle":"","parse-names":false,"suffix":""},{"dropping-particle":"","family":"Puig","given":"T","non-dropping-particle":"","parse-names":false,"suffix":""}],"container-title":"Journal of Clinical Epidemiology","id":"ITEM-1","issued":{"date-parts":[["2017"]]},"page":"111-116","title":"Latin American Clinical Epidemiology Network Series – Paper 7: Central obesity measurements better identified risk factors for coronary heart disease risk in the Chilean National Health Survey (2009–2010)","type":"article-journal","volume":"86"},"uris":["http://www.mendeley.com/documents/?uuid=c4875668-998c-4fe7-8450-df7f88af3eec"]}],"mendeley":{"formattedCitation":"&lt;sup&gt;78&lt;/sup&gt;","plainTextFormattedCitation":"78","previouslyFormattedCitation":"&lt;sup&gt;78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78</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val="es-PE" w:eastAsia="en-GB"/>
              </w:rPr>
              <w:t xml:space="preserve"> </w:t>
            </w:r>
          </w:p>
        </w:tc>
        <w:tc>
          <w:tcPr>
            <w:tcW w:w="648" w:type="pct"/>
            <w:tcBorders>
              <w:top w:val="nil"/>
              <w:left w:val="nil"/>
              <w:bottom w:val="single" w:sz="4" w:space="0" w:color="auto"/>
              <w:right w:val="single" w:sz="4" w:space="0" w:color="auto"/>
            </w:tcBorders>
            <w:shd w:val="clear" w:color="auto" w:fill="auto"/>
            <w:noWrap/>
            <w:vAlign w:val="bottom"/>
            <w:hideMark/>
          </w:tcPr>
          <w:p w14:paraId="77681B3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6FE9F95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7E1009B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5416</w:t>
            </w:r>
          </w:p>
        </w:tc>
        <w:tc>
          <w:tcPr>
            <w:tcW w:w="399" w:type="pct"/>
            <w:tcBorders>
              <w:top w:val="nil"/>
              <w:left w:val="nil"/>
              <w:bottom w:val="single" w:sz="4" w:space="0" w:color="auto"/>
              <w:right w:val="single" w:sz="4" w:space="0" w:color="auto"/>
            </w:tcBorders>
            <w:shd w:val="clear" w:color="auto" w:fill="auto"/>
            <w:noWrap/>
            <w:vAlign w:val="bottom"/>
            <w:hideMark/>
          </w:tcPr>
          <w:p w14:paraId="4851ED2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40.62</w:t>
            </w:r>
          </w:p>
        </w:tc>
        <w:tc>
          <w:tcPr>
            <w:tcW w:w="449" w:type="pct"/>
            <w:tcBorders>
              <w:top w:val="nil"/>
              <w:left w:val="nil"/>
              <w:bottom w:val="single" w:sz="4" w:space="0" w:color="auto"/>
              <w:right w:val="single" w:sz="4" w:space="0" w:color="auto"/>
            </w:tcBorders>
            <w:shd w:val="clear" w:color="auto" w:fill="auto"/>
            <w:noWrap/>
            <w:vAlign w:val="bottom"/>
            <w:hideMark/>
          </w:tcPr>
          <w:p w14:paraId="0A04B1A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46.69</w:t>
            </w:r>
          </w:p>
        </w:tc>
        <w:tc>
          <w:tcPr>
            <w:tcW w:w="498" w:type="pct"/>
            <w:tcBorders>
              <w:top w:val="nil"/>
              <w:left w:val="nil"/>
              <w:bottom w:val="single" w:sz="4" w:space="0" w:color="auto"/>
              <w:right w:val="single" w:sz="4" w:space="0" w:color="auto"/>
            </w:tcBorders>
            <w:shd w:val="clear" w:color="auto" w:fill="auto"/>
            <w:noWrap/>
            <w:vAlign w:val="bottom"/>
            <w:hideMark/>
          </w:tcPr>
          <w:p w14:paraId="711F8F5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62CA96E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3B2173FE"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73B32F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551F39C5"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Lara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{"citationItems":[{"id":"ITEM-1","itemData":{"abstract":"Background: It has been reported that waist circumference (WC) is a better predictor of cardiovascular risk factors than body mass index (BMI), although the findings have not been consistent. The aim of this study was to assess which measurement, BMI or WC, is more strongly associated with blood pressure, homeostatic model assessment (HOMA) and blood lipids in young Chilean adults. Methods: 999 subjects aged 22 to 28 years were randomly selected from a registry of individuals born between 1974 and 1978 at the Hospital of Limache, Chile. Weight, height, WC, blood pressure, HOMA and lipoproteins were assessed in a cross-sectional study. Results: In multivariable regressions BMI and WC were associated with blood pressure, HOMA and lipoproteins at similar level of explained variation (R 2 between 1.6 % for Low Density Lipoproteins (LDL) and 15.6 %, the highest for HOMA and triglycerides) and similarly OR in standardised logistic regressions between 1.1 (95 % CI: 0.9 and 1.4) for LDL and 2.9 (95 % CI: 2.4 and 3.4) for elevated HOMA. When both WC and BMI were included in the model collinearity was high and only for HOMA was there a small independent contribution of each index (R 2 = 1 %); for other outcomes the pattern was inconsistent. Conclusion: The strength of the associations of WC and BMI for any cardiovascular risk factors was similar, but highest for HOMA and triglycerides. WC and BMI are equally useful for monitoring the consequences of obesity in young adults. © 2012 Lara et al.; licensee BioMed Central Ltd.","author":[{"dropping-particle":"","family":"Lara","given":"M","non-dropping-particle":"","parse-names":false,"suffix":""},{"dropping-particle":"","family":"Bustos","given":"P","non-dropping-particle":"","parse-names":false,"suffix":""},{"dropping-particle":"","family":"Amigo","given":"H","non-dropping-particle":"","parse-names":false,"suffix":""},{"dropping-particle":"","family":"Silva","given":"C","non-dropping-particle":"","parse-names":false,"suffix":""},{"dropping-particle":"","family":"Rona","given":"R J","non-dropping-particle":"","parse-names":false,"suffix":""}],"container-title":"BMC Public Health","id":"ITEM-1","issue":"1","issued":{"date-parts":[["2012"]]},"title":"Is waist circumference a better predictor of blood pressure, insulin resistance and blood lipids than body mass index in young Chilean adults?","type":"article-journal","volume":"12"},"uris":["http://www.mendeley.com/documents/?uuid=1ff11e36-225e-4841-ac0e-3c00a613643a"]}],"mendeley":{"formattedCitation":"&lt;sup&gt;79&lt;/sup&gt;","plainTextFormattedCitation":"79","previouslyFormattedCitation":"&lt;sup&gt;79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79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9F8271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2012</w:t>
            </w:r>
          </w:p>
        </w:tc>
        <w:tc>
          <w:tcPr>
            <w:tcW w:w="598" w:type="pct"/>
            <w:tcBorders>
              <w:top w:val="nil"/>
              <w:left w:val="nil"/>
              <w:bottom w:val="single" w:sz="4" w:space="0" w:color="auto"/>
              <w:right w:val="single" w:sz="4" w:space="0" w:color="auto"/>
            </w:tcBorders>
            <w:shd w:val="clear" w:color="auto" w:fill="auto"/>
            <w:noWrap/>
            <w:vAlign w:val="bottom"/>
            <w:hideMark/>
          </w:tcPr>
          <w:p w14:paraId="2FFF6B4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74C2594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999</w:t>
            </w:r>
          </w:p>
        </w:tc>
        <w:tc>
          <w:tcPr>
            <w:tcW w:w="399" w:type="pct"/>
            <w:tcBorders>
              <w:top w:val="nil"/>
              <w:left w:val="nil"/>
              <w:bottom w:val="single" w:sz="4" w:space="0" w:color="auto"/>
              <w:right w:val="single" w:sz="4" w:space="0" w:color="auto"/>
            </w:tcBorders>
            <w:shd w:val="clear" w:color="auto" w:fill="auto"/>
            <w:noWrap/>
            <w:vAlign w:val="bottom"/>
            <w:hideMark/>
          </w:tcPr>
          <w:p w14:paraId="5EE8E41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43.7</w:t>
            </w:r>
          </w:p>
        </w:tc>
        <w:tc>
          <w:tcPr>
            <w:tcW w:w="449" w:type="pct"/>
            <w:tcBorders>
              <w:top w:val="nil"/>
              <w:left w:val="nil"/>
              <w:bottom w:val="single" w:sz="4" w:space="0" w:color="auto"/>
              <w:right w:val="single" w:sz="4" w:space="0" w:color="auto"/>
            </w:tcBorders>
            <w:shd w:val="clear" w:color="auto" w:fill="auto"/>
            <w:noWrap/>
            <w:vAlign w:val="bottom"/>
            <w:hideMark/>
          </w:tcPr>
          <w:p w14:paraId="27844A9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24.8</w:t>
            </w:r>
          </w:p>
        </w:tc>
        <w:tc>
          <w:tcPr>
            <w:tcW w:w="498" w:type="pct"/>
            <w:tcBorders>
              <w:top w:val="nil"/>
              <w:left w:val="nil"/>
              <w:bottom w:val="single" w:sz="4" w:space="0" w:color="auto"/>
              <w:right w:val="single" w:sz="4" w:space="0" w:color="auto"/>
            </w:tcBorders>
            <w:shd w:val="clear" w:color="auto" w:fill="auto"/>
            <w:noWrap/>
            <w:vAlign w:val="bottom"/>
            <w:hideMark/>
          </w:tcPr>
          <w:p w14:paraId="192D2CD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51ED6C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FFC939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D6BB50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lastRenderedPageBreak/>
              <w:t>Chile</w:t>
            </w:r>
          </w:p>
        </w:tc>
        <w:tc>
          <w:tcPr>
            <w:tcW w:w="1053" w:type="pct"/>
            <w:tcBorders>
              <w:top w:val="nil"/>
              <w:left w:val="nil"/>
              <w:bottom w:val="single" w:sz="4" w:space="0" w:color="auto"/>
              <w:right w:val="single" w:sz="4" w:space="0" w:color="auto"/>
            </w:tcBorders>
            <w:shd w:val="clear" w:color="auto" w:fill="auto"/>
            <w:noWrap/>
            <w:vAlign w:val="bottom"/>
            <w:hideMark/>
          </w:tcPr>
          <w:p w14:paraId="780BF07B"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Mena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{"citationItems":[{"id":"ITEM-1","itemData":{"ISSN":"1369-1619","abstract":"BACKGROUND: This study examined the association between access to urban green spaces and markets with anthropometric measurements, biological markers, sociodemographic, and healthy lifestyle., METHODS: Geographic information systems were used to establish a correlation between environmental features and cardiovascular risk parameters. A total number of 832 (age range 18-74 years) individuals were selected for this study., RESULTS: Body mass index was significantly and positively related to the distance to parks (p = 0.079, p &lt; 0.05), but negatively related to the distance to markets (p = -0.125, p &lt; 0.05). In addition, waist circumference was similar and positively related to distance to parks (p = 0.097, p &lt; 0.05) and negatively related to distance to markets (p = -0.092, p &lt; 0.05). With respect to biochemical parameters, when there was an increase in the distance to markets, high-density lipoprotein cholesterol increased and glycemia decreased., CONCLUSION: The results of this study suggest the importance of the role of environmental factors such as parks and markets in the development of cardiovascular risk.","author":[{"dropping-particle":"","family":"Mena","given":"Carlos","non-dropping-particle":"","parse-names":false,"suffix":""},{"dropping-particle":"","family":"Fuentes","given":"Eduardo","non-dropping-particle":"","parse-names":false,"suffix":""},{"dropping-particle":"","family":"Ormazabal","given":"Yony","non-dropping-particle":"","parse-names":false,"suffix":""},{"dropping-particle":"","family":"Palomo-Velez","given":"Gonzalo","non-dropping-particle":"","parse-names":false,"suffix":""},{"dropping-particle":"","family":"Palomo","given":"Ivan","non-dropping-particle":"","parse-names":false,"suffix":""}],"container-title":"International journal of environmental health research","id":"ITEM-1","issue":"4","issued":{"date-parts":[["2015"]]},"page":"373-383","title":"Role of access to parks and markets with anthropometric measurements, biological markers, and a healthy lifestyle","type":"article-journal","volume":"25"},"uris":["http://www.mendeley.com/documents/?uuid=10fb4502-5d27-404e-a6af-f05499bceccb"]}],"mendeley":{"formattedCitation":"&lt;sup&gt;80&lt;/sup&gt;","plainTextFormattedCitation":"80","previouslyFormattedCitation":"&lt;sup&gt;80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80</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val="es-PE" w:eastAsia="en-GB"/>
              </w:rPr>
              <w:t xml:space="preserve"> </w:t>
            </w:r>
          </w:p>
        </w:tc>
        <w:tc>
          <w:tcPr>
            <w:tcW w:w="648" w:type="pct"/>
            <w:tcBorders>
              <w:top w:val="nil"/>
              <w:left w:val="nil"/>
              <w:bottom w:val="single" w:sz="4" w:space="0" w:color="auto"/>
              <w:right w:val="single" w:sz="4" w:space="0" w:color="auto"/>
            </w:tcBorders>
            <w:shd w:val="clear" w:color="auto" w:fill="auto"/>
            <w:noWrap/>
            <w:vAlign w:val="bottom"/>
            <w:hideMark/>
          </w:tcPr>
          <w:p w14:paraId="7D1587F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3E0DA3C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2C51318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832</w:t>
            </w:r>
          </w:p>
        </w:tc>
        <w:tc>
          <w:tcPr>
            <w:tcW w:w="399" w:type="pct"/>
            <w:tcBorders>
              <w:top w:val="nil"/>
              <w:left w:val="nil"/>
              <w:bottom w:val="single" w:sz="4" w:space="0" w:color="auto"/>
              <w:right w:val="single" w:sz="4" w:space="0" w:color="auto"/>
            </w:tcBorders>
            <w:shd w:val="clear" w:color="auto" w:fill="auto"/>
            <w:noWrap/>
            <w:vAlign w:val="bottom"/>
            <w:hideMark/>
          </w:tcPr>
          <w:p w14:paraId="41E519C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33.3</w:t>
            </w:r>
          </w:p>
        </w:tc>
        <w:tc>
          <w:tcPr>
            <w:tcW w:w="449" w:type="pct"/>
            <w:tcBorders>
              <w:top w:val="nil"/>
              <w:left w:val="nil"/>
              <w:bottom w:val="single" w:sz="4" w:space="0" w:color="auto"/>
              <w:right w:val="single" w:sz="4" w:space="0" w:color="auto"/>
            </w:tcBorders>
            <w:shd w:val="clear" w:color="auto" w:fill="auto"/>
            <w:noWrap/>
            <w:vAlign w:val="bottom"/>
            <w:hideMark/>
          </w:tcPr>
          <w:p w14:paraId="0D19A63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w:t>
            </w:r>
          </w:p>
        </w:tc>
        <w:tc>
          <w:tcPr>
            <w:tcW w:w="498" w:type="pct"/>
            <w:tcBorders>
              <w:top w:val="nil"/>
              <w:left w:val="nil"/>
              <w:bottom w:val="single" w:sz="4" w:space="0" w:color="auto"/>
              <w:right w:val="single" w:sz="4" w:space="0" w:color="auto"/>
            </w:tcBorders>
            <w:shd w:val="clear" w:color="auto" w:fill="auto"/>
            <w:noWrap/>
            <w:vAlign w:val="bottom"/>
            <w:hideMark/>
          </w:tcPr>
          <w:p w14:paraId="2C09EF5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430676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15164F38"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7B7F82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27B6DAC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Miquel</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&amp; AIMS: The etiology of cholesterol gallstones is multifactorial, with interactions of genes and the environment. The hypothesis that aborigine cholesterol lithogenic genes are widely spread among Chileans, a population with a high prevalence of gallstones, was tested., METHODS: Medical history and anthropometric measurements were obtained and abdominal ultrasonography was performed in 182 Mapuche Indians, 225 Maoris of Easter Island, and 1584 Hispanics. Blood groups, DNA, lipids, and glucose were analyzed. The Amerindian Admixture Index and mitochondrial DNA (mtDNA) assessed the ethnicity and degree of racial admixture., RESULTS: Amerindian Admixture Index was 0.8 in Mapuches and 0.4 in Hispanics. All Mapuches, 88% of Hispanics, but none of Maoris had Amerindian mtDNA haplotypes. Age- and sex-adjusted global prevalence of gallstone disease was higher in Mapuches (35%) than in Hispanics (27%) and Maoris (21%). Compared with Hispanics, the youngest group of Mapuches had the greatest corrected risk of gallstones: odds ratios of 6.0 in women and 2.3 in men. In contrast, the gallstone risk in Maoris was lower compared with Hispanics: odds ratios of 0.6 for women and 0.5 for men., CONCLUSIONS: Cholesterol lithogenic genes appear widely spread among Chilean Indians and Hispanics. They could determine the early formation of gallstones and explain the high prevalence of gallbladder diseases among some South American populations.","author":[{"dropping-particle":"","family":"Miquel","given":"J F","non-dropping-particle":"","parse-names":false,"suffix":""},{"dropping-particle":"","family":"Covarrubias","given":"C","non-dropping-particle":"","parse-names":false,"suffix":""},{"dropping-particle":"","family":"Villaroel","given":"L","non-dropping-particle":"","parse-names":false,"suffix":""},{"dropping-particle":"","family":"Mingrone","given":"G","non-dropping-particle":"","parse-names":false,"suffix":""},{"dropping-particle":"V","family":"Greco","given":"A","non-dropping-particle":"","parse-names":false,"suffix":""},{"dropping-particle":"","family":"Puglielli","given":"L","non-dropping-particle":"","parse-names":false,"suffix":""},{"dropping-particle":"","family":"Carvallo","given":"P","non-dropping-particle":"","parse-names":false,"suffix":""},{"dropping-particle":"","family":"Marshall","given":"G","non-dropping-particle":"","parse-names":false,"suffix":""},{"dropping-particle":"","family":"Pino","given":"G","non-dropping-particle":"Del","parse-names":false,"suffix":""},{"dropping-particle":"","family":"Nervi","given":"F","non-dropping-particle":"","parse-names":false,"suffix":""}],"container-title":"Gastroenterology","id":"ITEM-1","issue":"4","issued":{"date-parts":[["1998"]]},"page":"937-946","title":"Genetic epidemiology of cholesterol cholelithiasis among Chilean Hispanics, Amerindians, and Maoris","type":"article-journal","volume":"115"},"uris":["http://www.mendeley.com/documents/?uuid=71934203-23bd-46b7-bfe5-864fe0b643ff"]}],"mendeley":{"formattedCitation":"&lt;sup&gt;81&lt;/sup&gt;","plainTextFormattedCitation":"81","previouslyFormattedCitation":"&lt;sup&gt;81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81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CF33D5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1998</w:t>
            </w:r>
          </w:p>
        </w:tc>
        <w:tc>
          <w:tcPr>
            <w:tcW w:w="598" w:type="pct"/>
            <w:tcBorders>
              <w:top w:val="nil"/>
              <w:left w:val="nil"/>
              <w:bottom w:val="single" w:sz="4" w:space="0" w:color="auto"/>
              <w:right w:val="single" w:sz="4" w:space="0" w:color="auto"/>
            </w:tcBorders>
            <w:shd w:val="clear" w:color="auto" w:fill="auto"/>
            <w:noWrap/>
            <w:vAlign w:val="bottom"/>
            <w:hideMark/>
          </w:tcPr>
          <w:p w14:paraId="0A84E58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2767663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1991</w:t>
            </w:r>
          </w:p>
        </w:tc>
        <w:tc>
          <w:tcPr>
            <w:tcW w:w="399" w:type="pct"/>
            <w:tcBorders>
              <w:top w:val="nil"/>
              <w:left w:val="nil"/>
              <w:bottom w:val="single" w:sz="4" w:space="0" w:color="auto"/>
              <w:right w:val="single" w:sz="4" w:space="0" w:color="auto"/>
            </w:tcBorders>
            <w:shd w:val="clear" w:color="auto" w:fill="auto"/>
            <w:noWrap/>
            <w:vAlign w:val="bottom"/>
            <w:hideMark/>
          </w:tcPr>
          <w:p w14:paraId="44C8CF2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40.5</w:t>
            </w:r>
          </w:p>
        </w:tc>
        <w:tc>
          <w:tcPr>
            <w:tcW w:w="449" w:type="pct"/>
            <w:tcBorders>
              <w:top w:val="nil"/>
              <w:left w:val="nil"/>
              <w:bottom w:val="single" w:sz="4" w:space="0" w:color="auto"/>
              <w:right w:val="single" w:sz="4" w:space="0" w:color="auto"/>
            </w:tcBorders>
            <w:shd w:val="clear" w:color="auto" w:fill="auto"/>
            <w:noWrap/>
            <w:vAlign w:val="bottom"/>
            <w:hideMark/>
          </w:tcPr>
          <w:p w14:paraId="66BEF09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40.9</w:t>
            </w:r>
          </w:p>
        </w:tc>
        <w:tc>
          <w:tcPr>
            <w:tcW w:w="498" w:type="pct"/>
            <w:tcBorders>
              <w:top w:val="nil"/>
              <w:left w:val="nil"/>
              <w:bottom w:val="single" w:sz="4" w:space="0" w:color="auto"/>
              <w:right w:val="single" w:sz="4" w:space="0" w:color="auto"/>
            </w:tcBorders>
            <w:shd w:val="clear" w:color="auto" w:fill="auto"/>
            <w:noWrap/>
            <w:vAlign w:val="bottom"/>
            <w:hideMark/>
          </w:tcPr>
          <w:p w14:paraId="4620B54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FD68E1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5D700A8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3E9CDD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0B89A6C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Mujica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{"citationItems":[{"id":"ITEM-1","itemData":{"ISSN":"1475-2891","abstract":"OBJECTIVE: Insulin resistance (IR) is an important risk factor for type 2 Diabetes Mellitus (DM2) and cardiovascular disease (CVD). Metabolic Syndrome (MS) is a clustering of metabolic alterations associated to IR; however, there is no international consensus for defining its diagnosis. Our objective was to evaluate the prevalence and characteristics of MS identified by the ATP III and IDF criteria in adults from Talca city., RESEARCH AND METHODS: We studied 1007 individuals, aged 18-74, and residents from Talca. MS subjects were defined according to ATP III (three altered factors) and IDF criteria (patients with waist circumference &gt;80/90 cm (W/M) and two others altered factors)., RESULTS: The prevalence of metabolic syndrome according to the IDF and ATP III criteria was 36.4% and 29.5%, respectively after adjustment for age and sex. The agreement for both criteria was 89%. The prevalence in men was higher than in women for both MS definitions, although not significant. MS probability increased with age, and the highest risk was in the 57-68 age group (ATP-MS) and 53-72 age group (IDF-MS). Hypertension, high triglycerides and abdominal obesity are the most frequent alterations in MS., CONCLUSION: MS prevalence in adults was higher when diagnosed with IDF than with ATP criterion; in both, age is directly related with the MS presence. The MS subjects showed higher levels of blood pressure, waist circumference and plasma triglycerides. Considering our results, it is worrisome that one third of our population has a high risk of developing DM2 and CVD in the future.","author":[{"dropping-particle":"","family":"Mujica","given":"Veronica","non-dropping-particle":"","parse-names":false,"suffix":""},{"dropping-particle":"","family":"Leiva","given":"Elba","non-dropping-particle":"","parse-names":false,"suffix":""},{"dropping-particle":"","family":"Icaza","given":"Gloria","non-dropping-particle":"","parse-names":false,"suffix":""},{"dropping-particle":"","family":"Diaz","given":"Nora","non-dropping-particle":"","parse-names":false,"suffix":""},{"dropping-particle":"","family":"Arredondo","given":"Miguel","non-dropping-particle":"","parse-names":false,"suffix":""},{"dropping-particle":"","family":"Moore-Carrasco","given":"Rodrigo","non-dropping-particle":"","parse-names":false,"suffix":""},{"dropping-particle":"","family":"Orrego","given":"Roxana","non-dropping-particle":"","parse-names":false,"suffix":""},{"dropping-particle":"","family":"Vasquez","given":"Marcela","non-dropping-particle":"","parse-names":false,"suffix":""},{"dropping-particle":"","family":"Palomo","given":"Ivan","non-dropping-particle":"","parse-names":false,"suffix":""}],"container-title":"Nutrition journal","id":"ITEM-1","issued":{"date-parts":[["2008"]]},"page":"14","title":"Evaluation of metabolic syndrome in adults of Talca city, Chile","type":"article-journal","volume":"7"},"uris":["http://www.mendeley.com/documents/?uuid=5f4565d8-e60d-406a-8af9-cbca33e78eee"]}],"mendeley":{"formattedCitation":"&lt;sup&gt;82&lt;/sup&gt;","plainTextFormattedCitation":"82","previouslyFormattedCitation":"&lt;sup&gt;82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82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AD0616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98" w:type="pct"/>
            <w:tcBorders>
              <w:top w:val="nil"/>
              <w:left w:val="nil"/>
              <w:bottom w:val="single" w:sz="4" w:space="0" w:color="auto"/>
              <w:right w:val="single" w:sz="4" w:space="0" w:color="auto"/>
            </w:tcBorders>
            <w:shd w:val="clear" w:color="auto" w:fill="auto"/>
            <w:noWrap/>
            <w:vAlign w:val="bottom"/>
            <w:hideMark/>
          </w:tcPr>
          <w:p w14:paraId="6734C9C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6F2F08E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1007</w:t>
            </w:r>
          </w:p>
        </w:tc>
        <w:tc>
          <w:tcPr>
            <w:tcW w:w="399" w:type="pct"/>
            <w:tcBorders>
              <w:top w:val="nil"/>
              <w:left w:val="nil"/>
              <w:bottom w:val="single" w:sz="4" w:space="0" w:color="auto"/>
              <w:right w:val="single" w:sz="4" w:space="0" w:color="auto"/>
            </w:tcBorders>
            <w:shd w:val="clear" w:color="auto" w:fill="auto"/>
            <w:noWrap/>
            <w:vAlign w:val="bottom"/>
            <w:hideMark/>
          </w:tcPr>
          <w:p w14:paraId="7A7565A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33.7</w:t>
            </w:r>
          </w:p>
        </w:tc>
        <w:tc>
          <w:tcPr>
            <w:tcW w:w="449" w:type="pct"/>
            <w:tcBorders>
              <w:top w:val="nil"/>
              <w:left w:val="nil"/>
              <w:bottom w:val="single" w:sz="4" w:space="0" w:color="auto"/>
              <w:right w:val="single" w:sz="4" w:space="0" w:color="auto"/>
            </w:tcBorders>
            <w:shd w:val="clear" w:color="auto" w:fill="auto"/>
            <w:noWrap/>
            <w:vAlign w:val="bottom"/>
            <w:hideMark/>
          </w:tcPr>
          <w:p w14:paraId="04CA7D1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45.2</w:t>
            </w:r>
          </w:p>
        </w:tc>
        <w:tc>
          <w:tcPr>
            <w:tcW w:w="498" w:type="pct"/>
            <w:tcBorders>
              <w:top w:val="nil"/>
              <w:left w:val="nil"/>
              <w:bottom w:val="single" w:sz="4" w:space="0" w:color="auto"/>
              <w:right w:val="single" w:sz="4" w:space="0" w:color="auto"/>
            </w:tcBorders>
            <w:shd w:val="clear" w:color="auto" w:fill="auto"/>
            <w:noWrap/>
            <w:vAlign w:val="bottom"/>
            <w:hideMark/>
          </w:tcPr>
          <w:p w14:paraId="672D635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34A1E0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CC8002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E50B82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69B5AB9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Valenzuela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{"citationItems":[{"id":"ITEM-1","itemData":{"ISSN":"0034-9887","abstract":"BACKGROUND: There are several diagnostic criteria for Metabolic Syndrome (MS) definition., AIM: To study their application in the Chilean general adult population., MATERIAL AND METHODS: We analyzed data from a random sub sample of 1.833 adults aged 17 years and older surveyed during the First Chilean National Health Survey conducted in 2003. The prevalence of MS was estimated using the update Adult Treatment Panel III (ATP III) of the National Cholesterol Education Program (NCEP) and the International Diabetes Federation (IDF 2005) criteria. The distribution of MS was analyzed according to age, gender, educational level, geographic area, obesity and sedentary lifestyle., RESULTS: The overall prevalence of MS was 31.6% (95% CI 28.5-34.9) and 36.8% (95% CI 33.5-40.3), according to update ATPIII-NCEP and IDF criteria respectively. Both criteria had a 90% concordance. Demographic and socioeconomic distribution was similar for both criteria. The prevalence of high blood pressure, high fasting glucose, and low HDL cholesterol (MS components) were: 46, 22 and 53% respectively. The prevalence of abnormal waist circumference was 30 and 59% according to update ATPIII-NCEP and IDF criteria, respectively. Using update ATPIII-NCEP criteria, the gender, age and educational level adjusted odds ratio (OR) for having MS was 9.59 (95% IC 6.8-13.6) for obese subjects compared with normal weight subjects and 2.14 (95% IC 1.3-3.7) for sedentary subjects compared with non sedentary., CONCLUSIONS: There was a 90% agreement between update ATPIII-NCEP and IDF criteria for the diagnosis of MS. The overall prevalence of MS in this population was 32% usuing update ATPIII-NCEP criteria, with higher prevalence among obese and sedentary subjects.","author":[{"dropping-particle":"","family":"Valenzuela","given":"Andrea A","non-dropping-particle":"","parse-names":false,"suffix":""},{"dropping-particle":"","family":"Maiz","given":"Alberto","non-dropping-particle":"","parse-names":false,"suffix":""},{"dropping-particle":"","family":"Margozzini","given":"Paula","non-dropping-particle":"","parse-names":false,"suffix":""},{"dropping-particle":"","family":"Ferreccio","given":"Catterina","non-dropping-particle":"","parse-names":false,"suffix":""},{"dropping-particle":"","family":"Rigotti","given":"Attilio","non-dropping-particle":"","parse-names":false,"suffix":""},{"dropping-particle":"","family":"Olea","given":"Ricardo","non-dropping-particle":"","parse-names":false,"suffix":""},{"dropping-particle":"","family":"Arteaga","given":"Antonio","non-dropping-particle":"","parse-names":false,"suffix":""}],"container-title":"Prevalencia de sindrome metabolico en poblacion adulta chilena: Datos de la Encuesta Nacional de Salud 2003.","id":"ITEM-1","issue":"6","issued":{"date-parts":[["2010"]]},"page":"707-714","title":"[Prevalence of metabolic syndrome among Chilean adults]","type":"article-journal","volume":"138"},"uris":["http://www.mendeley.com/documents/?uuid=24426d65-79b4-4b0a-aecc-88bf401db796"]}],"mendeley":{"formattedCitation":"&lt;sup&gt;83&lt;/sup&gt;","plainTextFormattedCitation":"83","previouslyFormattedCitation":"&lt;sup&gt;83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83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984067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58F8B17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2003</w:t>
            </w:r>
          </w:p>
        </w:tc>
        <w:tc>
          <w:tcPr>
            <w:tcW w:w="548" w:type="pct"/>
            <w:tcBorders>
              <w:top w:val="nil"/>
              <w:left w:val="nil"/>
              <w:bottom w:val="single" w:sz="4" w:space="0" w:color="auto"/>
              <w:right w:val="single" w:sz="4" w:space="0" w:color="auto"/>
            </w:tcBorders>
            <w:shd w:val="clear" w:color="auto" w:fill="auto"/>
            <w:noWrap/>
            <w:vAlign w:val="bottom"/>
            <w:hideMark/>
          </w:tcPr>
          <w:p w14:paraId="57BCD88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1883</w:t>
            </w:r>
          </w:p>
        </w:tc>
        <w:tc>
          <w:tcPr>
            <w:tcW w:w="399" w:type="pct"/>
            <w:tcBorders>
              <w:top w:val="nil"/>
              <w:left w:val="nil"/>
              <w:bottom w:val="single" w:sz="4" w:space="0" w:color="auto"/>
              <w:right w:val="single" w:sz="4" w:space="0" w:color="auto"/>
            </w:tcBorders>
            <w:shd w:val="clear" w:color="auto" w:fill="auto"/>
            <w:noWrap/>
            <w:vAlign w:val="bottom"/>
            <w:hideMark/>
          </w:tcPr>
          <w:p w14:paraId="02CC8D8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44.24</w:t>
            </w:r>
          </w:p>
        </w:tc>
        <w:tc>
          <w:tcPr>
            <w:tcW w:w="449" w:type="pct"/>
            <w:tcBorders>
              <w:top w:val="nil"/>
              <w:left w:val="nil"/>
              <w:bottom w:val="single" w:sz="4" w:space="0" w:color="auto"/>
              <w:right w:val="single" w:sz="4" w:space="0" w:color="auto"/>
            </w:tcBorders>
            <w:shd w:val="clear" w:color="auto" w:fill="auto"/>
            <w:noWrap/>
            <w:vAlign w:val="bottom"/>
            <w:hideMark/>
          </w:tcPr>
          <w:p w14:paraId="7C5DB0D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3155B7D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407AA99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FBADF86"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FBBE31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4604B9C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xml:space="preserve">Group I multicentre collaborative </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{"citationItems":[{"id":"ITEM-1","itemData":{"DOI":"10.1016/0895-4356(92)90067-W","abstract":"Twelve centres in 7 countries in the Developing World (China, Thailand, the Philippines, Indonesia, Chile, Colombia and Brazil) connected with the International Clinical Epidemiology Network (INCLEN) each measured cardiovascular disease (CVD) risk factors in random samples of approx. 200 men aged between 35 and 65 years. Samples of men aimed to be representative of the population from which they were drawn, but the population in each centre was not designed to be representative of the whole country. Cigarette smoking rates varied from 16 to 78% and mean cholesterol levels varied from 3.8 to 6.4 mmol/l. In Bogota, Colombia, 46% of the men had a cholesterol level &gt; 6.5 mmol/l and in another 5 communities 19% or more of the population had these levels. A body mass index (BMI) of &gt; 25 was seen in more than 50% of 4 communities and a blood pressure ≥ 160 mmHg systolic and/or 95 mmHg diastolic was found in more than 20% of 6 countries. BMI was strongly correlated with blood cholesterol and blood pressure levels in almost all population groups. It would appear that many communities in the Developing World have high levels of risk factors for CVD and that steps could well start to be taken now to prevent the emergence of CVD epidemics in the future. © 1992.","author":[{"dropping-particle":"","family":"Group","given":"Inclen multicentre collaborative","non-dropping-particle":"","parse-names":false,"suffix":""}],"container-title":"Journal of Clinical Epidemiology","id":"ITEM-1","issue":"8","issued":{"date-parts":[["1992"]]},"page":"841-847","title":"Risk factors for cardiovascular disease in the developing world. A multicentre collaborative study in the International clinical epidemiology network (INCLEN)","type":"article-journal","volume":"45"},"uris":["http://www.mendeley.com/documents/?uuid=34c0c948-f963-4c8f-8585-4e83d524ad6a"]}],"mendeley":{"formattedCitation":"&lt;sup&gt;84&lt;/sup&gt;","plainTextFormattedCitation":"84","previouslyFormattedCitation":"&lt;sup&gt;84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84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E581D3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1992</w:t>
            </w:r>
          </w:p>
        </w:tc>
        <w:tc>
          <w:tcPr>
            <w:tcW w:w="598" w:type="pct"/>
            <w:tcBorders>
              <w:top w:val="nil"/>
              <w:left w:val="nil"/>
              <w:bottom w:val="single" w:sz="4" w:space="0" w:color="auto"/>
              <w:right w:val="single" w:sz="4" w:space="0" w:color="auto"/>
            </w:tcBorders>
            <w:shd w:val="clear" w:color="auto" w:fill="auto"/>
            <w:noWrap/>
            <w:vAlign w:val="bottom"/>
            <w:hideMark/>
          </w:tcPr>
          <w:p w14:paraId="5565FF4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1989</w:t>
            </w:r>
          </w:p>
        </w:tc>
        <w:tc>
          <w:tcPr>
            <w:tcW w:w="548" w:type="pct"/>
            <w:tcBorders>
              <w:top w:val="nil"/>
              <w:left w:val="nil"/>
              <w:bottom w:val="single" w:sz="4" w:space="0" w:color="auto"/>
              <w:right w:val="single" w:sz="4" w:space="0" w:color="auto"/>
            </w:tcBorders>
            <w:shd w:val="clear" w:color="auto" w:fill="auto"/>
            <w:noWrap/>
            <w:vAlign w:val="bottom"/>
            <w:hideMark/>
          </w:tcPr>
          <w:p w14:paraId="450026E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w:t>
            </w:r>
          </w:p>
        </w:tc>
        <w:tc>
          <w:tcPr>
            <w:tcW w:w="399" w:type="pct"/>
            <w:tcBorders>
              <w:top w:val="nil"/>
              <w:left w:val="nil"/>
              <w:bottom w:val="single" w:sz="4" w:space="0" w:color="auto"/>
              <w:right w:val="single" w:sz="4" w:space="0" w:color="auto"/>
            </w:tcBorders>
            <w:shd w:val="clear" w:color="auto" w:fill="auto"/>
            <w:noWrap/>
            <w:vAlign w:val="bottom"/>
            <w:hideMark/>
          </w:tcPr>
          <w:p w14:paraId="31E073E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100</w:t>
            </w:r>
          </w:p>
        </w:tc>
        <w:tc>
          <w:tcPr>
            <w:tcW w:w="449" w:type="pct"/>
            <w:tcBorders>
              <w:top w:val="nil"/>
              <w:left w:val="nil"/>
              <w:bottom w:val="single" w:sz="4" w:space="0" w:color="auto"/>
              <w:right w:val="single" w:sz="4" w:space="0" w:color="auto"/>
            </w:tcBorders>
            <w:shd w:val="clear" w:color="auto" w:fill="auto"/>
            <w:noWrap/>
            <w:vAlign w:val="bottom"/>
            <w:hideMark/>
          </w:tcPr>
          <w:p w14:paraId="0ACA7F6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45.5</w:t>
            </w:r>
          </w:p>
        </w:tc>
        <w:tc>
          <w:tcPr>
            <w:tcW w:w="498" w:type="pct"/>
            <w:tcBorders>
              <w:top w:val="nil"/>
              <w:left w:val="nil"/>
              <w:bottom w:val="single" w:sz="4" w:space="0" w:color="auto"/>
              <w:right w:val="single" w:sz="4" w:space="0" w:color="auto"/>
            </w:tcBorders>
            <w:shd w:val="clear" w:color="auto" w:fill="auto"/>
            <w:noWrap/>
            <w:vAlign w:val="bottom"/>
            <w:hideMark/>
          </w:tcPr>
          <w:p w14:paraId="1585F47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EFFA07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0AAAC69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F1DF4A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3B40078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Cuevas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{"citationItems":[{"id":"ITEM-1","itemData":{"DOI":"10.1089/met.2008.0018","abstract":"Background: In recent years, the Chilean population has suffered significant lifestyle changes associated with the rapid socioeconomic development of the country. These changes can induce a significant increase in the prevalence of some chronic diseases, such as obesity, dyslipidemia, and diabetes mellitus. We aimed to assess diabetes mellitus, obesity, and hypercholesterolemia trends in a Chilean urban population followed between 1993 and 2001. Methods: A total of 1584 adults, living in Santiago, the capital of Chile, were randomly enrolled in a cross-sectional epidemiologic study in 1993. The same population was re-evaluated in 2001, recruiting 964 individuals from the original sample. Prevalences of diabetes mellitus, obesity, and hypercholesterolemia were determined according to standard criteria. We tested the significance of the differences between the observed prevalence of diabetes mellitus, obesity, and hypercholesterolemia in the 964 subjects evaluated in 2001 compared with the expected prevalence according to population aging based in data from 1993. Findings: In 1993, 3.8% of the sample population had diabetes mellitus, 21.8% had obesity, and 37.3 % exhibited hypercholesterolemia. In 2001, the observed prevalence of diabetes mellitus, obesity, and hypercholesterolemia was 10.1%, 32%, and 58%, respectively. The latter percentages were significantly higher than the expected prevalence according to the aging of the population (6.5% for diabetes mellitus, 27.7% for obesity, and 47.7 for hypercholesteromia). Interpretation: Our findings indicate that Chilean population has suffered an accelerated increase in the prevalence of diabetes mellitus, obesity, and hypercholesterolemia, due to the ongoing epidemiological transition that will lead to an enormous public health burden in the near future. © 2008 Mary Ann Liebert, Inc.","author":[{"dropping-particle":"","family":"Cuevas","given":"Ada","non-dropping-particle":"","parse-names":false,"suffix":""},{"dropping-particle":"","family":"Molina","given":"Alfredo","non-dropping-particle":"","parse-names":false,"suffix":""},{"dropping-particle":"","family":"Rigotti","given":"Attilio","non-dropping-particle":"","parse-names":false,"suffix":""},{"dropping-particle":"","family":"Miquel","given":"Juan Francisco","non-dropping-particle":"","parse-names":false,"suffix":""},{"dropping-particle":"","family":"Marshall","given":"Guillermo","non-dropping-particle":"","parse-names":false,"suffix":""},{"dropping-particle":"","family":"Reyes","given":"Soledad","non-dropping-particle":"","parse-names":false,"suffix":""},{"dropping-particle":"","family":"Nervi","given":"Flavio","non-dropping-particle":"","parse-names":false,"suffix":""}],"container-title":"Metabolic Syndrome and Related Disorders","id":"ITEM-1","issue":"3","issued":{"date-parts":[["2008"]]},"page":"219-222","title":"Trends in obesity and diabetes prevalence in a Chilean urban population: 1993-2001","type":"article-journal","volume":"6"},"uris":["http://www.mendeley.com/documents/?uuid=3de47986-d457-4f53-a7d7-3a8ce7ee9c0f"]}],"mendeley":{"formattedCitation":"&lt;sup&gt;85&lt;/sup&gt;","plainTextFormattedCitation":"85","previouslyFormattedCitation":"&lt;sup&gt;85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85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26EBEB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98" w:type="pct"/>
            <w:tcBorders>
              <w:top w:val="nil"/>
              <w:left w:val="nil"/>
              <w:bottom w:val="single" w:sz="4" w:space="0" w:color="auto"/>
              <w:right w:val="single" w:sz="4" w:space="0" w:color="auto"/>
            </w:tcBorders>
            <w:shd w:val="clear" w:color="auto" w:fill="auto"/>
            <w:noWrap/>
            <w:vAlign w:val="bottom"/>
            <w:hideMark/>
          </w:tcPr>
          <w:p w14:paraId="0D9703B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1997</w:t>
            </w:r>
          </w:p>
        </w:tc>
        <w:tc>
          <w:tcPr>
            <w:tcW w:w="548" w:type="pct"/>
            <w:tcBorders>
              <w:top w:val="nil"/>
              <w:left w:val="nil"/>
              <w:bottom w:val="single" w:sz="4" w:space="0" w:color="auto"/>
              <w:right w:val="single" w:sz="4" w:space="0" w:color="auto"/>
            </w:tcBorders>
            <w:shd w:val="clear" w:color="auto" w:fill="auto"/>
            <w:noWrap/>
            <w:vAlign w:val="bottom"/>
            <w:hideMark/>
          </w:tcPr>
          <w:p w14:paraId="757654C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964</w:t>
            </w:r>
          </w:p>
        </w:tc>
        <w:tc>
          <w:tcPr>
            <w:tcW w:w="399" w:type="pct"/>
            <w:tcBorders>
              <w:top w:val="nil"/>
              <w:left w:val="nil"/>
              <w:bottom w:val="single" w:sz="4" w:space="0" w:color="auto"/>
              <w:right w:val="single" w:sz="4" w:space="0" w:color="auto"/>
            </w:tcBorders>
            <w:shd w:val="clear" w:color="auto" w:fill="auto"/>
            <w:noWrap/>
            <w:vAlign w:val="bottom"/>
            <w:hideMark/>
          </w:tcPr>
          <w:p w14:paraId="579F333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34.85</w:t>
            </w:r>
          </w:p>
        </w:tc>
        <w:tc>
          <w:tcPr>
            <w:tcW w:w="449" w:type="pct"/>
            <w:tcBorders>
              <w:top w:val="nil"/>
              <w:left w:val="nil"/>
              <w:bottom w:val="single" w:sz="4" w:space="0" w:color="auto"/>
              <w:right w:val="single" w:sz="4" w:space="0" w:color="auto"/>
            </w:tcBorders>
            <w:shd w:val="clear" w:color="auto" w:fill="auto"/>
            <w:noWrap/>
            <w:vAlign w:val="bottom"/>
            <w:hideMark/>
          </w:tcPr>
          <w:p w14:paraId="117C34B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40.1</w:t>
            </w:r>
          </w:p>
        </w:tc>
        <w:tc>
          <w:tcPr>
            <w:tcW w:w="498" w:type="pct"/>
            <w:tcBorders>
              <w:top w:val="nil"/>
              <w:left w:val="nil"/>
              <w:bottom w:val="single" w:sz="4" w:space="0" w:color="auto"/>
              <w:right w:val="single" w:sz="4" w:space="0" w:color="auto"/>
            </w:tcBorders>
            <w:shd w:val="clear" w:color="auto" w:fill="auto"/>
            <w:noWrap/>
            <w:vAlign w:val="bottom"/>
            <w:hideMark/>
          </w:tcPr>
          <w:p w14:paraId="64FF671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522949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125437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49133A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617721E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Pivatto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{"citationItems":[{"id":"ITEM-1","itemData":{"abstract":"The Metabolic Syndrome (MS) constitutes an independent risk factor of cardiovascular disease. There is evidence that proinsulin blood levels and the proinsulin/insulin ratio are associated to the MS. The purpose of this study was to compare proinsulin and insulin, insulin resistance index, and the proinsulin/insulin ratio as predictors of MS. This is a cross-sectional study involving 440 men and 556 women with a mean age of 24 years. Diagnosis of MS was made according to the National Cholesterol Education Program Adult Treatment Panel III. Blood levels of insulin and proinsulin were measured, and the insulin resistance status was estimated using the homeostatic model assessment (HOMA-IR). The prevalence of MS was 10.1 percent. HOMA-IR was the best MS risk factor for both women and men (OR = 2.04; 95 percent CI: 1.68-2.48 and 1.09; 95 percent CI: 1.05-1.13, respectively). HOMA-IR presented the best positive predictive value for MS: 22 percent and 36 percent for men and women, respectively, and was the best MS indicator. The proinsulin/insulin ratio did not show significant association with MS. HOMA-IR, proinsulin, and insulin presented good negative predictive values for both genders that could be used to identify an at-risk population. A síndrome metabólica (SM) constitui um fator de risco independente para doenças cardiovasculares. Existem evidências de que níveis sangüíneos de proinsulina e o índice proinsulina/insulina estão associados com a presença da SM. O objetivo deste trabalho foi comparar proinsulina e insulina, índice de resistência insulínica e o fator proinsulina/insulina para predizer a presença da SM. Este é um estudo transversal envolvendo 440 homens e 556 mulheres com média de 24 anos de idade. O diagnóstico da SM foi feito de acordo com o Painel III do programa de tratamento nacional educacional de colesterol para adultos. Níveis sangüíneos de insulina e proinsulina foram medidos, o índice de resistência insulínica foi estimado através do modelo de avaliação hemostático (HOMA-IR). A prevalência da SM foi de 10 por cento. HOMA-IR demonstrou ser o melhor fator de risco da SM em homens e mulheres (OR = 2,04; 95 por cento CI: 1,68-2,48 e 1,09; 95 por cento CI: 1,05-1,13, respectivamente). HOMA-IR apresentou o melhor valor preditivo positivo para SM: 22 por cento e 36 por cento para homens e mulheres, respectivamente, e foi o melhor indicador da SM. O índice proinsulina/insulina não apresentou associação significativa com SM. HOMA-IR, proin…","author":[{"dropping-particle":"","family":"Pivatto","given":"Ivana","non-dropping-particle":"","parse-names":false,"suffix":""},{"dropping-particle":"","family":"Bustos","given":"Patricia","non-dropping-particle":"","parse-names":false,"suffix":""},{"dropping-particle":"","family":"Amigo","given":"Hugo","non-dropping-particle":"","parse-names":false,"suffix":""},{"dropping-particle":"","family":"Acosta","given":"Ana Maria","non-dropping-particle":"","parse-names":false,"suffix":""},{"dropping-particle":"","family":"Arteaga","given":"Antonio","non-dropping-particle":"","parse-names":false,"suffix":""}],"container-title":"Arq Bras Endocrinol Metabol","id":"ITEM-1","issue":"7","issued":{"date-parts":[["2007"]]},"language":"en","page":"1128-1133","title":"Association between proinsulin, insulin, proinsulin/insulin ratio, and insulin resistance status with the metabolic syndrome","type":"article-journal","volume":"51"},"uris":["http://www.mendeley.com/documents/?uuid=a7c59d6f-19f7-4292-acc5-446371db34da"]}],"mendeley":{"formattedCitation":"&lt;sup&gt;86&lt;/sup&gt;","plainTextFormattedCitation":"86","previouslyFormattedCitation":"&lt;sup&gt;86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86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25C500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1A77878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2001</w:t>
            </w:r>
          </w:p>
        </w:tc>
        <w:tc>
          <w:tcPr>
            <w:tcW w:w="548" w:type="pct"/>
            <w:tcBorders>
              <w:top w:val="nil"/>
              <w:left w:val="nil"/>
              <w:bottom w:val="single" w:sz="4" w:space="0" w:color="auto"/>
              <w:right w:val="single" w:sz="4" w:space="0" w:color="auto"/>
            </w:tcBorders>
            <w:shd w:val="clear" w:color="auto" w:fill="auto"/>
            <w:noWrap/>
            <w:vAlign w:val="bottom"/>
            <w:hideMark/>
          </w:tcPr>
          <w:p w14:paraId="7696C4C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998</w:t>
            </w:r>
          </w:p>
        </w:tc>
        <w:tc>
          <w:tcPr>
            <w:tcW w:w="399" w:type="pct"/>
            <w:tcBorders>
              <w:top w:val="nil"/>
              <w:left w:val="nil"/>
              <w:bottom w:val="single" w:sz="4" w:space="0" w:color="auto"/>
              <w:right w:val="single" w:sz="4" w:space="0" w:color="auto"/>
            </w:tcBorders>
            <w:shd w:val="clear" w:color="auto" w:fill="auto"/>
            <w:noWrap/>
            <w:vAlign w:val="bottom"/>
            <w:hideMark/>
          </w:tcPr>
          <w:p w14:paraId="1107900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43.7</w:t>
            </w:r>
          </w:p>
        </w:tc>
        <w:tc>
          <w:tcPr>
            <w:tcW w:w="449" w:type="pct"/>
            <w:tcBorders>
              <w:top w:val="nil"/>
              <w:left w:val="nil"/>
              <w:bottom w:val="single" w:sz="4" w:space="0" w:color="auto"/>
              <w:right w:val="single" w:sz="4" w:space="0" w:color="auto"/>
            </w:tcBorders>
            <w:shd w:val="clear" w:color="auto" w:fill="auto"/>
            <w:noWrap/>
            <w:vAlign w:val="bottom"/>
            <w:hideMark/>
          </w:tcPr>
          <w:p w14:paraId="6A2D746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24.8</w:t>
            </w:r>
          </w:p>
        </w:tc>
        <w:tc>
          <w:tcPr>
            <w:tcW w:w="498" w:type="pct"/>
            <w:tcBorders>
              <w:top w:val="nil"/>
              <w:left w:val="nil"/>
              <w:bottom w:val="single" w:sz="4" w:space="0" w:color="auto"/>
              <w:right w:val="single" w:sz="4" w:space="0" w:color="auto"/>
            </w:tcBorders>
            <w:shd w:val="clear" w:color="auto" w:fill="auto"/>
            <w:noWrap/>
            <w:vAlign w:val="bottom"/>
            <w:hideMark/>
          </w:tcPr>
          <w:p w14:paraId="6CD8343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D57174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897B60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D9A981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4ECA162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Amigo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{"citationItems":[{"id":"ITEM-1","itemData":{"DOI":"10.1136/jech.2008.078345","abstract":"Background The relationship between birth weight and plasma lipoproteins is inconsistent. Aims To assess the association between birth weight and (1) body mass index (BMI) at birth and (2) lipoproteins in young adults, and also to explore the possible effect of current obesity as a possible effect modifier. Methods Two prospective studies based on representative samples of subjects born in the 1970s were carried out in Ribeirão Preto, Brazil (n=2063) and Limache, Chile (n=999). The surveys were carried out between 2001 and 2004. Results Mean birth weights were 3267 g and 3177 g and mean adult BMIs were 24.3 kg/m2 and 25.8 kg/m2 in the Brazilian and Chilean samples, respectively. Total adult cholesterol was 4.57 mmol/l in Chileans, 0.26 mmol/l higher than in Brazilians (p&lt;0.001). The main finding was an interaction between adult obesity (BMI 30 or over) and birth weight and also BMI at birth and low-density lipoprotein (LDL) and total cholesterol. A birth-weight increment of 1 kg was associated with a decrease in total cholesterol (-0.374 mmol/l, 95% CI -0.567 to -0.181) and LDL (-0.304 mmol/l (-0.479 to -0.129) in obese participants only. These associations persisted after allowing for gestational age in a smaller sample. This finding was consistent in separate analyses in the Brazilian and Chilean samples. No associations were found in relation to high-density lipoprotein and triglyceride concentrations. Conclusion The results suggest that those who were of low birth weight and are obese are more likely to have high cholesterol and LDL concentrations. Thus preventing obesity may be especially rewarding in subjects with a low birth weight.","author":[{"dropping-particle":"","family":"Amigo","given":"Hugo","non-dropping-particle":"","parse-names":false,"suffix":""},{"dropping-particle":"","family":"Bustos","given":"Patricia","non-dropping-particle":"","parse-names":false,"suffix":""},{"dropping-particle":"","family":"Alvarado","given":"Maria Elena","non-dropping-particle":"","parse-names":false,"suffix":""},{"dropping-particle":"","family":"Barbieri","given":"Marco","non-dropping-particle":"","parse-names":false,"suffix":""},{"dropping-particle":"","family":"Bettiol","given":"Heloisa","non-dropping-particle":"","parse-names":false,"suffix":""},{"dropping-particle":"","family":"Silva","given":"Antônio Augusto M","non-dropping-particle":"Da","parse-names":false,"suffix":""},{"dropping-particle":"","family":"Rona","given":"Roberto Jorge","non-dropping-particle":"","parse-names":false,"suffix":""}],"container-title":"Journal of Epidemiology and Community Health","id":"ITEM-1","issue":"10","issued":{"date-parts":[["2010"]]},"page":"855-859","title":"Size at birth and lipoprotein concentrations in adulthood: Two prospective studies in Latin American cities","type":"article-journal","volume":"64"},"uris":["http://www.mendeley.com/documents/?uuid=cccd06ea-23d5-4890-b5b3-dc8aa2df6783"]}],"mendeley":{"formattedCitation":"&lt;sup&gt;87&lt;/sup&gt;","plainTextFormattedCitation":"87","previouslyFormattedCitation":"&lt;sup&gt;87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87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9C0C7E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33C2052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2002</w:t>
            </w:r>
          </w:p>
        </w:tc>
        <w:tc>
          <w:tcPr>
            <w:tcW w:w="548" w:type="pct"/>
            <w:tcBorders>
              <w:top w:val="nil"/>
              <w:left w:val="nil"/>
              <w:bottom w:val="single" w:sz="4" w:space="0" w:color="auto"/>
              <w:right w:val="single" w:sz="4" w:space="0" w:color="auto"/>
            </w:tcBorders>
            <w:shd w:val="clear" w:color="auto" w:fill="auto"/>
            <w:noWrap/>
            <w:vAlign w:val="bottom"/>
            <w:hideMark/>
          </w:tcPr>
          <w:p w14:paraId="354C2B9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999</w:t>
            </w:r>
          </w:p>
        </w:tc>
        <w:tc>
          <w:tcPr>
            <w:tcW w:w="399" w:type="pct"/>
            <w:tcBorders>
              <w:top w:val="nil"/>
              <w:left w:val="nil"/>
              <w:bottom w:val="single" w:sz="4" w:space="0" w:color="auto"/>
              <w:right w:val="single" w:sz="4" w:space="0" w:color="auto"/>
            </w:tcBorders>
            <w:shd w:val="clear" w:color="auto" w:fill="auto"/>
            <w:noWrap/>
            <w:vAlign w:val="bottom"/>
            <w:hideMark/>
          </w:tcPr>
          <w:p w14:paraId="46302C5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43.74</w:t>
            </w:r>
          </w:p>
        </w:tc>
        <w:tc>
          <w:tcPr>
            <w:tcW w:w="449" w:type="pct"/>
            <w:tcBorders>
              <w:top w:val="nil"/>
              <w:left w:val="nil"/>
              <w:bottom w:val="single" w:sz="4" w:space="0" w:color="auto"/>
              <w:right w:val="single" w:sz="4" w:space="0" w:color="auto"/>
            </w:tcBorders>
            <w:shd w:val="clear" w:color="auto" w:fill="auto"/>
            <w:noWrap/>
            <w:vAlign w:val="bottom"/>
            <w:hideMark/>
          </w:tcPr>
          <w:p w14:paraId="41212D0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30C9BE0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68B49B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FDF767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F2F7F3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7C2F414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Labrana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{"citationItems":[{"id":"ITEM-1","itemData":{"ISSN":"0717-6163 0034-9887","abstract":"BACKGROUND: Overall and central obesity are important risk factors for cardiovascular disease., AIM: To investigate the association of body weight, body mass index (BMI) and waist circumference (WC) with cardiovascular risk factors in Chile., MATERIAL AND METHODS: We included 5,157 participants from the National Health Survey 2009-2010. Prevalence of type 2 diabetes, hypertension, metabolic syndrome and dyslipidemia (high total cholesterol and triglyceride levels and low HDL-cholesterol) were defined using international recommendations. BMI and WC were measured using standardized protocols., RESULTS: A five percent lower body weight, BMI and WC were associated with a significant reduction in cardiovascular risk factors. For each 5% reduction in body weight, the risk for hypertension decreased by 8 and 9% in women and men respectively. Similar risk reductions were observed for diabetes (9 and 11% respectively), metabolic syndrome (23 and 30% respectively), low HDL cholesterol (13 and 13% respectively), high triglyceride levels (16 and 18% respectively) and total cholesterol (8 and 10% respectively). Similar findings were observed for BMI and WC., CONCLUSIONS: Lower body weight, BMI or WC are associated with important reductions in cardiovascular risk factors. A 5% reduction in these adiposity markers could be a perfectly feasible goal for lifestyle interventions.","author":[{"dropping-particle":"","family":"Labrana","given":"Ana Maria","non-dropping-particle":"","parse-names":false,"suffix":""},{"dropping-particle":"","family":"Duran","given":"Eliana","non-dropping-particle":"","parse-names":false,"suffix":""},{"dropping-particle":"","family":"Martinez","given":"Maria Adela","non-dropping-particle":"","parse-names":false,"suffix":""},{"dropping-particle":"","family":"Leiva","given":"Ana Maria","non-dropping-particle":"","parse-names":false,"suffix":""},{"dropping-particle":"","family":"Garrido-Mendez","given":"Alex","non-dropping-particle":"","parse-names":false,"suffix":""},{"dropping-particle":"","family":"Diaz","given":"Ximena","non-dropping-particle":"","parse-names":false,"suffix":""},{"dropping-particle":"","family":"Salas","given":"Carlos","non-dropping-particle":"","parse-names":false,"suffix":""},{"dropping-particle":"","family":"Celis-Morales","given":"Carlos","non-dropping-particle":"","parse-names":false,"suffix":""}],"container-title":"Menor peso corporal, de indice de masa corporal y de perimetro de cintura se asocian a una disminucion en factores de riesgo cardiovascular en poblacion chilena: Findings from the Chilean health surveyc.","id":"ITEM-1","issue":"5","issued":{"date-parts":[["2017"]]},"page":"585-594","title":"[Effects of a lower body weight or waist circumference on cardiovascular risk]","type":"article-journal","volume":"145"},"uris":["http://www.mendeley.com/documents/?uuid=badbac96-3ac1-4ef0-8834-f97f3da9f933"]}],"mendeley":{"formattedCitation":"&lt;sup&gt;88&lt;/sup&gt;","plainTextFormattedCitation":"88","previouslyFormattedCitation":"&lt;sup&gt;88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88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BE94A9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7FE05DD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5D7D2E7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5157</w:t>
            </w:r>
          </w:p>
        </w:tc>
        <w:tc>
          <w:tcPr>
            <w:tcW w:w="399" w:type="pct"/>
            <w:tcBorders>
              <w:top w:val="nil"/>
              <w:left w:val="nil"/>
              <w:bottom w:val="single" w:sz="4" w:space="0" w:color="auto"/>
              <w:right w:val="single" w:sz="4" w:space="0" w:color="auto"/>
            </w:tcBorders>
            <w:shd w:val="clear" w:color="auto" w:fill="auto"/>
            <w:noWrap/>
            <w:vAlign w:val="bottom"/>
            <w:hideMark/>
          </w:tcPr>
          <w:p w14:paraId="266D578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40.6</w:t>
            </w:r>
          </w:p>
        </w:tc>
        <w:tc>
          <w:tcPr>
            <w:tcW w:w="449" w:type="pct"/>
            <w:tcBorders>
              <w:top w:val="nil"/>
              <w:left w:val="nil"/>
              <w:bottom w:val="single" w:sz="4" w:space="0" w:color="auto"/>
              <w:right w:val="single" w:sz="4" w:space="0" w:color="auto"/>
            </w:tcBorders>
            <w:shd w:val="clear" w:color="auto" w:fill="auto"/>
            <w:noWrap/>
            <w:vAlign w:val="bottom"/>
            <w:hideMark/>
          </w:tcPr>
          <w:p w14:paraId="4BC412B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40.26</w:t>
            </w:r>
          </w:p>
        </w:tc>
        <w:tc>
          <w:tcPr>
            <w:tcW w:w="498" w:type="pct"/>
            <w:tcBorders>
              <w:top w:val="nil"/>
              <w:left w:val="nil"/>
              <w:bottom w:val="single" w:sz="4" w:space="0" w:color="auto"/>
              <w:right w:val="single" w:sz="4" w:space="0" w:color="auto"/>
            </w:tcBorders>
            <w:shd w:val="clear" w:color="auto" w:fill="auto"/>
            <w:noWrap/>
            <w:vAlign w:val="bottom"/>
            <w:hideMark/>
          </w:tcPr>
          <w:p w14:paraId="3C0EB83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1BBD151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EB41468"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AD07BE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2B2E7AD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Acevedo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{"citationItems":[{"id":"ITEM-1","itemData":{"DOI":"10.4067/s0718-85602009000300001","abstract":"El grosor intima-media carotideo (CIMT) es un marcador de aterosclerosis subclinica y eventos isquémicos cerebrales y coronarios. Si bien los valores normales promedio en Chile, han sido publicados, no existen datos locales de cómo se modifica el CIMT según la carga de factores de riesgo (FR) cardiovascular. Objetivos: Analizar la modificación del CIMT según la carga de FR clásicos, presencia de síndrome metabólico (SMET) y SMET más inflamación. Métodos: Hombres y mujeres de Santiago sin antecedente de eventos isquémicos previos, nivel socio económico medio, medio bajo y medio alto. En todos se realizó encuesta sobre antecedentes demográficos, FR cardiovascular, y medición de PA, IMC, cintura, y perfil lipídico, glicemia y proteína C-reactiva ultrasensible (ePCR) en ayuno. Para diagnóstico de SMET se usó NCEP ATPIII (2001), y para inflamación, ePCR&amp;gt; 2 mg/L (valor de corte de &amp;gt; riesgo porAHA). El CIMT se midió en carótida común derecha e izquierda con software MATH®. Resultados: Se incluyeron en el análisis 999 sujetos (508 hombres), edad promedio 43.8 +/- 11 años. La prevalencia de HTA fue 30 por ciento, dislipidemia 68 por ciento, tabaquismo 47 por ciento, y SMET 24 por ciento. El CIMT medio promedio fue 0.61 +/- 0.1 mm y la ePCR promedio 2.22 mg/L. La modificación del CIMT medio (mm) según número de FR (edad&amp;gt;45/55 hombre/mujer, diabetes, HTA, colesterol total &amp;gt; 200, HDL &amp;lt; 40/50, tabaquismo e historia familiar), fue la siguiente: 0 FR= 0.55 +/- 0.08; 1-2 FR= 0.59 +/- 0.091; &amp;gt; 3 FR= 0.67 +/- 0.12 (p &amp;lt; 0.0001). Asimismo, el CIMT aumentó según el puntaje de Framingham: &amp;lt; 5 por ciento = 0.58 +/- 0.09; 5-10 por ciento= 0.66 +/- 0.11; &amp;gt; 10-20 por ciento= 0.68 +/- 0.11; &amp;gt;20 por ciento &amp;gt; o = 0.76 +/- 0.14 (p &amp;lt; 0.0001). El CIMT fue significativamente mayor en los sujetos con SMET, y se incrementa en forma significativa cuando se adiciona ePCR&amp;gt;2 mg/L. En el modelo de regresión múltiple, el CIMT se asocia en forma conjunta a Framingham (p &amp;lt; 0.0001) y SMET+ePCR&amp;gt;2... Carotid intima-media thickness (CIMT) is a marker for cerebral and coronary ischemic events. Normal values for CIMT in Chile have been published but the relation of CIMT to level of risk factors (RF) is unknown. Aim. To analyze the relation of CIMT to level of traditional RF and the presence of metabolic syndrome (MS), with or without inflammation. Methods. Males and females living in Santiago, Chile, with no prior history of ischemic events, of a low, mediu…","author":[{"dropping-particle":"","family":"Acevedo","given":"Mónica","non-dropping-particle":"","parse-names":false,"suffix":""},{"dropping-particle":"","family":"Arnaíz","given":"Pilar","non-dropping-particle":"","parse-names":false,"suffix":""},{"dropping-particle":"","family":"Corbalán","given":"Ramón","non-dropping-particle":"","parse-names":false,"suffix":""},{"dropping-particle":"","family":"Godoy","given":"Iván","non-dropping-particle":"","parse-names":false,"suffix":""},{"dropping-particle":"","family":"Morales","given":"Daniel","non-dropping-particle":"","parse-names":false,"suffix":""},{"dropping-particle":"","family":"Chalhub","given":"Mónica","non-dropping-particle":"","parse-names":false,"suffix":""},{"dropping-particle":"","family":"Guzmán","given":"Beatriz","non-dropping-particle":"","parse-names":false,"suffix":""},{"dropping-particle":"","family":"Navarrete","given":"Carlos","non-dropping-particle":"","parse-names":false,"suffix":""},{"dropping-particle":"","family":"Berríos","given":"Ximena","non-dropping-particle":"","parse-names":false,"suffix":""}],"container-title":"Revista chilena de cardiología","id":"ITEM-1","issue":"4","issued":{"date-parts":[["2009"]]},"page":"337-348","title":"Modificación del grosor intima-media carotídeo según factores de riesgo clásicos y síndrome metabólico con o sin inflamación","type":"article-journal","volume":"28"},"uris":["http://www.mendeley.com/documents/?uuid=949ceb2a-c628-4043-8f1c-52557840d391"]}],"mendeley":{"formattedCitation":"&lt;sup&gt;89&lt;/sup&gt;","plainTextFormattedCitation":"89","previouslyFormattedCitation":"&lt;sup&gt;89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89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12AE11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98" w:type="pct"/>
            <w:tcBorders>
              <w:top w:val="nil"/>
              <w:left w:val="nil"/>
              <w:bottom w:val="single" w:sz="4" w:space="0" w:color="auto"/>
              <w:right w:val="single" w:sz="4" w:space="0" w:color="auto"/>
            </w:tcBorders>
            <w:shd w:val="clear" w:color="auto" w:fill="auto"/>
            <w:noWrap/>
            <w:vAlign w:val="bottom"/>
            <w:hideMark/>
          </w:tcPr>
          <w:p w14:paraId="550B2E6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48" w:type="pct"/>
            <w:tcBorders>
              <w:top w:val="nil"/>
              <w:left w:val="nil"/>
              <w:bottom w:val="single" w:sz="4" w:space="0" w:color="auto"/>
              <w:right w:val="single" w:sz="4" w:space="0" w:color="auto"/>
            </w:tcBorders>
            <w:shd w:val="clear" w:color="auto" w:fill="auto"/>
            <w:noWrap/>
            <w:vAlign w:val="bottom"/>
            <w:hideMark/>
          </w:tcPr>
          <w:p w14:paraId="28FF7AC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999</w:t>
            </w:r>
          </w:p>
        </w:tc>
        <w:tc>
          <w:tcPr>
            <w:tcW w:w="399" w:type="pct"/>
            <w:tcBorders>
              <w:top w:val="nil"/>
              <w:left w:val="nil"/>
              <w:bottom w:val="single" w:sz="4" w:space="0" w:color="auto"/>
              <w:right w:val="single" w:sz="4" w:space="0" w:color="auto"/>
            </w:tcBorders>
            <w:shd w:val="clear" w:color="auto" w:fill="auto"/>
            <w:noWrap/>
            <w:vAlign w:val="bottom"/>
            <w:hideMark/>
          </w:tcPr>
          <w:p w14:paraId="6C163D4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50.85</w:t>
            </w:r>
          </w:p>
        </w:tc>
        <w:tc>
          <w:tcPr>
            <w:tcW w:w="449" w:type="pct"/>
            <w:tcBorders>
              <w:top w:val="nil"/>
              <w:left w:val="nil"/>
              <w:bottom w:val="single" w:sz="4" w:space="0" w:color="auto"/>
              <w:right w:val="single" w:sz="4" w:space="0" w:color="auto"/>
            </w:tcBorders>
            <w:shd w:val="clear" w:color="auto" w:fill="auto"/>
            <w:noWrap/>
            <w:vAlign w:val="bottom"/>
            <w:hideMark/>
          </w:tcPr>
          <w:p w14:paraId="2C3A630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43.8</w:t>
            </w:r>
          </w:p>
        </w:tc>
        <w:tc>
          <w:tcPr>
            <w:tcW w:w="498" w:type="pct"/>
            <w:tcBorders>
              <w:top w:val="nil"/>
              <w:left w:val="nil"/>
              <w:bottom w:val="single" w:sz="4" w:space="0" w:color="auto"/>
              <w:right w:val="single" w:sz="4" w:space="0" w:color="auto"/>
            </w:tcBorders>
            <w:shd w:val="clear" w:color="auto" w:fill="auto"/>
            <w:noWrap/>
            <w:vAlign w:val="bottom"/>
            <w:hideMark/>
          </w:tcPr>
          <w:p w14:paraId="56F4E17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B7ABD1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1ABE0F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D7FD4D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0C14134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Acevedo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{"citationItems":[{"id":"ITEM-1","itemData":{"DOI":"10.4067/S0034-98872012000800001","abstract":"Background: LDL, HDL cholesterol and triglycerides, are the most commonly used lipid cardiovascular risk predictor indicators. However population based studies have shown that non-HDL cholesterol and total/HDL cholesterol ratio are better predictors, are easy to measure and do not require fasting. Aim: To determine which lipid indicators are better determinants of subclinical atherosclerosis, measured by intima media thickness (IMT) among subjects without demonstrated atherosclerosis. Material and Methods: Lipid profile, height, weight, blood pressure and bilateral IMT, measured by ultrasound with automatic border recognition software, were assessed in 770 men and 854 women aged 45 ± 11 years, in Santiago de Chile. Results: Mean total cholesterol was 202, HDL 50, LDL 121, triglycerides 157 and non-HDL cholesterol 152 mg/dl. Total/HDL cholesterol ratio was 4.3. Mean IMT was 0.62mm. All lipid markers were significantly correlated with IMT. This correlation was higher for non-HDL cholesterol (r = 0.24, p &lt; 0.0001) and total/HDL cholesterol ratio(r =0.23, p &lt; 0.0001). In both men and women, total/HDL cholesterol ratio was the best predictor of having an IMT over the 75th percentile (odds ratio 1.21, 95% confidence intervals 1.09-1.35, p &lt; 0.01). Conclusions: Total/HDL cholesterol ratio was the best determinant of subclinical atherosclerosis.","author":[{"dropping-particle":"","family":"Acevedo","given":"Mónica","non-dropping-particle":"","parse-names":false,"suffix":""},{"dropping-particle":"","family":"Krämer","given":"Verónica","non-dropping-particle":"","parse-names":false,"suffix":""},{"dropping-particle":"","family":"Tagle","given":"Rodrigo","non-dropping-particle":"","parse-names":false,"suffix":""},{"dropping-particle":"","family":"Corbalán","given":"Ramón","non-dropping-particle":"","parse-names":false,"suffix":""},{"dropping-particle":"","family":"Arnaíz","given":"Pilar","non-dropping-particle":"","parse-names":false,"suffix":""},{"dropping-particle":"","family":"Berríos","given":"Ximena","non-dropping-particle":"","parse-names":false,"suffix":""},{"dropping-particle":"","family":"Navarrete","given":"Carlos","non-dropping-particle":"","parse-names":false,"suffix":""}],"container-title":"Revista Medica de Chile","id":"ITEM-1","issue":"8","issued":{"date-parts":[["2012"]]},"page":"969-976","title":"Relación colesterol total a HDL y colesterol no HDL: Los mejores indicadores lipídicos de aumento de grosor de la íntima media carotidea","type":"article-journal","volume":"140"},"uris":["http://www.mendeley.com/documents/?uuid=cb0143bc-2381-4a1f-9776-ef9b1085107e"]}],"mendeley":{"formattedCitation":"&lt;sup&gt;90&lt;/sup&gt;","plainTextFormattedCitation":"90","previouslyFormattedCitation":"&lt;sup&gt;90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90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934F50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2012</w:t>
            </w:r>
          </w:p>
        </w:tc>
        <w:tc>
          <w:tcPr>
            <w:tcW w:w="598" w:type="pct"/>
            <w:tcBorders>
              <w:top w:val="nil"/>
              <w:left w:val="nil"/>
              <w:bottom w:val="single" w:sz="4" w:space="0" w:color="auto"/>
              <w:right w:val="single" w:sz="4" w:space="0" w:color="auto"/>
            </w:tcBorders>
            <w:shd w:val="clear" w:color="auto" w:fill="auto"/>
            <w:noWrap/>
            <w:vAlign w:val="bottom"/>
            <w:hideMark/>
          </w:tcPr>
          <w:p w14:paraId="7FA8934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01283D7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1624</w:t>
            </w:r>
          </w:p>
        </w:tc>
        <w:tc>
          <w:tcPr>
            <w:tcW w:w="399" w:type="pct"/>
            <w:tcBorders>
              <w:top w:val="nil"/>
              <w:left w:val="nil"/>
              <w:bottom w:val="single" w:sz="4" w:space="0" w:color="auto"/>
              <w:right w:val="single" w:sz="4" w:space="0" w:color="auto"/>
            </w:tcBorders>
            <w:shd w:val="clear" w:color="auto" w:fill="auto"/>
            <w:noWrap/>
            <w:vAlign w:val="bottom"/>
            <w:hideMark/>
          </w:tcPr>
          <w:p w14:paraId="7FCA597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47.41</w:t>
            </w:r>
          </w:p>
        </w:tc>
        <w:tc>
          <w:tcPr>
            <w:tcW w:w="449" w:type="pct"/>
            <w:tcBorders>
              <w:top w:val="nil"/>
              <w:left w:val="nil"/>
              <w:bottom w:val="single" w:sz="4" w:space="0" w:color="auto"/>
              <w:right w:val="single" w:sz="4" w:space="0" w:color="auto"/>
            </w:tcBorders>
            <w:shd w:val="clear" w:color="auto" w:fill="auto"/>
            <w:noWrap/>
            <w:vAlign w:val="bottom"/>
            <w:hideMark/>
          </w:tcPr>
          <w:p w14:paraId="10D616C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w:t>
            </w:r>
          </w:p>
        </w:tc>
        <w:tc>
          <w:tcPr>
            <w:tcW w:w="498" w:type="pct"/>
            <w:tcBorders>
              <w:top w:val="nil"/>
              <w:left w:val="nil"/>
              <w:bottom w:val="single" w:sz="4" w:space="0" w:color="auto"/>
              <w:right w:val="single" w:sz="4" w:space="0" w:color="auto"/>
            </w:tcBorders>
            <w:shd w:val="clear" w:color="auto" w:fill="auto"/>
            <w:noWrap/>
            <w:vAlign w:val="bottom"/>
            <w:hideMark/>
          </w:tcPr>
          <w:p w14:paraId="00347D5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8B8B95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655BEF0"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9E1D37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Chile</w:t>
            </w:r>
          </w:p>
        </w:tc>
        <w:tc>
          <w:tcPr>
            <w:tcW w:w="1053" w:type="pct"/>
            <w:tcBorders>
              <w:top w:val="nil"/>
              <w:left w:val="nil"/>
              <w:bottom w:val="single" w:sz="4" w:space="0" w:color="auto"/>
              <w:right w:val="single" w:sz="4" w:space="0" w:color="auto"/>
            </w:tcBorders>
            <w:shd w:val="clear" w:color="auto" w:fill="auto"/>
            <w:noWrap/>
            <w:vAlign w:val="bottom"/>
            <w:hideMark/>
          </w:tcPr>
          <w:p w14:paraId="077A92D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Berrios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{"citationItems":[{"id":"ITEM-1","itemData":{"abstract":"The Inter-Health Programme was launched in 1986 by WHO, with the collaboration of a coordination centre (National Public Health Institute, Finland) to control and prevent chronic noncommunicable diseases (CNCDs) among adults. Programmes for action were organized based on the concept that most major CNCDs share common risk factors and that those that are lifestyle related are modifiable through efficient interventions using multifactorial strategies involving community participation and behaviour changes carried out at the primary health care level. Twelve countries from all WHO Regions have joined the programme. A baseline survey was undertaken in all countries with a common protocol, following the criteria and methods employed in the MONICA Project. Altogether 36815 men and women aged 35-64 years were included in the present analysis from the following Inter-Health countries: Chile, China, Cyprus, Finland, Lithuanian SSR, Malta, Mauritius, Russian SFSR, United Republic of Tanzania, and USA. In addition to individual country analysis, centralized analysis was carried out at the Finnish National Public Health Institute and the Department of Community Health, Kuopio University, Finland. Reported here are the mean values of blood pressure, body mass index, and serum total cholesterol as well as specific prevalences of smoking, hypertension, obesity, and hypercholesterolaemia.","author":[{"dropping-particle":"","family":"Berrios","given":"X","non-dropping-particle":"","parse-names":false,"suffix":""},{"dropping-particle":"","family":"Koponen","given":"T","non-dropping-particle":"","parse-names":false,"suffix":""},{"dropping-particle":"","family":"Huiguang","given":"T","non-dropping-particle":"","parse-names":false,"suffix":""},{"dropping-particle":"","family":"Khaltaev","given":"N","non-dropping-particle":"","parse-names":false,"suffix":""},{"dropping-particle":"","family":"Puska","given":"P","non-dropping-particle":"","parse-names":false,"suffix":""},{"dropping-particle":"","family":"Nissinen","given":"A","non-dropping-particle":"","parse-names":false,"suffix":""}],"container-title":"Bulletin of the World Health Organization","id":"ITEM-1","issue":"2","issued":{"date-parts":[["1997"]]},"page":"99-108","title":"Distribution and prevalence of major risk factors of noncommunicable diseases in selected countries: The WHO Inter-Health Programme","type":"article-journal","volume":"75"},"uris":["http://www.mendeley.com/documents/?uuid=9814df46-04ff-426b-816a-1f076a062413"]}],"mendeley":{"formattedCitation":"&lt;sup&gt;91&lt;/sup&gt;","plainTextFormattedCitation":"91","previouslyFormattedCitation":"&lt;sup&gt;91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91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45FF95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1997</w:t>
            </w:r>
          </w:p>
        </w:tc>
        <w:tc>
          <w:tcPr>
            <w:tcW w:w="598" w:type="pct"/>
            <w:tcBorders>
              <w:top w:val="nil"/>
              <w:left w:val="nil"/>
              <w:bottom w:val="single" w:sz="4" w:space="0" w:color="auto"/>
              <w:right w:val="single" w:sz="4" w:space="0" w:color="auto"/>
            </w:tcBorders>
            <w:shd w:val="clear" w:color="auto" w:fill="auto"/>
            <w:noWrap/>
            <w:vAlign w:val="bottom"/>
            <w:hideMark/>
          </w:tcPr>
          <w:p w14:paraId="70ECE05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1988</w:t>
            </w:r>
          </w:p>
        </w:tc>
        <w:tc>
          <w:tcPr>
            <w:tcW w:w="548" w:type="pct"/>
            <w:tcBorders>
              <w:top w:val="nil"/>
              <w:left w:val="nil"/>
              <w:bottom w:val="single" w:sz="4" w:space="0" w:color="auto"/>
              <w:right w:val="single" w:sz="4" w:space="0" w:color="auto"/>
            </w:tcBorders>
            <w:shd w:val="clear" w:color="auto" w:fill="auto"/>
            <w:noWrap/>
            <w:vAlign w:val="bottom"/>
            <w:hideMark/>
          </w:tcPr>
          <w:p w14:paraId="4A670E6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521</w:t>
            </w:r>
          </w:p>
        </w:tc>
        <w:tc>
          <w:tcPr>
            <w:tcW w:w="399" w:type="pct"/>
            <w:tcBorders>
              <w:top w:val="nil"/>
              <w:left w:val="nil"/>
              <w:bottom w:val="single" w:sz="4" w:space="0" w:color="auto"/>
              <w:right w:val="single" w:sz="4" w:space="0" w:color="auto"/>
            </w:tcBorders>
            <w:shd w:val="clear" w:color="auto" w:fill="auto"/>
            <w:noWrap/>
            <w:vAlign w:val="bottom"/>
            <w:hideMark/>
          </w:tcPr>
          <w:p w14:paraId="6EA019B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35.5</w:t>
            </w:r>
          </w:p>
        </w:tc>
        <w:tc>
          <w:tcPr>
            <w:tcW w:w="449" w:type="pct"/>
            <w:tcBorders>
              <w:top w:val="nil"/>
              <w:left w:val="nil"/>
              <w:bottom w:val="single" w:sz="4" w:space="0" w:color="auto"/>
              <w:right w:val="single" w:sz="4" w:space="0" w:color="auto"/>
            </w:tcBorders>
            <w:shd w:val="clear" w:color="auto" w:fill="auto"/>
            <w:noWrap/>
            <w:vAlign w:val="bottom"/>
            <w:hideMark/>
          </w:tcPr>
          <w:p w14:paraId="0F07B0A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w:t>
            </w:r>
          </w:p>
        </w:tc>
        <w:tc>
          <w:tcPr>
            <w:tcW w:w="498" w:type="pct"/>
            <w:tcBorders>
              <w:top w:val="nil"/>
              <w:left w:val="nil"/>
              <w:bottom w:val="single" w:sz="4" w:space="0" w:color="auto"/>
              <w:right w:val="single" w:sz="4" w:space="0" w:color="auto"/>
            </w:tcBorders>
            <w:shd w:val="clear" w:color="auto" w:fill="auto"/>
            <w:noWrap/>
            <w:vAlign w:val="bottom"/>
            <w:hideMark/>
          </w:tcPr>
          <w:p w14:paraId="3511374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083AB7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5677777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28AB46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Colombia</w:t>
            </w:r>
          </w:p>
        </w:tc>
        <w:tc>
          <w:tcPr>
            <w:tcW w:w="1053" w:type="pct"/>
            <w:tcBorders>
              <w:top w:val="nil"/>
              <w:left w:val="nil"/>
              <w:bottom w:val="single" w:sz="4" w:space="0" w:color="auto"/>
              <w:right w:val="single" w:sz="4" w:space="0" w:color="auto"/>
            </w:tcBorders>
            <w:shd w:val="clear" w:color="auto" w:fill="auto"/>
            <w:noWrap/>
            <w:vAlign w:val="bottom"/>
            <w:hideMark/>
          </w:tcPr>
          <w:p w14:paraId="3E37F4F7"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Roldan-Menco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{"citationItems":[{"id":"ITEM-1","itemData":{"ISSN":"0124-0064","abstract":"OBJECTIVE : To establish the prevalence of metabolic syndrome (MS) according to ATP III and its correlation with the concentration of uric acid and C-reactive protein (CRP) in people aged between 45 and 60, living in the Getsemani neighborhood of Cartagena., MATERIALS AND METHODS : Observational, descriptive-correlational study on a population of 802 inhabitants of the Getsemani neighborhood of Cartagena, Colombia. A random sample of 302 inhabitants was analyzed with a 95% confidence interval and 5% margin of error. ATP III diagnostic criteria were applied, and the instrument used included basic data about the general context of the patient (social, demographic and economic aspects, family history, work activity and physical characteristics such as weight, waist circumference, blood pressure, and BMI), as well as diagnostic tests such as glycemia, total cholesterol, triglycerides, HDLc, LDLc, uric acid and ultra-sensitive C-reactive protein., RESULTS : The prevalence of metabolic syndrome in the susceptible population is 18 %. The most common metabolic syndrome factor is abdominal obesity with 85 %, followed by increase of triglycerides by 76 %., CONCLUSION : The prevalence of metabolic syndrome was considered high when applying ATP III criteria. No significant association was observed regarding CRP values and the chances of developing metabolic syndrome in both men and women. However, uric acid levels were correlated to the disease in the group of women susceptible to suffering from MS with a value of p=0.0022.","author":[{"dropping-particle":"","family":"Roldan-Menco","given":"Consuelo","non-dropping-particle":"","parse-names":false,"suffix":""},{"dropping-particle":"","family":"Diaz-Perez","given":"Anderson","non-dropping-particle":"","parse-names":false,"suffix":""},{"dropping-particle":"","family":"Barrios-Puerta","given":"Zorayda","non-dropping-particle":"","parse-names":false,"suffix":""},{"dropping-particle":"","family":"Pinto-Aragon","given":"Elvis E","non-dropping-particle":"","parse-names":false,"suffix":""}],"container-title":"Concentraciones de acido urico y proteina c reactiva ultrasensible con el sindrome metabolico.","id":"ITEM-1","issue":"5","issued":{"date-parts":[["2017"]]},"page":"603-608","title":"[Metabolic syndrome and concentrations of uric acid and ultrasensitive C-reactive protein]","type":"article-journal","volume":"19"},"uris":["http://www.mendeley.com/documents/?uuid=89eafb10-ca00-44f4-9838-0bbb27271250"]}],"mendeley":{"formattedCitation":"&lt;sup&gt;92&lt;/sup&gt;","plainTextFormattedCitation":"92","previouslyFormattedCitation":"&lt;sup&gt;92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92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3BD72E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15ED291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464CFFF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302</w:t>
            </w:r>
          </w:p>
        </w:tc>
        <w:tc>
          <w:tcPr>
            <w:tcW w:w="399" w:type="pct"/>
            <w:tcBorders>
              <w:top w:val="nil"/>
              <w:left w:val="nil"/>
              <w:bottom w:val="single" w:sz="4" w:space="0" w:color="auto"/>
              <w:right w:val="single" w:sz="4" w:space="0" w:color="auto"/>
            </w:tcBorders>
            <w:shd w:val="clear" w:color="auto" w:fill="auto"/>
            <w:noWrap/>
            <w:vAlign w:val="bottom"/>
            <w:hideMark/>
          </w:tcPr>
          <w:p w14:paraId="13036BB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w:t>
            </w:r>
          </w:p>
        </w:tc>
        <w:tc>
          <w:tcPr>
            <w:tcW w:w="449" w:type="pct"/>
            <w:tcBorders>
              <w:top w:val="nil"/>
              <w:left w:val="nil"/>
              <w:bottom w:val="single" w:sz="4" w:space="0" w:color="auto"/>
              <w:right w:val="single" w:sz="4" w:space="0" w:color="auto"/>
            </w:tcBorders>
            <w:shd w:val="clear" w:color="auto" w:fill="auto"/>
            <w:noWrap/>
            <w:vAlign w:val="bottom"/>
            <w:hideMark/>
          </w:tcPr>
          <w:p w14:paraId="0547F09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51</w:t>
            </w:r>
          </w:p>
        </w:tc>
        <w:tc>
          <w:tcPr>
            <w:tcW w:w="498" w:type="pct"/>
            <w:tcBorders>
              <w:top w:val="nil"/>
              <w:left w:val="nil"/>
              <w:bottom w:val="single" w:sz="4" w:space="0" w:color="auto"/>
              <w:right w:val="single" w:sz="4" w:space="0" w:color="auto"/>
            </w:tcBorders>
            <w:shd w:val="clear" w:color="auto" w:fill="auto"/>
            <w:noWrap/>
            <w:vAlign w:val="bottom"/>
            <w:hideMark/>
          </w:tcPr>
          <w:p w14:paraId="33E4E78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F92313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B759B3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02E80D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Colombia</w:t>
            </w:r>
          </w:p>
        </w:tc>
        <w:tc>
          <w:tcPr>
            <w:tcW w:w="1053" w:type="pct"/>
            <w:tcBorders>
              <w:top w:val="nil"/>
              <w:left w:val="nil"/>
              <w:bottom w:val="single" w:sz="4" w:space="0" w:color="auto"/>
              <w:right w:val="single" w:sz="4" w:space="0" w:color="auto"/>
            </w:tcBorders>
            <w:shd w:val="clear" w:color="auto" w:fill="auto"/>
            <w:noWrap/>
            <w:vAlign w:val="bottom"/>
            <w:hideMark/>
          </w:tcPr>
          <w:p w14:paraId="5312BBC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Pirkle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{"citationItems":[{"id":"ITEM-1","itemData":{"ISSN":"2044-6055","abstract":"OBJECTIVE: Conceptual models underpinning much epidemiological research on ageing acknowledge that environmental, social and biological systems interact to influence health outcomes. Recursive partitioning is a data-driven approach that allows for concurrent exploration of distinct mixtures, or clusters, of individuals that have a particular outcome. Our aim is to use recursive partitioning to examine risk clusters for metabolic syndrome (MetS) and its components, in order to identify vulnerable populations., STUDY DESIGN: Cross-sectional analysis of baseline data from a prospective longitudinal cohort called the International Mobility in Aging Study (IMIAS)., SETTING: IMIAS includes sites from three middle-income countries-Tirana (Albania), Natal (Brazil) and Manizales (Colombia)-and two from Canada-Kingston (Ontario) and Saint-Hyacinthe (Quebec)., PARTICIPANTS: Community-dwelling male and female adults, aged 64-75 years (n=2002)., PRIMARY AND SECONDARY OUTCOME MEASURES: We apply recursive partitioning to investigate social and behavioural risk factors for MetS and its components. Model-based recursive partitioning (MOB) was used to cluster participants into age-adjusted risk groups based on variabilities in: study site, sex, education, living arrangements, childhood adversities, adult occupation, current employment status, income, perceived income sufficiency, smoking status and weekly minutes of physical activity., RESULTS: 43% of participants had MetS. Using MOB, the primary partitioning variable was participant sex. Among women from middle-incomes sites, the predicted proportion with MetS ranged from 58% to 68%. Canadian women with limited physical activity had elevated predicted proportions of MetS (49%, 95% CI 39% to 58%). Among men, MetS ranged from 26% to 41% depending on childhood social adversity and education. Clustering for MetS components differed from the syndrome and across components. Study site was a primary partitioning variable for all components except HDL cholesterol. Sex was important for most components., CONCLUSION: MOB is a promising technique for identifying disease risk clusters (eg, vulnerable populations) in modestly sized samples.Copyright © Article author(s) (or their employer(s) unless otherwise stated in the text of the article) 2018. All rights reserved. No commercial use is permitted unless otherwise expressly granted.","author":[{"dropping-particle":"","family":"Pirkle","given":"Catherine M","non-dropping-particle":"","parse-names":false,"suffix":""},{"dropping-particle":"","family":"Wu","given":"Yan Yan","non-dropping-particle":"","parse-names":false,"suffix":""},{"dropping-particle":"","family":"Zunzunegui","given":"Maria-Victoria","non-dropping-particle":"","parse-names":false,"suffix":""},{"dropping-particle":"","family":"Gomez","given":"Jose Fern","non-dropping-particle":"","parse-names":false,"suffix":""}],"container-title":"BMJ open","id":"ITEM-1","issue":"3","issued":{"date-parts":[["2018"]]},"page":"e018680","title":"Model-based recursive partitioning to identify risk clusters for metabolic syndrome and its components: findings from the International Mobility in Aging Study","type":"article-journal","volume":"8"},"uris":["http://www.mendeley.com/documents/?uuid=69dd02a4-ebe9-4a64-b86b-cb6a207fe0d1"]}],"mendeley":{"formattedCitation":"&lt;sup&gt;25&lt;/sup&gt;","plainTextFormattedCitation":"25","previouslyFormattedCitation":"&lt;sup&gt;25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25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0BAE08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2018</w:t>
            </w:r>
          </w:p>
        </w:tc>
        <w:tc>
          <w:tcPr>
            <w:tcW w:w="598" w:type="pct"/>
            <w:tcBorders>
              <w:top w:val="nil"/>
              <w:left w:val="nil"/>
              <w:bottom w:val="single" w:sz="4" w:space="0" w:color="auto"/>
              <w:right w:val="single" w:sz="4" w:space="0" w:color="auto"/>
            </w:tcBorders>
            <w:shd w:val="clear" w:color="auto" w:fill="auto"/>
            <w:noWrap/>
            <w:vAlign w:val="bottom"/>
            <w:hideMark/>
          </w:tcPr>
          <w:p w14:paraId="6C44014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2012</w:t>
            </w:r>
          </w:p>
        </w:tc>
        <w:tc>
          <w:tcPr>
            <w:tcW w:w="548" w:type="pct"/>
            <w:tcBorders>
              <w:top w:val="nil"/>
              <w:left w:val="nil"/>
              <w:bottom w:val="single" w:sz="4" w:space="0" w:color="auto"/>
              <w:right w:val="single" w:sz="4" w:space="0" w:color="auto"/>
            </w:tcBorders>
            <w:shd w:val="clear" w:color="auto" w:fill="auto"/>
            <w:noWrap/>
            <w:vAlign w:val="bottom"/>
            <w:hideMark/>
          </w:tcPr>
          <w:p w14:paraId="07F17B5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374</w:t>
            </w:r>
          </w:p>
        </w:tc>
        <w:tc>
          <w:tcPr>
            <w:tcW w:w="399" w:type="pct"/>
            <w:tcBorders>
              <w:top w:val="nil"/>
              <w:left w:val="nil"/>
              <w:bottom w:val="single" w:sz="4" w:space="0" w:color="auto"/>
              <w:right w:val="single" w:sz="4" w:space="0" w:color="auto"/>
            </w:tcBorders>
            <w:shd w:val="clear" w:color="auto" w:fill="auto"/>
            <w:noWrap/>
            <w:vAlign w:val="bottom"/>
            <w:hideMark/>
          </w:tcPr>
          <w:p w14:paraId="5614EF1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49.2</w:t>
            </w:r>
          </w:p>
        </w:tc>
        <w:tc>
          <w:tcPr>
            <w:tcW w:w="449" w:type="pct"/>
            <w:tcBorders>
              <w:top w:val="nil"/>
              <w:left w:val="nil"/>
              <w:bottom w:val="single" w:sz="4" w:space="0" w:color="auto"/>
              <w:right w:val="single" w:sz="4" w:space="0" w:color="auto"/>
            </w:tcBorders>
            <w:shd w:val="clear" w:color="auto" w:fill="auto"/>
            <w:noWrap/>
            <w:vAlign w:val="bottom"/>
            <w:hideMark/>
          </w:tcPr>
          <w:p w14:paraId="7C258B0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69</w:t>
            </w:r>
          </w:p>
        </w:tc>
        <w:tc>
          <w:tcPr>
            <w:tcW w:w="498" w:type="pct"/>
            <w:tcBorders>
              <w:top w:val="nil"/>
              <w:left w:val="nil"/>
              <w:bottom w:val="single" w:sz="4" w:space="0" w:color="auto"/>
              <w:right w:val="single" w:sz="4" w:space="0" w:color="auto"/>
            </w:tcBorders>
            <w:shd w:val="clear" w:color="auto" w:fill="auto"/>
            <w:noWrap/>
            <w:vAlign w:val="bottom"/>
            <w:hideMark/>
          </w:tcPr>
          <w:p w14:paraId="4752F8B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51D2DD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0FC35FF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9D0EA6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Colombia</w:t>
            </w:r>
          </w:p>
        </w:tc>
        <w:tc>
          <w:tcPr>
            <w:tcW w:w="1053" w:type="pct"/>
            <w:tcBorders>
              <w:top w:val="nil"/>
              <w:left w:val="nil"/>
              <w:bottom w:val="single" w:sz="4" w:space="0" w:color="auto"/>
              <w:right w:val="single" w:sz="4" w:space="0" w:color="auto"/>
            </w:tcBorders>
            <w:shd w:val="clear" w:color="auto" w:fill="auto"/>
            <w:noWrap/>
            <w:vAlign w:val="bottom"/>
            <w:hideMark/>
          </w:tcPr>
          <w:p w14:paraId="6EBCF4D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Arbey</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{"citationItems":[{"id":"ITEM-1","itemData":{"DOI":"10.1016/j.endonu.2011.01.004","abstract":"Background: The World Health Report 2002 estimated that sedentary is one of the main 10 causes of morbidity and mortality and the proportion of people whose health is at risk due to sedentary life is approximately 60%. Objective: To assess the relationship of the physical activity level with cardiovascular risk factors and metabolic syndrome in 61 healthy men. Methods: The short version of the International Physical Activity Questionnaire (IPAQ) recommended by the World Health Organization was used as a valid measure to estimate two categories of physical activity, such as: low level (insufficient and sedentary) and vigorous level (moderate and very active). Cardiovascular risk factors and metabolic syndrome were defined according to criteria of the National Cholesterol Education Program of the United States and International Diabetes Federation respectively. Serum levels of C-reactive protein and ferritin were also measured, and insulin sensitivity was estimated by the Homeostatic Model Assessment-Insulin Resistance (HOMA-IR). Results: Mean age of study population was 47.1 ± 6.9 years 17 participants (28%) had metabolic syndrome. There were no differences between the categories of low and vigorous level physical activity, or relationship with total physical activity (MET × week). No association was seen between low levels of physical activity and metabolic syndrome criteria. Conclusions: The high prevalence of physical inactivity found in study participants using the IPAQ questionnaire was not associated to cardiovascular risk factors and metabolic syndrome. © 2010 SEEN.","author":[{"dropping-particle":"","family":"Arbey Mesa","given":"Jesús","non-dropping-particle":"","parse-names":false,"suffix":""},{"dropping-particle":"","family":"Fabián Suárez","given":"Milton","non-dropping-particle":"","parse-names":false,"suffix":""},{"dropping-particle":"","family":"Arbeláez","given":"Alejandra","non-dropping-particle":"","parse-names":false,"suffix":""},{"dropping-particle":"","family":"Mosquera","given":"Mildrey","non-dropping-particle":"","parse-names":false,"suffix":""},{"dropping-particle":"","family":"Pradilla","given":"Alberto","non-dropping-particle":"","parse-names":false,"suffix":""},{"dropping-particle":"","family":"Ramírez-Vélez","given":"Robinson","non-dropping-particle":"","parse-names":false,"suffix":""},{"dropping-particle":"","family":"Plata","given":"Ana Cecilia Aguilar","non-dropping-particle":"De","parse-names":false,"suffix":""}],"container-title":"Endocrinologia y Nutricion","id":"ITEM-1","issue":"2","issued":{"date-parts":[["2011"]]},"page":"68-74","title":"Falta de relación entre el nivel de actividad física con marcadoresde riesgo cardiovascular y síndrome metabólico en hombresaparentemente sanos","type":"article-journal","volume":"58"},"uris":["http://www.mendeley.com/documents/?uuid=57165ece-91e5-4d14-a92f-e1e129a55f2c"]}],"mendeley":{"formattedCitation":"&lt;sup&gt;93&lt;/sup&gt;","plainTextFormattedCitation":"93","previouslyFormattedCitation":"&lt;sup&gt;93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93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20AA9C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4E1F71D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275EE9F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61</w:t>
            </w:r>
          </w:p>
        </w:tc>
        <w:tc>
          <w:tcPr>
            <w:tcW w:w="399" w:type="pct"/>
            <w:tcBorders>
              <w:top w:val="nil"/>
              <w:left w:val="nil"/>
              <w:bottom w:val="single" w:sz="4" w:space="0" w:color="auto"/>
              <w:right w:val="single" w:sz="4" w:space="0" w:color="auto"/>
            </w:tcBorders>
            <w:shd w:val="clear" w:color="auto" w:fill="auto"/>
            <w:noWrap/>
            <w:vAlign w:val="bottom"/>
            <w:hideMark/>
          </w:tcPr>
          <w:p w14:paraId="7F42B70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100</w:t>
            </w:r>
          </w:p>
        </w:tc>
        <w:tc>
          <w:tcPr>
            <w:tcW w:w="449" w:type="pct"/>
            <w:tcBorders>
              <w:top w:val="nil"/>
              <w:left w:val="nil"/>
              <w:bottom w:val="single" w:sz="4" w:space="0" w:color="auto"/>
              <w:right w:val="single" w:sz="4" w:space="0" w:color="auto"/>
            </w:tcBorders>
            <w:shd w:val="clear" w:color="auto" w:fill="auto"/>
            <w:noWrap/>
            <w:vAlign w:val="bottom"/>
            <w:hideMark/>
          </w:tcPr>
          <w:p w14:paraId="3D74122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47.1</w:t>
            </w:r>
          </w:p>
        </w:tc>
        <w:tc>
          <w:tcPr>
            <w:tcW w:w="498" w:type="pct"/>
            <w:tcBorders>
              <w:top w:val="nil"/>
              <w:left w:val="nil"/>
              <w:bottom w:val="single" w:sz="4" w:space="0" w:color="auto"/>
              <w:right w:val="single" w:sz="4" w:space="0" w:color="auto"/>
            </w:tcBorders>
            <w:shd w:val="clear" w:color="auto" w:fill="auto"/>
            <w:noWrap/>
            <w:vAlign w:val="bottom"/>
            <w:hideMark/>
          </w:tcPr>
          <w:p w14:paraId="28EA671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382E62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2BCFB1E2"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545A11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Colombia</w:t>
            </w:r>
          </w:p>
        </w:tc>
        <w:tc>
          <w:tcPr>
            <w:tcW w:w="1053" w:type="pct"/>
            <w:tcBorders>
              <w:top w:val="nil"/>
              <w:left w:val="nil"/>
              <w:bottom w:val="single" w:sz="4" w:space="0" w:color="auto"/>
              <w:right w:val="single" w:sz="4" w:space="0" w:color="auto"/>
            </w:tcBorders>
            <w:shd w:val="clear" w:color="auto" w:fill="auto"/>
            <w:noWrap/>
            <w:vAlign w:val="bottom"/>
            <w:hideMark/>
          </w:tcPr>
          <w:p w14:paraId="6B41835C"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Patino-Villada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{"citationItems":[{"id":"ITEM-1","itemData":{"ISSN":"0124-0064 (Print) 0124-0064","abstract":"Objetivo Evaluar la prevalencia de los factores de riesgo cardiovascular en una población urbana entre 25 y 50 años del municipio de Santa Rosa de Osos, Antioquia 2009. Determinar el Porcentaje de Riesgo Atribuible Poblacional para infarto agudo al miocardio de los factores de riesgo coronario. Materiales y Métodos Se realizó un estudio de prevalencia, con muestreo aleatorio bietápico en 357 personas sin enfermedad cardiovascular conocida, se administró una encuesta prediseñada para evaluar la prevalencia de los factores de riesgo cardiovascular; se midieron en sangre colesterol total, lipoproteínas de baja y alta densidad, triglicéridos y glucosa; se tomaron valores de presión arterial, perímetro abdominal, talla y peso. Resultados Los factores de riesgo cardiovascular más importantes fueron baja actividad física (56,6 por ciento), obesidad central (52,7 por ciento), dislipidemias (35,3 por ciento), tabaquismo (19,0 por ciento), síndrome metabólico (19,6 por ciento) y obesidad por Índice de Masa Corporal (17,4 por ciento). Los factores de riesgo con mayor riesgo atribuible poblacional fueron la hipertensión arterial (17,1 por ciento), Índice colesterol total/lipoproteína de alta densidad (16,4 por ciento) y baja actividad física (15,7 por ciento). Conclusión Se encontró una prevalencia alta de los factores de riesgo cardiovascular lo que puede llevar a un incremento de las enfermedades cardiovasculares a mediano y largo plazo. Objective Evaluating the prevalence of cardiovascular risk factors in an urban population aged 25 to 50 in Santa Rosa de Osos, Antioquia, Colombia, during 2009. Determining the population attributable risk percentage (PARP) for coronary heart disease risk factors. Materials and Methods A prevalence study was conducted; two-stage random sampling was made of 357 people without known cardiovascular disease. A pre-designed survey was administered to assess the prevalence of cardiovascular risk factors; total cholesterol, low and high density lipoproteins, triglycerides and glucose were measured in blood and blood pressure, waist circumference and weight were also measured.Results The most important cardiovascular risk factors were physical inactivity (56.6 percent), central obesity (52.7 percent), dyslipidaemia (35.3 percent), smoking (19 percent), metabolic syndrome (19.6 percent) and obesity according to body mass index (17.4 percent). Risk factors having the highest PARP were hypertension (17.1 percent), total cholesterol/high den…","author":[{"dropping-particle":"","family":"Patiño-Villada","given":"Fredy A","non-dropping-particle":"","parse-names":false,"suffix":""},{"dropping-particle":"","family":"Arango-Vélez","given":"Elkin F","non-dropping-particle":"","parse-names":false,"suffix":""},{"dropping-particle":"","family":"Quintero-Velásquez","given":"Mario A","non-dropping-particle":"","parse-names":false,"suffix":""},{"dropping-particle":"","family":"Arenas-Sosa","given":"Mónica M","non-dropping-particle":"","parse-names":false,"suffix":""}],"container-title":"Rev Salud Publica (Bogota)","id":"ITEM-1","issue":"3","issued":{"date-parts":[["2011"]]},"language":"es","page":"433-445","title":"Factores de riesgo cardiovascular en una población urbana de Colombia","type":"article-journal","volume":"13"},"uris":["http://www.mendeley.com/documents/?uuid=78d09654-ea17-431f-8bd6-d55a14017c55"]}],"mendeley":{"formattedCitation":"&lt;sup&gt;94&lt;/sup&gt;","plainTextFormattedCitation":"94","previouslyFormattedCitation":"&lt;sup&gt;94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94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B594D5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3BF9ED2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7E0CFC5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357</w:t>
            </w:r>
          </w:p>
        </w:tc>
        <w:tc>
          <w:tcPr>
            <w:tcW w:w="399" w:type="pct"/>
            <w:tcBorders>
              <w:top w:val="nil"/>
              <w:left w:val="nil"/>
              <w:bottom w:val="single" w:sz="4" w:space="0" w:color="auto"/>
              <w:right w:val="single" w:sz="4" w:space="0" w:color="auto"/>
            </w:tcBorders>
            <w:shd w:val="clear" w:color="auto" w:fill="auto"/>
            <w:noWrap/>
            <w:vAlign w:val="bottom"/>
            <w:hideMark/>
          </w:tcPr>
          <w:p w14:paraId="53396E6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39.78</w:t>
            </w:r>
          </w:p>
        </w:tc>
        <w:tc>
          <w:tcPr>
            <w:tcW w:w="449" w:type="pct"/>
            <w:tcBorders>
              <w:top w:val="nil"/>
              <w:left w:val="nil"/>
              <w:bottom w:val="single" w:sz="4" w:space="0" w:color="auto"/>
              <w:right w:val="single" w:sz="4" w:space="0" w:color="auto"/>
            </w:tcBorders>
            <w:shd w:val="clear" w:color="auto" w:fill="auto"/>
            <w:noWrap/>
            <w:vAlign w:val="bottom"/>
            <w:hideMark/>
          </w:tcPr>
          <w:p w14:paraId="5D4CFBF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6D6B4CC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86D7FE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DE73330"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9E7E81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Colombia</w:t>
            </w:r>
          </w:p>
        </w:tc>
        <w:tc>
          <w:tcPr>
            <w:tcW w:w="1053" w:type="pct"/>
            <w:tcBorders>
              <w:top w:val="nil"/>
              <w:left w:val="nil"/>
              <w:bottom w:val="single" w:sz="4" w:space="0" w:color="auto"/>
              <w:right w:val="single" w:sz="4" w:space="0" w:color="auto"/>
            </w:tcBorders>
            <w:shd w:val="clear" w:color="auto" w:fill="auto"/>
            <w:noWrap/>
            <w:vAlign w:val="bottom"/>
            <w:hideMark/>
          </w:tcPr>
          <w:p w14:paraId="30BFB50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Camacho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{"citationItems":[{"id":"ITEM-1","itemData":{"DOI":"10.1016/j.ijcard.2018.10.090","abstract":"Background: Dyslipidemia is a major risk factor for cardiovascular diseases (CVD). Worldwide, a third of ischemic heart disease is due to abnormal cholesterol levels and it is the most common cause of cardiovascular deaths in Colombia. In Colombia, no representative, large-scale study has assessed the prevalence of dyslipidemia. The aim of the present analysis was to identify the magnitude of the problem in Colombia, a middle-income-country with large regional, geographic, and socio-economical differences. Material and methods: The sample comprised 6628 individuals aged 35 to 70 years (mean age 50.7 years, 64.1% women) residing in the four Colombian regions. Results: The overall prevalence of dyslipidemia was 87.7% and was substantially higher among participants older than 50 years, male, rural residents, and those with a lower level of education (66.8%), and with a lower income (66.4%). High non HDL-c was the most common abnormality (75.3%). The values of total cholesterol and non-HDL-cholesterol were higher in areas with the lowest health needs index than in the areas with intermediate and highest health need index, the isolated HDL-c value was much lower. Conclusion: Colombia has a high prevalence of abnormalities of the lipid profile. The causes of the high rates of dyslipidemia were not well define in this study, but were more common in rural and poorer regions and among those with lower socio-economical status. Strategies to tackle the adverse lipid profile to reduce CVD are needed in Colombia, particularly in rural areas and among the areas with the higher health need index.","author":[{"dropping-particle":"","family":"Camacho","given":"Paul A","non-dropping-particle":"","parse-names":false,"suffix":""},{"dropping-particle":"","family":"Otero","given":"Johanna","non-dropping-particle":"","parse-names":false,"suffix":""},{"dropping-particle":"","family":"Pérez","given":"Maritza","non-dropping-particle":"","parse-names":false,"suffix":""},{"dropping-particle":"","family":"Arcos","given":"Edgar","non-dropping-particle":"","parse-names":false,"suffix":""},{"dropping-particle":"","family":"García","given":"Henry","non-dropping-particle":"","parse-names":false,"suffix":""},{"dropping-particle":"","family":"Narvaez","given":"Claudia","non-dropping-particle":"","parse-names":false,"suffix":""},{"dropping-particle":"","family":"Molina","given":"Dora I","non-dropping-particle":"","parse-names":false,"suffix":""},{"dropping-particle":"","family":"Sanchez","given":"Gregorio","non-dropping-particle":"","parse-names":false,"suffix":""},{"dropping-particle":"","family":"Duran","given":"Myriam","non-dropping-particle":"","parse-names":false,"suffix":""},{"dropping-particle":"","family":"Cure","given":"Carlos","non-dropping-particle":"","parse-names":false,"suffix":""},{"dropping-particle":"","family":"Sotomayor","given":"Arístides","non-dropping-particle":"","parse-names":false,"suffix":""},{"dropping-particle":"","family":"Rico","given":"Álvaro","non-dropping-particle":"","parse-names":false,"suffix":""},{"dropping-particle":"","family":"Cotes","given":"Fresia","non-dropping-particle":"","parse-names":false,"suffix":""},{"dropping-particle":"","family":"Rangarajan","given":"Sumathy","non-dropping-particle":"","parse-names":false,"suffix":""},{"dropping-particle":"","family":"Yusuf","given":"Salim","non-dropping-particle":"","parse-names":false,"suffix":""},{"dropping-particle":"","family":"Cohen","given":"Daniel D","non-dropping-particle":"","parse-names":false,"suffix":""},{"dropping-particle":"","family":"González-Gómez","given":"Silvia","non-dropping-particle":"","parse-names":false,"suffix":""},{"dropping-particle":"","family":"Clausen","given":"Christian","non-dropping-particle":"","parse-names":false,"suffix":""},{"dropping-particle":"","family":"Lopez-Jaramillo","given":"Patricio","non-dropping-particle":"","parse-names":false,"suffix":""}],"container-title":"International Journal of Cardiology","id":"ITEM-1","issued":{"date-parts":[["2019"]]},"page":"111-117","title":"The spectrum of the dyslipidemia in Colombia: The PURE study","type":"article-journal","volume":"284"},"uris":["http://www.mendeley.com/documents/?uuid=0bb26e44-2dea-4b19-bd13-a5493c0e0013"]}],"mendeley":{"formattedCitation":"&lt;sup&gt;95&lt;/sup&gt;","plainTextFormattedCitation":"95","previouslyFormattedCitation":"&lt;sup&gt;95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95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5901B3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2018</w:t>
            </w:r>
          </w:p>
        </w:tc>
        <w:tc>
          <w:tcPr>
            <w:tcW w:w="598" w:type="pct"/>
            <w:tcBorders>
              <w:top w:val="nil"/>
              <w:left w:val="nil"/>
              <w:bottom w:val="single" w:sz="4" w:space="0" w:color="auto"/>
              <w:right w:val="single" w:sz="4" w:space="0" w:color="auto"/>
            </w:tcBorders>
            <w:shd w:val="clear" w:color="auto" w:fill="auto"/>
            <w:noWrap/>
            <w:vAlign w:val="bottom"/>
            <w:hideMark/>
          </w:tcPr>
          <w:p w14:paraId="446FFE3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48" w:type="pct"/>
            <w:tcBorders>
              <w:top w:val="nil"/>
              <w:left w:val="nil"/>
              <w:bottom w:val="single" w:sz="4" w:space="0" w:color="auto"/>
              <w:right w:val="single" w:sz="4" w:space="0" w:color="auto"/>
            </w:tcBorders>
            <w:shd w:val="clear" w:color="auto" w:fill="auto"/>
            <w:noWrap/>
            <w:vAlign w:val="bottom"/>
            <w:hideMark/>
          </w:tcPr>
          <w:p w14:paraId="1779696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6628</w:t>
            </w:r>
          </w:p>
        </w:tc>
        <w:tc>
          <w:tcPr>
            <w:tcW w:w="399" w:type="pct"/>
            <w:tcBorders>
              <w:top w:val="nil"/>
              <w:left w:val="nil"/>
              <w:bottom w:val="single" w:sz="4" w:space="0" w:color="auto"/>
              <w:right w:val="single" w:sz="4" w:space="0" w:color="auto"/>
            </w:tcBorders>
            <w:shd w:val="clear" w:color="auto" w:fill="auto"/>
            <w:noWrap/>
            <w:vAlign w:val="bottom"/>
            <w:hideMark/>
          </w:tcPr>
          <w:p w14:paraId="27CCE52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35.9</w:t>
            </w:r>
          </w:p>
        </w:tc>
        <w:tc>
          <w:tcPr>
            <w:tcW w:w="449" w:type="pct"/>
            <w:tcBorders>
              <w:top w:val="nil"/>
              <w:left w:val="nil"/>
              <w:bottom w:val="single" w:sz="4" w:space="0" w:color="auto"/>
              <w:right w:val="single" w:sz="4" w:space="0" w:color="auto"/>
            </w:tcBorders>
            <w:shd w:val="clear" w:color="auto" w:fill="auto"/>
            <w:noWrap/>
            <w:vAlign w:val="bottom"/>
            <w:hideMark/>
          </w:tcPr>
          <w:p w14:paraId="7A7F585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50.7</w:t>
            </w:r>
          </w:p>
        </w:tc>
        <w:tc>
          <w:tcPr>
            <w:tcW w:w="498" w:type="pct"/>
            <w:tcBorders>
              <w:top w:val="nil"/>
              <w:left w:val="nil"/>
              <w:bottom w:val="single" w:sz="4" w:space="0" w:color="auto"/>
              <w:right w:val="single" w:sz="4" w:space="0" w:color="auto"/>
            </w:tcBorders>
            <w:shd w:val="clear" w:color="auto" w:fill="auto"/>
            <w:noWrap/>
            <w:vAlign w:val="bottom"/>
            <w:hideMark/>
          </w:tcPr>
          <w:p w14:paraId="026BE4C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00349FE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2E3761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9A3BA3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Colombia</w:t>
            </w:r>
          </w:p>
        </w:tc>
        <w:tc>
          <w:tcPr>
            <w:tcW w:w="1053" w:type="pct"/>
            <w:tcBorders>
              <w:top w:val="nil"/>
              <w:left w:val="nil"/>
              <w:bottom w:val="single" w:sz="4" w:space="0" w:color="auto"/>
              <w:right w:val="single" w:sz="4" w:space="0" w:color="auto"/>
            </w:tcBorders>
            <w:shd w:val="clear" w:color="auto" w:fill="auto"/>
            <w:noWrap/>
            <w:vAlign w:val="bottom"/>
            <w:hideMark/>
          </w:tcPr>
          <w:p w14:paraId="092B63F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Vinueza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{"citationItems":[{"id":"ITEM-1","itemData":{"ISSN":"0091-7435","abstract":"Objective: The objective of this study was to describe the prevalence of dyslipidemia in the CARMELA study population. Methods: CARMELA was a cross-sectional study of cardiovascular risk conducted between September 2003 and August 2005 in adults (aged 25 to 64 years) living in Barquisimeto (n=1,824), Bogotá (n=1,511), Buenos Aires (n=1,412), Lima (n=1,628), Mexico City (n=1,677), Quito (n=1,620), and Santiago (n=1,605). Dyslipidemia was defined as the presence of one or more of the following conditions: triglycerides. ≥ 200 mg/dL, or total cholesterol (TC) ≥ 240 mg/dL, or HDL cholesterol. &lt; 40 mg/dL, or LDL cholesterol = not optimal, or currently taking antilipemic agents. Results: Prevalence rates of dyslipidemia in men and women were: 75.5% (CI: 71.9-79.1) and 48.7% (CI: 45.4-51.9) in Barquisimeto; 70% (CI: 66.2-73.8) and 47.7% (CI: 43.9-51.5) in Bogotá; 50.4% (CI: 46.8-54.0) and 24.1% (CI: 21.0-27.2) in Buenos Aires; 73.1% (CI: 69.3-76.8) and 62.8% (CI: 59.2-66.5) in Lima; 62.5% (CI: 58.5-66.5) and 37.5% (CI: 33.5-41.6) in Mexico City; 52.2% (CI: 47.9-56.5) and 38.1% (CI: 34.5-41.7) in Quito; and, 50.8% (CI: 47.1-54.4) and 32.8% (CI: 29.3-36.3) in Santiago. Conclusions: Dyslipidemia was disturbingly prevalent and varied across cities. The most frequent dyslipidemia was low HDL-C followed by high triglycerides. The high TC/HDL-C ratios and non-HDL-C levels suggest a high risk of cardiovascular disease. © 2009 Elsevier Inc.","author":[{"dropping-particle":"","family":"Vinueza","given":"R","non-dropping-particle":"","parse-names":false,"suffix":""},{"dropping-particle":"","family":"Boissonnet","given":"C P","non-dropping-particle":"","parse-names":false,"suffix":""},{"dropping-particle":"","family":"Acevedo","given":"M","non-dropping-particle":"","parse-names":false,"suffix":""},{"dropping-particle":"","family":"Uriza","given":"F","non-dropping-particle":"","parse-names":false,"suffix":""},{"dropping-particle":"","family":"Benitez","given":"F J","non-dropping-particle":"","parse-names":false,"suffix":""},{"dropping-particle":"","family":"Silva","given":"H","non-dropping-particle":"","parse-names":false,"suffix":""},{"dropping-particle":"","family":"Schargrodsky","given":"H","non-dropping-particle":"","parse-names":false,"suffix":""},{"dropping-particle":"","family":"Champagne","given":"B","non-dropping-particle":"","parse-names":false,"suffix":""},{"dropping-particle":"","family":"Wilson","given":"E","non-dropping-particle":"","parse-names":false,"suffix":""}],"container-title":"Preventive Medicine","id":"ITEM-1","issue":"3","issued":{"date-parts":[["2010"]]},"page":"106-111","title":"Dyslipidemia in seven Latin American cities: CARMELA study","type":"article-journal","volume":"50"},"uris":["http://www.mendeley.com/documents/?uuid=dec74194-a203-4dec-b7ae-764a9f731745"]}],"mendeley":{"formattedCitation":"&lt;sup&gt;1&lt;/sup&gt;","plainTextFormattedCitation":"1","previouslyFormattedCitation":"&lt;sup&gt;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0A7A77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1AD16AA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48" w:type="pct"/>
            <w:tcBorders>
              <w:top w:val="nil"/>
              <w:left w:val="nil"/>
              <w:bottom w:val="single" w:sz="4" w:space="0" w:color="auto"/>
              <w:right w:val="single" w:sz="4" w:space="0" w:color="auto"/>
            </w:tcBorders>
            <w:shd w:val="clear" w:color="auto" w:fill="auto"/>
            <w:noWrap/>
            <w:vAlign w:val="bottom"/>
            <w:hideMark/>
          </w:tcPr>
          <w:p w14:paraId="6EF59FB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1511</w:t>
            </w:r>
          </w:p>
        </w:tc>
        <w:tc>
          <w:tcPr>
            <w:tcW w:w="399" w:type="pct"/>
            <w:tcBorders>
              <w:top w:val="nil"/>
              <w:left w:val="nil"/>
              <w:bottom w:val="single" w:sz="4" w:space="0" w:color="auto"/>
              <w:right w:val="single" w:sz="4" w:space="0" w:color="auto"/>
            </w:tcBorders>
            <w:shd w:val="clear" w:color="auto" w:fill="auto"/>
            <w:noWrap/>
            <w:vAlign w:val="bottom"/>
            <w:hideMark/>
          </w:tcPr>
          <w:p w14:paraId="5FFD5D3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15EECFB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05A28DA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821C73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D19B63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B375C7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Colombia</w:t>
            </w:r>
          </w:p>
        </w:tc>
        <w:tc>
          <w:tcPr>
            <w:tcW w:w="1053" w:type="pct"/>
            <w:tcBorders>
              <w:top w:val="nil"/>
              <w:left w:val="nil"/>
              <w:bottom w:val="single" w:sz="4" w:space="0" w:color="auto"/>
              <w:right w:val="single" w:sz="4" w:space="0" w:color="auto"/>
            </w:tcBorders>
            <w:shd w:val="clear" w:color="auto" w:fill="auto"/>
            <w:noWrap/>
            <w:vAlign w:val="bottom"/>
            <w:hideMark/>
          </w:tcPr>
          <w:p w14:paraId="15E4812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Palmett-Rios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{"citationItems":[{"id":"ITEM-1","itemData":{"abstract":"Resumen Introducción: la patología cardiovascular es la principal causa de muerte en Colombia y en el mundo y los estilos de vida saludables constituyen factores protectores ante esta. No se ha estudiado en Medellín el efecto de los estilos de vida saludable sobre el colesterol HDL. Objetivo: Establecer la relación entre los niveles de colesterol HDL y la actividad física y alimentación en población de 18 a 65 años en Medellín. Métodos: Estudio descriptivo transversal analítico de la base de datos de la aplicación del método STEPS de la Organización Mundial de la Salud hecho en Medellín en el año 2011 a personas entre 18 y 65 años. La evaluación de la relación entre colesterol HDL y los estilos de vida saludable se hizo a través de regresión logística. Resultados: Se analizaron datos de 1.300 adultos con medición de colesterol HDL, con una edad promedio de 40,6 ± 13,5 años. El 50% tenía el colesterol HDL por debajo de 36,7 mg/dl (RI 31,2-43,5). El nivel socioeconómico alto (OR 0,168; IC95% 0,064 - 0,442) y medio (OR 0,154; IC95% 0,084 - 0,282) así como la actividad física intensa en el tiempo libre (OR 0,600; IC95% 0,383-0,939) constituyen un factor protector frente a un HDL bajo. Conclusión: Los bajos niveles de colesterol HDL tienen alta prevalencia en población adulta de Medellín y se requieren políticas administrativas y de salud pública que promuevan estilos de vida saludable para modificarlos. Introduction: Cardiovascular disease is the primary cause of death in Colombia and in the world, and healthy lifestyles are protective factors against this. The effect of healthy lifestyles on HDL cholesterol has not been studied in Medellin. Objective: To establish the relationship between HDL cholesterol levels and physical activity and diet in the population aged 18 to 65 in Medellín. Methods: A cross-sectional, descriptive and analytical study was carried out by applying the World Health Organisation STEPS method on a data base gathered in Medellin in the year 2011 onindividuals between 18 and 65 years. The evaluation of the relationship between HDL colesterol and healthy lifestyles was made using logistic regression. Results: The data were analysed from 1,300 adults, with a mean age of 40.6 ± 13.5 years, and with an HDL measurement. Half of them (50%) had an HDL cholesterol below 36.7 mg/dL (RI 31.2-43.5). Protective factors against a low HDL were a high (OR 0.168; 95% CI; 0.064-0.442) and medium socio-economic level (OR 0.154; 95% CI; 0.084-0.282), as …","author":[{"dropping-particle":"","family":"Palmett Ríos","given":"Héctor E","non-dropping-particle":"","parse-names":false,"suffix":""}],"container-title":"Rev. colomb. cardiol","id":"ITEM-1","issue":"5","issued":{"date-parts":[["2017"]]},"language":"es","page":"523-531","title":"Estudio transversal sobre estilos de vida saludable y su relación con el colesterol HDL en la población adulta","type":"article-journal","volume":"24"},"uris":["http://www.mendeley.com/documents/?uuid=38e2ce8b-fc2b-4807-abec-37c194e2180d"]}],"mendeley":{"formattedCitation":"&lt;sup&gt;96&lt;/sup&gt;","plainTextFormattedCitation":"96","previouslyFormattedCitation":"&lt;sup&gt;96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96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A3B894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590F9B3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48" w:type="pct"/>
            <w:tcBorders>
              <w:top w:val="nil"/>
              <w:left w:val="nil"/>
              <w:bottom w:val="single" w:sz="4" w:space="0" w:color="auto"/>
              <w:right w:val="single" w:sz="4" w:space="0" w:color="auto"/>
            </w:tcBorders>
            <w:shd w:val="clear" w:color="auto" w:fill="auto"/>
            <w:noWrap/>
            <w:vAlign w:val="bottom"/>
            <w:hideMark/>
          </w:tcPr>
          <w:p w14:paraId="46C2DFE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1300</w:t>
            </w:r>
          </w:p>
        </w:tc>
        <w:tc>
          <w:tcPr>
            <w:tcW w:w="399" w:type="pct"/>
            <w:tcBorders>
              <w:top w:val="nil"/>
              <w:left w:val="nil"/>
              <w:bottom w:val="single" w:sz="4" w:space="0" w:color="auto"/>
              <w:right w:val="single" w:sz="4" w:space="0" w:color="auto"/>
            </w:tcBorders>
            <w:shd w:val="clear" w:color="auto" w:fill="auto"/>
            <w:noWrap/>
            <w:vAlign w:val="bottom"/>
            <w:hideMark/>
          </w:tcPr>
          <w:p w14:paraId="3D1486F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30.6</w:t>
            </w:r>
          </w:p>
        </w:tc>
        <w:tc>
          <w:tcPr>
            <w:tcW w:w="449" w:type="pct"/>
            <w:tcBorders>
              <w:top w:val="nil"/>
              <w:left w:val="nil"/>
              <w:bottom w:val="single" w:sz="4" w:space="0" w:color="auto"/>
              <w:right w:val="single" w:sz="4" w:space="0" w:color="auto"/>
            </w:tcBorders>
            <w:shd w:val="clear" w:color="auto" w:fill="auto"/>
            <w:noWrap/>
            <w:vAlign w:val="bottom"/>
            <w:hideMark/>
          </w:tcPr>
          <w:p w14:paraId="578AC11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40.6</w:t>
            </w:r>
          </w:p>
        </w:tc>
        <w:tc>
          <w:tcPr>
            <w:tcW w:w="498" w:type="pct"/>
            <w:tcBorders>
              <w:top w:val="nil"/>
              <w:left w:val="nil"/>
              <w:bottom w:val="single" w:sz="4" w:space="0" w:color="auto"/>
              <w:right w:val="single" w:sz="4" w:space="0" w:color="auto"/>
            </w:tcBorders>
            <w:shd w:val="clear" w:color="auto" w:fill="auto"/>
            <w:noWrap/>
            <w:vAlign w:val="bottom"/>
            <w:hideMark/>
          </w:tcPr>
          <w:p w14:paraId="011D956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66F8427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44566941"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E70B7D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Colombia</w:t>
            </w:r>
          </w:p>
        </w:tc>
        <w:tc>
          <w:tcPr>
            <w:tcW w:w="1053" w:type="pct"/>
            <w:tcBorders>
              <w:top w:val="nil"/>
              <w:left w:val="nil"/>
              <w:bottom w:val="single" w:sz="4" w:space="0" w:color="auto"/>
              <w:right w:val="single" w:sz="4" w:space="0" w:color="auto"/>
            </w:tcBorders>
            <w:shd w:val="clear" w:color="auto" w:fill="auto"/>
            <w:noWrap/>
            <w:vAlign w:val="bottom"/>
            <w:hideMark/>
          </w:tcPr>
          <w:p w14:paraId="0548CA9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Bautista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{"citationItems":[{"id":"ITEM-1","itemData":{"DOI":"10.1097/01.hjr.0000219113.40662.dd","abstract":"Although cardiovascular diseases are the main cause of death in the region, there are few data on the prevalence of cardiovascular risk factors in Latin American. We studied the distribution and impact of cardiovascular risk factors in Bucaramanga, Colombia. We conducted a cross-sectional study in a random sample of 2989 subjects 15â€“64 years old. Population attributable risks were estimated from Framingham risk scores. Smoking prevalence was 16.2% (men 26.3%; women 10.5%). Hypertension prevalence was 9.9% in women and 8.8% in men, but reached 50% in those 60â€“64 years old. After adjustment for body mass index, men were more likely to be hypertensive, but only if under 40 years old. Obesity was more frequent in women (15.7%) than in men (8.7%), even after age-adjustment. About 46% of the participants were overweight or obese. Women also had higher prevalence of high total cholesterol (19.7 versus 15.7%) and high low-density lipoprotein-cholesterol (23.9 versus 19.5%), but lower prevalence of low high-density lipoprotein (HDL)-cholesterol (22.2 versus 37.6%). Only low-HDL prevalence was significantly different after body mass index and age-adjustment. The prevalence of diabetes was similar in men and women (4%), but age and body mass index-adjusted impaired fasting glucose prevalence was 60% higher in women. Population attributable risks were larger and similar for high total cholesterol, hypertension, and large waist-to-hip ratio (19%). Women had higher prevalence of all risk factors with the exception of smoking and low-HDL. Reduction in cholesterol levels, blood pressure and obesity is a priority to control the ongoing epidemic of cardiovascular diseases in this population. © 2006, European Society of Cardiology. All rights reserved.","author":[{"dropping-particle":"","family":"Bautista","given":"Leonelo E","non-dropping-particle":"","parse-names":false,"suffix":""},{"dropping-particle":"","family":"Orãstegui","given":"Myriam","non-dropping-particle":"","parse-names":false,"suffix":""},{"dropping-particle":"","family":"Vera","given":"Lina M","non-dropping-particle":"","parse-names":false,"suffix":""},{"dropping-particle":"","family":"Prada","given":"Gloria E","non-dropping-particle":"","parse-names":false,"suffix":""},{"dropping-particle":"","family":"Orozco","given":"Luis C","non-dropping-particle":"","parse-names":false,"suffix":""},{"dropping-particle":"","family":"Herrã¡n","given":"Oscar F","non-dropping-particle":"","parse-names":false,"suffix":""}],"container-title":"European Journal of Preventive Cardiology","id":"ITEM-1","issue":"5","issued":{"date-parts":[["2006"]]},"page":"769-775","title":"Prevalence and impact of cardiovascular risk factors in Bucaramanga, Colombia: Results from the Countrywide Integrated Noncommunicable Disease Intervention Programme (CINDI/CARMEN) baseline survey","type":"article-journal","volume":"13"},"uris":["http://www.mendeley.com/documents/?uuid=36d4f4a8-963e-4dc7-b066-19d216e4f947"]}],"mendeley":{"formattedCitation":"&lt;sup&gt;97&lt;/sup&gt;","plainTextFormattedCitation":"97","previouslyFormattedCitation":"&lt;sup&gt;97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97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490810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98" w:type="pct"/>
            <w:tcBorders>
              <w:top w:val="nil"/>
              <w:left w:val="nil"/>
              <w:bottom w:val="single" w:sz="4" w:space="0" w:color="auto"/>
              <w:right w:val="single" w:sz="4" w:space="0" w:color="auto"/>
            </w:tcBorders>
            <w:shd w:val="clear" w:color="auto" w:fill="auto"/>
            <w:noWrap/>
            <w:vAlign w:val="bottom"/>
            <w:hideMark/>
          </w:tcPr>
          <w:p w14:paraId="46B3E88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2001</w:t>
            </w:r>
          </w:p>
        </w:tc>
        <w:tc>
          <w:tcPr>
            <w:tcW w:w="548" w:type="pct"/>
            <w:tcBorders>
              <w:top w:val="nil"/>
              <w:left w:val="nil"/>
              <w:bottom w:val="single" w:sz="4" w:space="0" w:color="auto"/>
              <w:right w:val="single" w:sz="4" w:space="0" w:color="auto"/>
            </w:tcBorders>
            <w:shd w:val="clear" w:color="auto" w:fill="auto"/>
            <w:noWrap/>
            <w:vAlign w:val="bottom"/>
            <w:hideMark/>
          </w:tcPr>
          <w:p w14:paraId="7EEB5E5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2989</w:t>
            </w:r>
          </w:p>
        </w:tc>
        <w:tc>
          <w:tcPr>
            <w:tcW w:w="399" w:type="pct"/>
            <w:tcBorders>
              <w:top w:val="nil"/>
              <w:left w:val="nil"/>
              <w:bottom w:val="single" w:sz="4" w:space="0" w:color="auto"/>
              <w:right w:val="single" w:sz="4" w:space="0" w:color="auto"/>
            </w:tcBorders>
            <w:shd w:val="clear" w:color="auto" w:fill="auto"/>
            <w:noWrap/>
            <w:vAlign w:val="bottom"/>
            <w:hideMark/>
          </w:tcPr>
          <w:p w14:paraId="268F731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35.76</w:t>
            </w:r>
          </w:p>
        </w:tc>
        <w:tc>
          <w:tcPr>
            <w:tcW w:w="449" w:type="pct"/>
            <w:tcBorders>
              <w:top w:val="nil"/>
              <w:left w:val="nil"/>
              <w:bottom w:val="single" w:sz="4" w:space="0" w:color="auto"/>
              <w:right w:val="single" w:sz="4" w:space="0" w:color="auto"/>
            </w:tcBorders>
            <w:shd w:val="clear" w:color="auto" w:fill="auto"/>
            <w:noWrap/>
            <w:vAlign w:val="bottom"/>
            <w:hideMark/>
          </w:tcPr>
          <w:p w14:paraId="683F35C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35.1</w:t>
            </w:r>
          </w:p>
        </w:tc>
        <w:tc>
          <w:tcPr>
            <w:tcW w:w="498" w:type="pct"/>
            <w:tcBorders>
              <w:top w:val="nil"/>
              <w:left w:val="nil"/>
              <w:bottom w:val="single" w:sz="4" w:space="0" w:color="auto"/>
              <w:right w:val="single" w:sz="4" w:space="0" w:color="auto"/>
            </w:tcBorders>
            <w:shd w:val="clear" w:color="auto" w:fill="auto"/>
            <w:noWrap/>
            <w:vAlign w:val="bottom"/>
            <w:hideMark/>
          </w:tcPr>
          <w:p w14:paraId="5C003B1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FE7A29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No</w:t>
            </w:r>
          </w:p>
        </w:tc>
      </w:tr>
      <w:tr w:rsidR="00665066" w:rsidRPr="009E0769" w14:paraId="22AD1EE2"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210C4F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Colombia</w:t>
            </w:r>
          </w:p>
        </w:tc>
        <w:tc>
          <w:tcPr>
            <w:tcW w:w="1053" w:type="pct"/>
            <w:tcBorders>
              <w:top w:val="nil"/>
              <w:left w:val="nil"/>
              <w:bottom w:val="single" w:sz="4" w:space="0" w:color="auto"/>
              <w:right w:val="single" w:sz="4" w:space="0" w:color="auto"/>
            </w:tcBorders>
            <w:shd w:val="clear" w:color="auto" w:fill="auto"/>
            <w:noWrap/>
            <w:vAlign w:val="bottom"/>
            <w:hideMark/>
          </w:tcPr>
          <w:p w14:paraId="1862311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Gallo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{"citationItems":[{"id":"ITEM-1","itemData":{"abstract":"Resumen Introducción: el síndrome metabólico (SM) es una condición clínica que aumenta el riesgo de enfermedad cardiovascular y se relaciona con resistencia a la insulina (RI). Aunque los consensos establecen la necesidad de puntos de corte específicos del perímetro de la cintura (PC) para cada país, con el fin de identificar sujetos con SM, en Colombia no han sido definidos. Objetivo: definir los puntos de corte del PC en hombres y en mujeres que mejor discriminan la presencia de RI, establecer la prevalencia de SM y verificar la relación entre el PC y RI. Material y métodos: en el contexto del estudio Diagnóstico del Riesgo Cardiovascular Global, Medellín 2007-2008, se realizó una evaluación clínica, antropométrica y de laboratorio. Con el índice de resistencia a la insulina HOMA (IR-HOMA) se definió la presencia de RI a partir del percentil 75. Se construyeron curvas de las características operativas del receptor (COR), se obtuvo el área bajo la curva (AUC) para cada sexo y se usó el índice de Youden para establecer el PC que mejor discriminaba la presencia de RI. Resultados: se incluyeron 800 sujetos, de los cuales 44.8% fueron hombres, con un promedio de edad de 50.3±12.1 e índice de masa corporal (IMC) de 26.1±4.7. Los sujetos con RI tuvieron mayor PC, triglicéridos y presión arterial, además, menor colesterol HDL que aquellos sin RI. Los valores que mejor discriminan la presencia de RI fueron 92 cm en hombres (sensibilidad 82.28%; especificidad 70.14%) y 84 cm en mujeres (sensibilidad 78.15%; especificidad 73.98%) (índice de Youden de 0.52 en ambos sexos). Para los hombres y mujeres el AUC fue 0.828 (IC 95% 0.780-0.876) y 0.815 (IC 95% 0.770-0.859), respectivamente, valor de p&amp;lt; 0.001. Se encontró correlación entre el PC e IR-HOMA (&amp;amp;#961;=0.65 en los hombres y &amp;amp;#961;=0.62 en las mujeres) y una prevalencia del SM del 44.9%. Conclusión: los valores de PC que mejor discriminaron la presencia de RI son 92 cm para hombres y 84 cm para mujeres. Este criterio podría ser utilizado para identificar sujetos con SM a nivel poblacional. (Acta Med Colomb 2013; 38: 118-126). Introduction: the metabolic syndrome (MS) is a clinical condition that increases the risk of cardiovascular disease and is associated with insulin resistance (IR). Although consensus establish the need of specific cut points of waist circumference (WC) for each country in order to identify subjects with MS, these have not been defined in Colombia. Objective: to define the WC cut …","author":[{"dropping-particle":"","family":"Gallo","given":"Jaime Alberto","non-dropping-particle":"","parse-names":false,"suffix":""},{"dropping-particle":"","family":"Ochoa","given":"Juan Eugenio","non-dropping-particle":"","parse-names":false,"suffix":""},{"dropping-particle":"","family":"Kepa Balparda","given":"Jhon","non-dropping-particle":"","parse-names":false,"suffix":""},{"dropping-particle":"","family":"Aristizábal","given":"Dagnovar","non-dropping-particle":"","parse-names":false,"suffix":""}],"container-title":"Acta Med Colomb","id":"ITEM-1","issue":"3","issued":{"date-parts":[["2013"]]},"language":"es","page":"118-126","title":"Puntos de corte del perímetro de la cintura para identificar sujetos con resistencia a la insulina en una población colombiana","type":"article-journal","volume":"38"},"uris":["http://www.mendeley.com/documents/?uuid=025656ed-16ab-4f7d-a4c5-d1a43dd11ac8"]}],"mendeley":{"formattedCitation":"&lt;sup&gt;98&lt;/sup&gt;","plainTextFormattedCitation":"98","previouslyFormattedCitation":"&lt;sup&gt;98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98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A014F7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6F5340F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48" w:type="pct"/>
            <w:tcBorders>
              <w:top w:val="nil"/>
              <w:left w:val="nil"/>
              <w:bottom w:val="single" w:sz="4" w:space="0" w:color="auto"/>
              <w:right w:val="single" w:sz="4" w:space="0" w:color="auto"/>
            </w:tcBorders>
            <w:shd w:val="clear" w:color="auto" w:fill="auto"/>
            <w:noWrap/>
            <w:vAlign w:val="bottom"/>
            <w:hideMark/>
          </w:tcPr>
          <w:p w14:paraId="67F0BD7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800</w:t>
            </w:r>
          </w:p>
        </w:tc>
        <w:tc>
          <w:tcPr>
            <w:tcW w:w="399" w:type="pct"/>
            <w:tcBorders>
              <w:top w:val="nil"/>
              <w:left w:val="nil"/>
              <w:bottom w:val="single" w:sz="4" w:space="0" w:color="auto"/>
              <w:right w:val="single" w:sz="4" w:space="0" w:color="auto"/>
            </w:tcBorders>
            <w:shd w:val="clear" w:color="auto" w:fill="auto"/>
            <w:noWrap/>
            <w:vAlign w:val="bottom"/>
            <w:hideMark/>
          </w:tcPr>
          <w:p w14:paraId="19A167C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44.8</w:t>
            </w:r>
          </w:p>
        </w:tc>
        <w:tc>
          <w:tcPr>
            <w:tcW w:w="449" w:type="pct"/>
            <w:tcBorders>
              <w:top w:val="nil"/>
              <w:left w:val="nil"/>
              <w:bottom w:val="single" w:sz="4" w:space="0" w:color="auto"/>
              <w:right w:val="single" w:sz="4" w:space="0" w:color="auto"/>
            </w:tcBorders>
            <w:shd w:val="clear" w:color="auto" w:fill="auto"/>
            <w:noWrap/>
            <w:vAlign w:val="bottom"/>
            <w:hideMark/>
          </w:tcPr>
          <w:p w14:paraId="6018210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50.3</w:t>
            </w:r>
          </w:p>
        </w:tc>
        <w:tc>
          <w:tcPr>
            <w:tcW w:w="498" w:type="pct"/>
            <w:tcBorders>
              <w:top w:val="nil"/>
              <w:left w:val="nil"/>
              <w:bottom w:val="single" w:sz="4" w:space="0" w:color="auto"/>
              <w:right w:val="single" w:sz="4" w:space="0" w:color="auto"/>
            </w:tcBorders>
            <w:shd w:val="clear" w:color="auto" w:fill="auto"/>
            <w:noWrap/>
            <w:vAlign w:val="bottom"/>
            <w:hideMark/>
          </w:tcPr>
          <w:p w14:paraId="18B8DA0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691CE8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1E771CC"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686980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Colombia</w:t>
            </w:r>
          </w:p>
        </w:tc>
        <w:tc>
          <w:tcPr>
            <w:tcW w:w="1053" w:type="pct"/>
            <w:tcBorders>
              <w:top w:val="nil"/>
              <w:left w:val="nil"/>
              <w:bottom w:val="single" w:sz="4" w:space="0" w:color="auto"/>
              <w:right w:val="single" w:sz="4" w:space="0" w:color="auto"/>
            </w:tcBorders>
            <w:shd w:val="clear" w:color="auto" w:fill="auto"/>
            <w:noWrap/>
            <w:vAlign w:val="bottom"/>
            <w:hideMark/>
          </w:tcPr>
          <w:p w14:paraId="5482E27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Alayon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{"citationItems":[{"id":"ITEM-1","itemData":{"DOI":"10.7705/biomedica.v30i2.186","abstract":"Introduction: Extensive clinical and statistical studies suggest that individuals with high overall cardiovascular risk in midlife can be identified by their relatively higher values of risk factors at younger ages. Objectives: To estimate the prevalence and clustering of recognized biological and behavioral cardiovascular disease risk factors among young adults in a neighborhood in Cartagena de Indias. Methods: A cross-sectional descriptive study was performed. A sample of 207 young adults were interviewed in order to obtain information regarding their anthropometric and behavioral characteristics. Each individual's standardized glucaemia and serum lipids were measured. Results: In 80 % (95%CI: 73.6-86.4) family history of cardiovascular disease was present; 37% (95%CI: 30.4-43.6) had behavioral risk factors including physical inactivity, and in 66% (95%CI: 59.5-72.5) atherogenic diet. Alcohol and tobacco consumption were significantly higher in males. Biological risk factor prevalence was 42% (35.3-48.7) for low cHDL, 39% (IC95%: 32.4-45.6) for hypertriglyceridemia, 34% (IC95%: 27.5-40.5), high cLDL, and 21% (IC95%: 15.5-26.5) for metabolic syndrome. The presence of three or more biological risk factors occurred in 30% (IC95%: 23.8-36.2); one or two in 54% (IC95%: 47.2-60.8), and 16% (IC95%: 11.0-21.0) of the participants presented no risk factors. Conclusion: The high prevalence of cardiovascular risk factors in young adults underscores the importance of policies aimed at reducing these factors by prevention strategies.","author":[{"dropping-particle":"","family":"Alayón","given":"Alicia Norma","non-dropping-particle":"","parse-names":false,"suffix":""},{"dropping-particle":"","family":"Ariza","given":"Saudith","non-dropping-particle":"","parse-names":false,"suffix":""},{"dropping-particle":"","family":"Baena","given":"Karen","non-dropping-particle":"","parse-names":false,"suffix":""},{"dropping-particle":"","family":"Lambis","given":"Lina","non-dropping-particle":"","parse-names":false,"suffix":""},{"dropping-particle":"","family":"Martínez","given":"Lina","non-dropping-particle":"","parse-names":false,"suffix":""},{"dropping-particle":"","family":"Benítez","given":"Lourdes","non-dropping-particle":"","parse-names":false,"suffix":""}],"container-title":"Biomedica","id":"ITEM-1","issue":"2","issued":{"date-parts":[["2010"]]},"page":"238-244","title":"Búsqueda activa y evaluación de factores de riesgo cardiovascular en adultos jóvenes, Cartagena de Indias, 2007","type":"article-journal","volume":"30"},"uris":["http://www.mendeley.com/documents/?uuid=47f15550-f864-456c-96e6-60d1063e904a"]}],"mendeley":{"formattedCitation":"&lt;sup&gt;99&lt;/sup&gt;","plainTextFormattedCitation":"99","previouslyFormattedCitation":"&lt;sup&gt;99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99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C35CEB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7748D94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48" w:type="pct"/>
            <w:tcBorders>
              <w:top w:val="nil"/>
              <w:left w:val="nil"/>
              <w:bottom w:val="single" w:sz="4" w:space="0" w:color="auto"/>
              <w:right w:val="single" w:sz="4" w:space="0" w:color="auto"/>
            </w:tcBorders>
            <w:shd w:val="clear" w:color="auto" w:fill="auto"/>
            <w:noWrap/>
            <w:vAlign w:val="bottom"/>
            <w:hideMark/>
          </w:tcPr>
          <w:p w14:paraId="40C4C14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207</w:t>
            </w:r>
          </w:p>
        </w:tc>
        <w:tc>
          <w:tcPr>
            <w:tcW w:w="399" w:type="pct"/>
            <w:tcBorders>
              <w:top w:val="nil"/>
              <w:left w:val="nil"/>
              <w:bottom w:val="single" w:sz="4" w:space="0" w:color="auto"/>
              <w:right w:val="single" w:sz="4" w:space="0" w:color="auto"/>
            </w:tcBorders>
            <w:shd w:val="clear" w:color="auto" w:fill="auto"/>
            <w:noWrap/>
            <w:vAlign w:val="bottom"/>
            <w:hideMark/>
          </w:tcPr>
          <w:p w14:paraId="5738838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28</w:t>
            </w:r>
          </w:p>
        </w:tc>
        <w:tc>
          <w:tcPr>
            <w:tcW w:w="449" w:type="pct"/>
            <w:tcBorders>
              <w:top w:val="nil"/>
              <w:left w:val="nil"/>
              <w:bottom w:val="single" w:sz="4" w:space="0" w:color="auto"/>
              <w:right w:val="single" w:sz="4" w:space="0" w:color="auto"/>
            </w:tcBorders>
            <w:shd w:val="clear" w:color="auto" w:fill="auto"/>
            <w:noWrap/>
            <w:vAlign w:val="bottom"/>
            <w:hideMark/>
          </w:tcPr>
          <w:p w14:paraId="2E19F89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33.5</w:t>
            </w:r>
          </w:p>
        </w:tc>
        <w:tc>
          <w:tcPr>
            <w:tcW w:w="498" w:type="pct"/>
            <w:tcBorders>
              <w:top w:val="nil"/>
              <w:left w:val="nil"/>
              <w:bottom w:val="single" w:sz="4" w:space="0" w:color="auto"/>
              <w:right w:val="single" w:sz="4" w:space="0" w:color="auto"/>
            </w:tcBorders>
            <w:shd w:val="clear" w:color="auto" w:fill="auto"/>
            <w:noWrap/>
            <w:vAlign w:val="bottom"/>
            <w:hideMark/>
          </w:tcPr>
          <w:p w14:paraId="3562244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11586F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193E501"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7055E3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Costa Rica</w:t>
            </w:r>
          </w:p>
        </w:tc>
        <w:tc>
          <w:tcPr>
            <w:tcW w:w="1053" w:type="pct"/>
            <w:tcBorders>
              <w:top w:val="nil"/>
              <w:left w:val="nil"/>
              <w:bottom w:val="single" w:sz="4" w:space="0" w:color="auto"/>
              <w:right w:val="single" w:sz="4" w:space="0" w:color="auto"/>
            </w:tcBorders>
            <w:shd w:val="clear" w:color="auto" w:fill="auto"/>
            <w:noWrap/>
            <w:vAlign w:val="bottom"/>
            <w:hideMark/>
          </w:tcPr>
          <w:p w14:paraId="13FBA22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Campos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{"citationItems":[{"id":"ITEM-1","itemData":{"DOI":"10.1161/01.atv.11.4.1077","abstract":"Increased general and abdominal obesity has been independently associated with diabetes, increased risk of stroke, and coronary artery disease (CAD). It is more prevalent in developed countries and in urban areas of nonindustrialized nations than in less developed and rural areas. To evaluate the associations between general and abdominal obesity (as determined by total body fat, waist to hip ratio, umbilical to triceps ratio, and umbilical to subscapular ratio) with glucose, plasma lipoproteins, apolipoprotein (apo) A-I and B concentrations, and low density lipoprotein (LDL) particle size (LDL 1-7), we randomly selected 222 men and 243 women from rural and urban areas of Puriscal, Costa Rica. Abdominal obesity, as assessed by the waist to hip ratio, was independently and significantly associated with higher triglyceride levels (p&lt;0.01) and with lower high density lipoprotein cholesterol levels (p&lt;0.05) in men and women and with higher glucose levels (p&lt;0.05) and smaller LDL particle size (p&lt;0.01) in women. Abdominal obesity, as assessed by the umbilical to subscapular ratio, was independently and significantly associated with higher total cholesterol (p&lt;0.005) and apo B (p&lt;0.01) levels. Umbilical to triceps ratio was positively associated with blood pressure in men. Urban men had increased general and abdominal obesity (p&lt;0.0001), number of cigarettes smoked per day (p&lt;0.0001), and diastolic blood pressure (p&lt;0.05) and had a decreased fitness level (p&lt;0.0001) as well as higher (p&lt;0.05) plasma glucose, triglyceride, and total cholesterol concentrations and lower (p&lt;0.05) apo A-I and HDL cholesterol levels compared with rural men. The differences between rural and urban women were not as striking. Urban women had increased general and abdominal obesity, glucose, and apo B levels (p&lt;0.05) and a decreased fitness level (p&lt;0.0001). Our data indicate that general and abdominal obesity, increased cigarette smoking, diastolic blood pressure, and decreased fitness level are more prevalent in an urban than in a rural area in Costa Rica, particularly in men. The higher prevalence of such risk factors in the urban area is associated with a more atherogenic plasma lipoprotein profile.","author":[{"dropping-particle":"","family":"Campos","given":"H","non-dropping-particle":"","parse-names":false,"suffix":""},{"dropping-particle":"","family":"Bailey","given":"S M","non-dropping-particle":"","parse-names":false,"suffix":""},{"dropping-particle":"","family":"Gussak","given":"L S","non-dropping-particle":"","parse-names":false,"suffix":""},{"dropping-particle":"","family":"Siles","given":"X","non-dropping-particle":"","parse-names":false,"suffix":""},{"dropping-particle":"","family":"Ordovas","given":"J M","non-dropping-particle":"","parse-names":false,"suffix":""},{"dropping-particle":"","family":"Schaefer","given":"E J","non-dropping-particle":"","parse-names":false,"suffix":""}],"container-title":"Arteriosclerosis and Thrombosis","id":"ITEM-1","issue":"4","issued":{"date-parts":[["1991"]]},"page":"1077-1088","title":"Relations of body habitus, fitness level, and cardiovascular risk factors including lipoproteins and apolipoproteins in a rural and urban Costa Rican population","type":"article-journal","volume":"11"},"uris":["http://www.mendeley.com/documents/?uuid=da34e9eb-c026-4ea1-b6c0-bdcad9764b50"]}],"mendeley":{"formattedCitation":"&lt;sup&gt;100&lt;/sup&gt;","plainTextFormattedCitation":"100","previouslyFormattedCitation":"&lt;sup&gt;100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78756B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1991</w:t>
            </w:r>
          </w:p>
        </w:tc>
        <w:tc>
          <w:tcPr>
            <w:tcW w:w="598" w:type="pct"/>
            <w:tcBorders>
              <w:top w:val="nil"/>
              <w:left w:val="nil"/>
              <w:bottom w:val="single" w:sz="4" w:space="0" w:color="auto"/>
              <w:right w:val="single" w:sz="4" w:space="0" w:color="auto"/>
            </w:tcBorders>
            <w:shd w:val="clear" w:color="auto" w:fill="auto"/>
            <w:noWrap/>
            <w:vAlign w:val="bottom"/>
            <w:hideMark/>
          </w:tcPr>
          <w:p w14:paraId="5E16104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1988</w:t>
            </w:r>
          </w:p>
        </w:tc>
        <w:tc>
          <w:tcPr>
            <w:tcW w:w="548" w:type="pct"/>
            <w:tcBorders>
              <w:top w:val="nil"/>
              <w:left w:val="nil"/>
              <w:bottom w:val="single" w:sz="4" w:space="0" w:color="auto"/>
              <w:right w:val="single" w:sz="4" w:space="0" w:color="auto"/>
            </w:tcBorders>
            <w:shd w:val="clear" w:color="auto" w:fill="auto"/>
            <w:noWrap/>
            <w:vAlign w:val="bottom"/>
            <w:hideMark/>
          </w:tcPr>
          <w:p w14:paraId="0F7A77C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465</w:t>
            </w:r>
          </w:p>
        </w:tc>
        <w:tc>
          <w:tcPr>
            <w:tcW w:w="399" w:type="pct"/>
            <w:tcBorders>
              <w:top w:val="nil"/>
              <w:left w:val="nil"/>
              <w:bottom w:val="single" w:sz="4" w:space="0" w:color="auto"/>
              <w:right w:val="single" w:sz="4" w:space="0" w:color="auto"/>
            </w:tcBorders>
            <w:shd w:val="clear" w:color="auto" w:fill="auto"/>
            <w:noWrap/>
            <w:vAlign w:val="bottom"/>
            <w:hideMark/>
          </w:tcPr>
          <w:p w14:paraId="6852429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47.74</w:t>
            </w:r>
          </w:p>
        </w:tc>
        <w:tc>
          <w:tcPr>
            <w:tcW w:w="449" w:type="pct"/>
            <w:tcBorders>
              <w:top w:val="nil"/>
              <w:left w:val="nil"/>
              <w:bottom w:val="single" w:sz="4" w:space="0" w:color="auto"/>
              <w:right w:val="single" w:sz="4" w:space="0" w:color="auto"/>
            </w:tcBorders>
            <w:shd w:val="clear" w:color="auto" w:fill="auto"/>
            <w:noWrap/>
            <w:vAlign w:val="bottom"/>
            <w:hideMark/>
          </w:tcPr>
          <w:p w14:paraId="36D2971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47FC2D1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059D6D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2E9993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1C5043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Costa Rica</w:t>
            </w:r>
          </w:p>
        </w:tc>
        <w:tc>
          <w:tcPr>
            <w:tcW w:w="1053" w:type="pct"/>
            <w:tcBorders>
              <w:top w:val="nil"/>
              <w:left w:val="nil"/>
              <w:bottom w:val="single" w:sz="4" w:space="0" w:color="auto"/>
              <w:right w:val="single" w:sz="4" w:space="0" w:color="auto"/>
            </w:tcBorders>
            <w:shd w:val="clear" w:color="auto" w:fill="auto"/>
            <w:noWrap/>
            <w:vAlign w:val="bottom"/>
            <w:hideMark/>
          </w:tcPr>
          <w:p w14:paraId="1E40B72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Wong-McClure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{"citationItems":[{"id":"ITEM-1","itemData":{"ISSN":"1020-4989 (Print) 1020-4989","abstract":"OBJECTIVE: To report the prevalence of metabolic syndrome (MetS) as found by the Central American Diabetes Initiative (CAMDI) study for five major Central American populations: Belize (national); Costa Rica (San José); Guatemala (Guatemala City); Honduras (Tegucigalpa); and Nicaragua (Managua). METHODS: Study data on 6 185 adults aged 20 years or older with anthropometric and laboratory determination of MetS from population-based surveys were analyzed. Overall, the survey response rate was 82.0%. MetS prevalence was determined according to criteria from the Adult Treatment Panel III of the National Cholesterol Education Program. The study&amp;#039;s protocol was reviewed and approved by the bioethical committee of each country studied. RESULTS: The overall standardized prevalence of MetS in the Central American region was 30.3% (95% confidence interval (CI): 27.1-33.4). There was wide variability by gender and work conditions, with higher prevalence among females and unpaid workers. The standardized percentage of the population free of any component of MetS was lowest in Costa Rica (9.0%; CI: 6.5-11.4) and highest in Honduras (21.1%; CI: 16.4-25.9). CONCLUSIONS: Overall prevalence of MetS in Central America is high. Strengthening surveillance of chronic diseases and establishing effective programs for preventing cardiovascular diseases might reduce the risk of MetS in Central America. OBJETIVO: Notificar la prevalencia del síndrome metabólico (SMet) observada en el estudio de la Iniciativa Centroamericana de Diabetes (CAMDI) llevado a cabo en cinco importantes poblaciones centroamericanas: Belice (nacional); Costa Rica (San José); Guatemala (Ciudad de Guatemala); Honduras (Tegucigalpa); y Nicaragua (Managua). MÉTODOS: Se analizaron los datos de estudio obtenidos de las encuestas poblacionales dirigidas a 6 185 adultos de 20 años de edad o mayores con determinaciones antropométricas y de laboratorio relativas al SMet. En términos generales, la tasa de respuesta a las encuestas fue de 82,0%. Se determinó la prevalencia del SMet según los criterios del tercer informe del Grupo de Expertos en el Tratamiento de Adultos (Adult Treatment Panel III) del Programa Nacional de Educación sobre el Colesterol. El protocolo del estudio fue examinado y aprobado por el comité de bioética de cada uno de los países incluidos en el estudio. RESULTADOS: La prevalencia general estandarizada del SMet en Centroamérica fue de 30,3% (Intervalo de confianza de 95% (IC): 27,1-33,4). S…","author":[{"dropping-particle":"","family":"Wong-McClure","given":"Roy A","non-dropping-particle":"","parse-names":false,"suffix":""},{"dropping-particle":"","family":"Gregg","given":"Edward W","non-dropping-particle":"","parse-names":false,"suffix":""},{"dropping-particle":"","family":"Barceló","given":"Alberto","non-dropping-particle":"","parse-names":false,"suffix":""},{"dropping-particle":"","family":"Lee","given":"Kahye","non-dropping-particle":"","parse-names":false,"suffix":""},{"dropping-particle":"","family":"Abarca-Gómez","given":"Le","non-dropping-particle":"","parse-names":false,"suffix":""},{"dropping-particle":"","family":"Sanabria-López","given":"Laura","non-dropping-particle":"","parse-names":false,"suffix":""},{"dropping-particle":"","family":"Tortós-Guzmán","given":"Jaime","non-dropping-particle":"","parse-names":false,"suffix":""}],"container-title":"Rev Panam Salud Publica","id":"ITEM-1","issue":"3","issued":{"date-parts":[["2015"]]},"language":"en","page":"202-208","title":"Prevalence of metabolic syndrome in Central America: a cross-sectional population-based study","type":"article-journal","volume":"38"},"uris":["http://www.mendeley.com/documents/?uuid=466c808c-ecb8-4baf-b4d6-369197f44afe"]}],"mendeley":{"formattedCitation":"&lt;sup&gt;11&lt;/sup&gt;","plainTextFormattedCitation":"11","previouslyFormattedCitation":"&lt;sup&gt;11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3BF6FC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5231141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3FDD1EF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1050</w:t>
            </w:r>
          </w:p>
        </w:tc>
        <w:tc>
          <w:tcPr>
            <w:tcW w:w="399" w:type="pct"/>
            <w:tcBorders>
              <w:top w:val="nil"/>
              <w:left w:val="nil"/>
              <w:bottom w:val="single" w:sz="4" w:space="0" w:color="auto"/>
              <w:right w:val="single" w:sz="4" w:space="0" w:color="auto"/>
            </w:tcBorders>
            <w:shd w:val="clear" w:color="auto" w:fill="auto"/>
            <w:noWrap/>
            <w:vAlign w:val="bottom"/>
            <w:hideMark/>
          </w:tcPr>
          <w:p w14:paraId="20F9F97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38.1</w:t>
            </w:r>
          </w:p>
        </w:tc>
        <w:tc>
          <w:tcPr>
            <w:tcW w:w="449" w:type="pct"/>
            <w:tcBorders>
              <w:top w:val="nil"/>
              <w:left w:val="nil"/>
              <w:bottom w:val="single" w:sz="4" w:space="0" w:color="auto"/>
              <w:right w:val="single" w:sz="4" w:space="0" w:color="auto"/>
            </w:tcBorders>
            <w:shd w:val="clear" w:color="auto" w:fill="auto"/>
            <w:noWrap/>
            <w:vAlign w:val="bottom"/>
            <w:hideMark/>
          </w:tcPr>
          <w:p w14:paraId="30E34CB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1B034BE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8835F3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39C99E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6A724E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Costa Rica</w:t>
            </w:r>
          </w:p>
        </w:tc>
        <w:tc>
          <w:tcPr>
            <w:tcW w:w="1053" w:type="pct"/>
            <w:tcBorders>
              <w:top w:val="nil"/>
              <w:left w:val="nil"/>
              <w:bottom w:val="single" w:sz="4" w:space="0" w:color="auto"/>
              <w:right w:val="single" w:sz="4" w:space="0" w:color="auto"/>
            </w:tcBorders>
            <w:shd w:val="clear" w:color="auto" w:fill="auto"/>
            <w:noWrap/>
            <w:vAlign w:val="bottom"/>
            <w:hideMark/>
          </w:tcPr>
          <w:p w14:paraId="753F708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Holst</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{"citationItems":[{"id":"ITEM-1","itemData":{"abstract":"Se estudió el perfil de lípidos y los niveles séricos de homocisteína total de una población de 400 adultos con edades entre 20 y 40 años residentes de áreas rurales y urbanas del valle central de Costa Rica. Los resultados indican que la proporción de sujetos de zona urbana con niveles elevados de LDL-C (= 4,13 mmol/L) fue un 11 por ciento mayor que la proporción de individuos de zona rural (29,2 por ciento y 18,0 por ciento, p=0,045). Por el contrario, la proporción de individuos de zona rural con niveles de HDL-C bajos (&amp;lt; 1,03 mmol/L) fue superior en un 19 por ciento que los sujetos de la zona urbana (56,0 por ciento y 75,3 por ciento, p=0,001). Los adultos rurales también mostraron niveles séricos más altos de triglicéridos y homocisteína total que las personas de origen urbano, aunque las diferencias no mostraron ser significativas (TG: 1,94 mmol/L y 2,02 mmol/L, p=0,529; HT: 9,33 µmol/L y 9,84 µmol/L, p=0,145). La prevalencia total de hiperhomocisteinemia (&amp;gt;15 mmol/L), hipercolesterolemia (= 5,17 mmol/L) e hipertrigliceridemia (= 1,69 mmol/L) en la población estudiada fue 5,8 por ciento; 53,6 por ciento y 50,1 por ciento respectivamente. El 82 por ciento de la población estudiada presentó valores de LDL-C = 2,58 mmol/L y un 61 por ciento aproximadamente de los adultos tenían las HDL-C en niveles inferiores a 1,03 mmol/L. Los datos indican que la población costarricense estudiada presenta un alto riesgo cardiovascular. La prevalencia de niveles bajos de HDL-C (&amp;lt; 1,03 mmol/L), niveles marginales de homocisteína total y una tendencia a presentar niveles altos de triglicéridos fueron los factores de riesgo cardiovascular más característicos encontrados en esta población, principalmente en los individuos de áreas rurales, lo cual podría estar asociado a la calidad de la dieta de los habitantes de estas áreas. Es necesario desarrollar intervenciones efectivas orientadas a promover los estilos de vida saludables en la población con el fin de reducir las...","author":[{"dropping-particle":"","family":"Holst Schumancher","given":"Ileana","non-dropping-particle":"","parse-names":false,"suffix":""},{"dropping-particle":"","family":"Monge Rojas","given":"Rafael","non-dropping-particle":"","parse-names":false,"suffix":""},{"dropping-particle":"","family":"Barrantes Santamaría","given":"Mauro","non-dropping-particle":"","parse-names":false,"suffix":""}],"container-title":"Arch. latinoam. nutr","id":"ITEM-1","issue":"4","issued":{"date-parts":[["2006"]]},"language":"es","page":"335-341","title":"Niveles séricos de homocisteína total y lipoproteínas en adultos jóvenes de áreas rurales y urbanas de Costa Rica","type":"article-journal","volume":"56"},"uris":["http://www.mendeley.com/documents/?uuid=5f93c52f-e768-4eaa-b59e-22a218e4806b"]}],"mendeley":{"formattedCitation":"&lt;sup&gt;101&lt;/sup&gt;","plainTextFormattedCitation":"101","previouslyFormattedCitation":"&lt;sup&gt;101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DCDF21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98" w:type="pct"/>
            <w:tcBorders>
              <w:top w:val="nil"/>
              <w:left w:val="nil"/>
              <w:bottom w:val="single" w:sz="4" w:space="0" w:color="auto"/>
              <w:right w:val="single" w:sz="4" w:space="0" w:color="auto"/>
            </w:tcBorders>
            <w:shd w:val="clear" w:color="auto" w:fill="auto"/>
            <w:noWrap/>
            <w:vAlign w:val="bottom"/>
            <w:hideMark/>
          </w:tcPr>
          <w:p w14:paraId="00CD5BF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2001</w:t>
            </w:r>
          </w:p>
        </w:tc>
        <w:tc>
          <w:tcPr>
            <w:tcW w:w="548" w:type="pct"/>
            <w:tcBorders>
              <w:top w:val="nil"/>
              <w:left w:val="nil"/>
              <w:bottom w:val="single" w:sz="4" w:space="0" w:color="auto"/>
              <w:right w:val="single" w:sz="4" w:space="0" w:color="auto"/>
            </w:tcBorders>
            <w:shd w:val="clear" w:color="auto" w:fill="auto"/>
            <w:noWrap/>
            <w:vAlign w:val="bottom"/>
            <w:hideMark/>
          </w:tcPr>
          <w:p w14:paraId="614DACA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400</w:t>
            </w:r>
          </w:p>
        </w:tc>
        <w:tc>
          <w:tcPr>
            <w:tcW w:w="399" w:type="pct"/>
            <w:tcBorders>
              <w:top w:val="nil"/>
              <w:left w:val="nil"/>
              <w:bottom w:val="single" w:sz="4" w:space="0" w:color="auto"/>
              <w:right w:val="single" w:sz="4" w:space="0" w:color="auto"/>
            </w:tcBorders>
            <w:shd w:val="clear" w:color="auto" w:fill="auto"/>
            <w:noWrap/>
            <w:vAlign w:val="bottom"/>
            <w:hideMark/>
          </w:tcPr>
          <w:p w14:paraId="7BE57D0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w:t>
            </w:r>
          </w:p>
        </w:tc>
        <w:tc>
          <w:tcPr>
            <w:tcW w:w="449" w:type="pct"/>
            <w:tcBorders>
              <w:top w:val="nil"/>
              <w:left w:val="nil"/>
              <w:bottom w:val="single" w:sz="4" w:space="0" w:color="auto"/>
              <w:right w:val="single" w:sz="4" w:space="0" w:color="auto"/>
            </w:tcBorders>
            <w:shd w:val="clear" w:color="auto" w:fill="auto"/>
            <w:noWrap/>
            <w:vAlign w:val="bottom"/>
            <w:hideMark/>
          </w:tcPr>
          <w:p w14:paraId="2DFA4C3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32.5</w:t>
            </w:r>
          </w:p>
        </w:tc>
        <w:tc>
          <w:tcPr>
            <w:tcW w:w="498" w:type="pct"/>
            <w:tcBorders>
              <w:top w:val="nil"/>
              <w:left w:val="nil"/>
              <w:bottom w:val="single" w:sz="4" w:space="0" w:color="auto"/>
              <w:right w:val="single" w:sz="4" w:space="0" w:color="auto"/>
            </w:tcBorders>
            <w:shd w:val="clear" w:color="auto" w:fill="auto"/>
            <w:noWrap/>
            <w:vAlign w:val="bottom"/>
            <w:hideMark/>
          </w:tcPr>
          <w:p w14:paraId="764B79C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88BBB4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D46B945"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9C8866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Costa Rica</w:t>
            </w:r>
          </w:p>
        </w:tc>
        <w:tc>
          <w:tcPr>
            <w:tcW w:w="1053" w:type="pct"/>
            <w:tcBorders>
              <w:top w:val="nil"/>
              <w:left w:val="nil"/>
              <w:bottom w:val="single" w:sz="4" w:space="0" w:color="auto"/>
              <w:right w:val="single" w:sz="4" w:space="0" w:color="auto"/>
            </w:tcBorders>
            <w:shd w:val="clear" w:color="auto" w:fill="auto"/>
            <w:noWrap/>
            <w:vAlign w:val="bottom"/>
            <w:hideMark/>
          </w:tcPr>
          <w:p w14:paraId="3CD9480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Chanti-Ketterl</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{"citationItems":[{"id":"ITEM-1","itemData":{"DOI":"10.1177/0898264317690866","abstract":"Objective: To examine the relationship between total cholesterol (TC), triglycerides (TG), and high-density lipoprotein cholesterol (HDL-C) with disability and physical performance. Method: Wave 1 data were from Costa Rican Longevity and Healthy Aging Study (n = 2,827). Lipoprotein profiles were measured using blood samples. Disability and physical functioning were measured with activities of daily living/instrumental activities of daily living (ADLs/IADLs) and objective assessment of physical performance. Results: Lower HDL-C was associated with greater ADL disability, and lower TC with longer time to pick-a-pencil and Time-Up-Go (TUG) test. Age interacted between (a) TG and lung function, chair stands, and pick-a-pencil, and (b) HDL-C and TUG. Stratification showed lower TG and longer time picking up a pencil only for those above 84 years. Based on significant interactions with sex, lower TC was associated with slower chair stand time in women and higher HDL-C with slower chair stand time in men. Discussion: Lower levels of lipoproteins may suggest worse physical function, but the association may differ by sex.","author":[{"dropping-particle":"","family":"Chanti-Ketterl","given":"Marianne","non-dropping-particle":"","parse-names":false,"suffix":""},{"dropping-particle":"","family":"Gamaldo","given":"Alyssa","non-dropping-particle":"","parse-names":false,"suffix":""},{"dropping-particle":"","family":"Andel","given":"Ross","non-dropping-particle":"","parse-names":false,"suffix":""},{"dropping-particle":"","family":"Thorpe","given":"Roland J","non-dropping-particle":"","parse-names":false,"suffix":""}],"container-title":"Journal of Aging and Health","id":"ITEM-1","issue":"5","issued":{"date-parts":[["2018"]]},"page":"758-777","title":"The Association Between Lipoproteins, Disability, and Physical Function Among Older Costa Rican Adults","type":"article-journal","volume":"30"},"uris":["http://www.mendeley.com/documents/?uuid=25a5b7f7-d26c-490d-af43-cedbe36e0633"]}],"mendeley":{"formattedCitation":"&lt;sup&gt;102&lt;/sup&gt;","plainTextFormattedCitation":"102","previouslyFormattedCitation":"&lt;sup&gt;102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6AD253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6B7A4FD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4E555A8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2677</w:t>
            </w:r>
          </w:p>
        </w:tc>
        <w:tc>
          <w:tcPr>
            <w:tcW w:w="399" w:type="pct"/>
            <w:tcBorders>
              <w:top w:val="nil"/>
              <w:left w:val="nil"/>
              <w:bottom w:val="single" w:sz="4" w:space="0" w:color="auto"/>
              <w:right w:val="single" w:sz="4" w:space="0" w:color="auto"/>
            </w:tcBorders>
            <w:shd w:val="clear" w:color="auto" w:fill="auto"/>
            <w:noWrap/>
            <w:vAlign w:val="bottom"/>
            <w:hideMark/>
          </w:tcPr>
          <w:p w14:paraId="3B7F814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w:t>
            </w:r>
          </w:p>
        </w:tc>
        <w:tc>
          <w:tcPr>
            <w:tcW w:w="449" w:type="pct"/>
            <w:tcBorders>
              <w:top w:val="nil"/>
              <w:left w:val="nil"/>
              <w:bottom w:val="single" w:sz="4" w:space="0" w:color="auto"/>
              <w:right w:val="single" w:sz="4" w:space="0" w:color="auto"/>
            </w:tcBorders>
            <w:shd w:val="clear" w:color="auto" w:fill="auto"/>
            <w:noWrap/>
            <w:vAlign w:val="bottom"/>
            <w:hideMark/>
          </w:tcPr>
          <w:p w14:paraId="25905C0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70.5</w:t>
            </w:r>
          </w:p>
        </w:tc>
        <w:tc>
          <w:tcPr>
            <w:tcW w:w="498" w:type="pct"/>
            <w:tcBorders>
              <w:top w:val="nil"/>
              <w:left w:val="nil"/>
              <w:bottom w:val="single" w:sz="4" w:space="0" w:color="auto"/>
              <w:right w:val="single" w:sz="4" w:space="0" w:color="auto"/>
            </w:tcBorders>
            <w:shd w:val="clear" w:color="auto" w:fill="auto"/>
            <w:noWrap/>
            <w:vAlign w:val="bottom"/>
            <w:hideMark/>
          </w:tcPr>
          <w:p w14:paraId="2E26AE4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1CF9268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F61260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D3E4B7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Costa Rica</w:t>
            </w:r>
          </w:p>
        </w:tc>
        <w:tc>
          <w:tcPr>
            <w:tcW w:w="1053" w:type="pct"/>
            <w:tcBorders>
              <w:top w:val="nil"/>
              <w:left w:val="nil"/>
              <w:bottom w:val="single" w:sz="4" w:space="0" w:color="auto"/>
              <w:right w:val="single" w:sz="4" w:space="0" w:color="auto"/>
            </w:tcBorders>
            <w:shd w:val="clear" w:color="auto" w:fill="auto"/>
            <w:noWrap/>
            <w:vAlign w:val="bottom"/>
            <w:hideMark/>
          </w:tcPr>
          <w:p w14:paraId="19E1949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Campos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{"citationItems":[{"id":"ITEM-1","itemData":{"DOI":"10.1161/01.atv.11.4.1077","abstract":"Increased general and abdominal obesity has been independently associated with diabetes, increased risk of stroke, and coronary artery disease (CAD). It is more prevalent in developed countries and in urban areas of nonindustrialized nations than in less developed and rural areas. To evaluate the associations between general and abdominal obesity (as determined by total body fat, waist to hip ratio, umbilical to triceps ratio, and umbilical to subscapular ratio) with glucose, plasma lipoproteins, apolipoprotein (apo) A-I and B concentrations, and low density lipoprotein (LDL) particle size (LDL 1-7), we randomly selected 222 men and 243 women from rural and urban areas of Puriscal, Costa Rica. Abdominal obesity, as assessed by the waist to hip ratio, was independently and significantly associated with higher triglyceride levels (p&lt;0.01) and with lower high density lipoprotein cholesterol levels (p&lt;0.05) in men and women and with higher glucose levels (p&lt;0.05) and smaller LDL particle size (p&lt;0.01) in women. Abdominal obesity, as assessed by the umbilical to subscapular ratio, was independently and significantly associated with higher total cholesterol (p&lt;0.005) and apo B (p&lt;0.01) levels. Umbilical to triceps ratio was positively associated with blood pressure in men. Urban men had increased general and abdominal obesity (p&lt;0.0001), number of cigarettes smoked per day (p&lt;0.0001), and diastolic blood pressure (p&lt;0.05) and had a decreased fitness level (p&lt;0.0001) as well as higher (p&lt;0.05) plasma glucose, triglyceride, and total cholesterol concentrations and lower (p&lt;0.05) apo A-I and HDL cholesterol levels compared with rural men. The differences between rural and urban women were not as striking. Urban women had increased general and abdominal obesity, glucose, and apo B levels (p&lt;0.05) and a decreased fitness level (p&lt;0.0001). Our data indicate that general and abdominal obesity, increased cigarette smoking, diastolic blood pressure, and decreased fitness level are more prevalent in an urban than in a rural area in Costa Rica, particularly in men. The higher prevalence of such risk factors in the urban area is associated with a more atherogenic plasma lipoprotein profile.","author":[{"dropping-particle":"","family":"Campos","given":"H","non-dropping-particle":"","parse-names":false,"suffix":""},{"dropping-particle":"","family":"Bailey","given":"S M","non-dropping-particle":"","parse-names":false,"suffix":""},{"dropping-particle":"","family":"Gussak","given":"L S","non-dropping-particle":"","parse-names":false,"suffix":""},{"dropping-particle":"","family":"Siles","given":"X","non-dropping-particle":"","parse-names":false,"suffix":""},{"dropping-particle":"","family":"Ordovas","given":"J M","non-dropping-particle":"","parse-names":false,"suffix":""},{"dropping-particle":"","family":"Schaefer","given":"E J","non-dropping-particle":"","parse-names":false,"suffix":""}],"container-title":"Arteriosclerosis and Thrombosis","id":"ITEM-1","issue":"4","issued":{"date-parts":[["1991"]]},"page":"1077-1088","title":"Relations of body habitus, fitness level, and cardiovascular risk factors including lipoproteins and apolipoproteins in a rural and urban Costa Rican population","type":"article-journal","volume":"11"},"uris":["http://www.mendeley.com/documents/?uuid=da34e9eb-c026-4ea1-b6c0-bdcad9764b50"]}],"mendeley":{"formattedCitation":"&lt;sup&gt;100&lt;/sup&gt;","plainTextFormattedCitation":"100","previouslyFormattedCitation":"&lt;sup&gt;100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E0ED49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1991</w:t>
            </w:r>
          </w:p>
        </w:tc>
        <w:tc>
          <w:tcPr>
            <w:tcW w:w="598" w:type="pct"/>
            <w:tcBorders>
              <w:top w:val="nil"/>
              <w:left w:val="nil"/>
              <w:bottom w:val="single" w:sz="4" w:space="0" w:color="auto"/>
              <w:right w:val="single" w:sz="4" w:space="0" w:color="auto"/>
            </w:tcBorders>
            <w:shd w:val="clear" w:color="auto" w:fill="auto"/>
            <w:noWrap/>
            <w:vAlign w:val="bottom"/>
            <w:hideMark/>
          </w:tcPr>
          <w:p w14:paraId="19FFE18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1988</w:t>
            </w:r>
          </w:p>
        </w:tc>
        <w:tc>
          <w:tcPr>
            <w:tcW w:w="548" w:type="pct"/>
            <w:tcBorders>
              <w:top w:val="nil"/>
              <w:left w:val="nil"/>
              <w:bottom w:val="single" w:sz="4" w:space="0" w:color="auto"/>
              <w:right w:val="single" w:sz="4" w:space="0" w:color="auto"/>
            </w:tcBorders>
            <w:shd w:val="clear" w:color="auto" w:fill="auto"/>
            <w:noWrap/>
            <w:vAlign w:val="bottom"/>
            <w:hideMark/>
          </w:tcPr>
          <w:p w14:paraId="087CDFE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376</w:t>
            </w:r>
          </w:p>
        </w:tc>
        <w:tc>
          <w:tcPr>
            <w:tcW w:w="399" w:type="pct"/>
            <w:tcBorders>
              <w:top w:val="nil"/>
              <w:left w:val="nil"/>
              <w:bottom w:val="single" w:sz="4" w:space="0" w:color="auto"/>
              <w:right w:val="single" w:sz="4" w:space="0" w:color="auto"/>
            </w:tcBorders>
            <w:shd w:val="clear" w:color="auto" w:fill="auto"/>
            <w:noWrap/>
            <w:vAlign w:val="bottom"/>
            <w:hideMark/>
          </w:tcPr>
          <w:p w14:paraId="39A74AA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53.72</w:t>
            </w:r>
          </w:p>
        </w:tc>
        <w:tc>
          <w:tcPr>
            <w:tcW w:w="449" w:type="pct"/>
            <w:tcBorders>
              <w:top w:val="nil"/>
              <w:left w:val="nil"/>
              <w:bottom w:val="single" w:sz="4" w:space="0" w:color="auto"/>
              <w:right w:val="single" w:sz="4" w:space="0" w:color="auto"/>
            </w:tcBorders>
            <w:shd w:val="clear" w:color="auto" w:fill="auto"/>
            <w:noWrap/>
            <w:vAlign w:val="bottom"/>
            <w:hideMark/>
          </w:tcPr>
          <w:p w14:paraId="61E8EF4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40.47</w:t>
            </w:r>
          </w:p>
        </w:tc>
        <w:tc>
          <w:tcPr>
            <w:tcW w:w="498" w:type="pct"/>
            <w:tcBorders>
              <w:top w:val="nil"/>
              <w:left w:val="nil"/>
              <w:bottom w:val="single" w:sz="4" w:space="0" w:color="auto"/>
              <w:right w:val="single" w:sz="4" w:space="0" w:color="auto"/>
            </w:tcBorders>
            <w:shd w:val="clear" w:color="auto" w:fill="auto"/>
            <w:noWrap/>
            <w:vAlign w:val="bottom"/>
            <w:hideMark/>
          </w:tcPr>
          <w:p w14:paraId="402FFFC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C74941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A8A77D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CFD53F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Costa Rica</w:t>
            </w:r>
          </w:p>
        </w:tc>
        <w:tc>
          <w:tcPr>
            <w:tcW w:w="1053" w:type="pct"/>
            <w:tcBorders>
              <w:top w:val="nil"/>
              <w:left w:val="nil"/>
              <w:bottom w:val="single" w:sz="4" w:space="0" w:color="auto"/>
              <w:right w:val="single" w:sz="4" w:space="0" w:color="auto"/>
            </w:tcBorders>
            <w:shd w:val="clear" w:color="auto" w:fill="auto"/>
            <w:noWrap/>
            <w:vAlign w:val="bottom"/>
            <w:hideMark/>
          </w:tcPr>
          <w:p w14:paraId="1D8B91E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Rehkopf</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{"citationItems":[{"id":"ITEM-1","itemData":{"ISSN":"1475-2727; 1368-9800","abstract":"OBJECTIVE: There is a large literature linking current BMI to levels of cardiovascular risk biomarkers, but it is unknown whether measures of BMI earlier in the life course and maximum BMI are predictive of current levels of biomarkers. The objective of the current study was to determine how current, maximum and age-25 BMI among individuals over the age of 60 years are associated with their current levels of cardiovascular risk biomarkers., DESIGN: Cross-sectional study with retrospective recall., SETTING: Costa Rica (n 821) and the USA (n 4110)., SUBJECTS: Nationally representative samples of adults aged 60 years or over., RESULTS: We used regression models to examine the relationship between multiple meaures of BMI with four established cardiovascular risk biomarkers. The most consistent predictor of current levels of systolic blood pressure, TAG and HDL-cholesterol was current BMI. However, maximum BMI was the strongest predictor of glycosylated Hb (HbA1c) and was also related to HDL-cholesterol and TAG. HbA1c was independent of current BMI. We found that these relationships are consistent between Costa Rica and the USA for HbA1c and for HDL-cholesterol., CONCLUSIONS: Current levels of cardiovascular risk biomarkers are not only the product of current levels of BMI, but also of maximum lifetime BMI, particularly for levels of HbA1c and for HDL-cholesterol. Managing maximum obtained BMI over the life course may be most critical for maintaining the healthiest levels of cardiovascular risk.","author":[{"dropping-particle":"","family":"Rehkopf","given":"David H","non-dropping-particle":"","parse-names":false,"suffix":""},{"dropping-particle":"","family":"Duong","given":"Andrew","non-dropping-particle":"","parse-names":false,"suffix":""},{"dropping-particle":"","family":"Dow","given":"William H","non-dropping-particle":"","parse-names":false,"suffix":""},{"dropping-particle":"","family":"Rosero-Bixby","given":"Luis","non-dropping-particle":"","parse-names":false,"suffix":""}],"container-title":"Public health nutrition","id":"ITEM-1","issued":{"date-parts":[["2018"]]},"page":"1-10","title":"Life-course BMI and biomarkers in persons aged 60 years or older: a comparison of the USA and Costa Rica","type":"article-journal"},"uris":["http://www.mendeley.com/documents/?uuid=26af64ca-6d54-4e68-995e-eea6794d1230"]}],"mendeley":{"formattedCitation":"&lt;sup&gt;103&lt;/sup&gt;","plainTextFormattedCitation":"103","previouslyFormattedCitation":"&lt;sup&gt;103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E6872E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2018</w:t>
            </w:r>
          </w:p>
        </w:tc>
        <w:tc>
          <w:tcPr>
            <w:tcW w:w="598" w:type="pct"/>
            <w:tcBorders>
              <w:top w:val="nil"/>
              <w:left w:val="nil"/>
              <w:bottom w:val="single" w:sz="4" w:space="0" w:color="auto"/>
              <w:right w:val="single" w:sz="4" w:space="0" w:color="auto"/>
            </w:tcBorders>
            <w:shd w:val="clear" w:color="auto" w:fill="auto"/>
            <w:noWrap/>
            <w:vAlign w:val="bottom"/>
            <w:hideMark/>
          </w:tcPr>
          <w:p w14:paraId="580BEB2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5C49AAC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2827</w:t>
            </w:r>
          </w:p>
        </w:tc>
        <w:tc>
          <w:tcPr>
            <w:tcW w:w="399" w:type="pct"/>
            <w:tcBorders>
              <w:top w:val="nil"/>
              <w:left w:val="nil"/>
              <w:bottom w:val="single" w:sz="4" w:space="0" w:color="auto"/>
              <w:right w:val="single" w:sz="4" w:space="0" w:color="auto"/>
            </w:tcBorders>
            <w:shd w:val="clear" w:color="auto" w:fill="auto"/>
            <w:noWrap/>
            <w:vAlign w:val="bottom"/>
            <w:hideMark/>
          </w:tcPr>
          <w:p w14:paraId="1128C20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47.01</w:t>
            </w:r>
          </w:p>
        </w:tc>
        <w:tc>
          <w:tcPr>
            <w:tcW w:w="449" w:type="pct"/>
            <w:tcBorders>
              <w:top w:val="nil"/>
              <w:left w:val="nil"/>
              <w:bottom w:val="single" w:sz="4" w:space="0" w:color="auto"/>
              <w:right w:val="single" w:sz="4" w:space="0" w:color="auto"/>
            </w:tcBorders>
            <w:shd w:val="clear" w:color="auto" w:fill="auto"/>
            <w:noWrap/>
            <w:vAlign w:val="bottom"/>
            <w:hideMark/>
          </w:tcPr>
          <w:p w14:paraId="63A8291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453D00B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5051508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7E1C953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D258E6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Costa Rica</w:t>
            </w:r>
          </w:p>
        </w:tc>
        <w:tc>
          <w:tcPr>
            <w:tcW w:w="1053" w:type="pct"/>
            <w:tcBorders>
              <w:top w:val="nil"/>
              <w:left w:val="nil"/>
              <w:bottom w:val="single" w:sz="4" w:space="0" w:color="auto"/>
              <w:right w:val="single" w:sz="4" w:space="0" w:color="auto"/>
            </w:tcBorders>
            <w:shd w:val="clear" w:color="auto" w:fill="auto"/>
            <w:noWrap/>
            <w:vAlign w:val="bottom"/>
            <w:hideMark/>
          </w:tcPr>
          <w:p w14:paraId="74D446C6"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Jimenez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{"citationItems":[{"id":"ITEM-1","itemData":{"abstract":"En la Encuesta de Nutrición de Costa Rica de 1982 se determinó la concentración de colesterol y triglicéridos séricos en una muestra de la población adulta costarricense. En este informe se presenta y analiza estos resultados. La muestra fue constituida por 928 hombres y 1091 mujeres con edades comprendidas entre 20 y 59 años y fue represntativa de la población costarricense para ese año. La concentración de colestero (XñSD) fue de 198.8ñ49.2 mg/dl y de 208.0ñ49.2 mg/dl en hombres y mujeres, respectivamente. La concentración de triglicéridos fue mayor en hombres que en mujeres, 140.2ñ126 mg/dl vs 18.2ñ58.2 mg/dl (p - 0.05), respectivamente. Se determinó el porcentaje de personas con cifras de colesterol consideradas como riesgo coronario según los criterios establecidos por el Instituto Nacional de Salud de Estados Unidos. Mediante este análisis, se encontró que el 20 por ciento de colesterol consideradas como de riesgo moderado a alto para el desarrollo de enfermedad coronaria. Este estudio muestra la prevalencia de la concentración de colesterol y triglicéridos séricos en una muestra de la población adulta costarricense en 1982","author":[{"dropping-particle":"","family":"Jiménez M","given":"José G","non-dropping-particle":"","parse-names":false,"suffix":""},{"dropping-particle":"","family":"Castro A","given":"Velia","non-dropping-particle":"","parse-names":false,"suffix":""},{"dropping-particle":"","family":"Piza L","given":"Jorge","non-dropping-particle":"","parse-names":false,"suffix":""},{"dropping-particle":"","family":"Díaz W","given":"Gerardo","non-dropping-particle":"","parse-names":false,"suffix":""},{"dropping-particle":"","family":"Valverde","given":"Porfirio","non-dropping-particle":"","parse-names":false,"suffix":""},{"dropping-particle":"","family":"Díaz A","given":"Carlos","non-dropping-particle":"","parse-names":false,"suffix":""}],"container-title":"Rev Costarric Cienc Med","id":"ITEM-1","issue":"2","issued":{"date-parts":[["1987"]]},"language":"es","page":"89-95","title":"Colesterol y triglicéridos en la población costarricense: interpretación de los resultados obtenidos en la Encuesta Nacional de Nutrición de 1982","type":"article-journal","volume":"8"},"uris":["http://www.mendeley.com/documents/?uuid=9ecc9b15-a72c-4839-be3a-ab0bff52a683"]}],"mendeley":{"formattedCitation":"&lt;sup&gt;104&lt;/sup&gt;","plainTextFormattedCitation":"104","previouslyFormattedCitation":"&lt;sup&gt;104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104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EAC1FD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1987</w:t>
            </w:r>
          </w:p>
        </w:tc>
        <w:tc>
          <w:tcPr>
            <w:tcW w:w="598" w:type="pct"/>
            <w:tcBorders>
              <w:top w:val="nil"/>
              <w:left w:val="nil"/>
              <w:bottom w:val="single" w:sz="4" w:space="0" w:color="auto"/>
              <w:right w:val="single" w:sz="4" w:space="0" w:color="auto"/>
            </w:tcBorders>
            <w:shd w:val="clear" w:color="auto" w:fill="auto"/>
            <w:noWrap/>
            <w:vAlign w:val="bottom"/>
            <w:hideMark/>
          </w:tcPr>
          <w:p w14:paraId="7C4DD24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1982</w:t>
            </w:r>
          </w:p>
        </w:tc>
        <w:tc>
          <w:tcPr>
            <w:tcW w:w="548" w:type="pct"/>
            <w:tcBorders>
              <w:top w:val="nil"/>
              <w:left w:val="nil"/>
              <w:bottom w:val="single" w:sz="4" w:space="0" w:color="auto"/>
              <w:right w:val="single" w:sz="4" w:space="0" w:color="auto"/>
            </w:tcBorders>
            <w:shd w:val="clear" w:color="auto" w:fill="auto"/>
            <w:noWrap/>
            <w:vAlign w:val="bottom"/>
            <w:hideMark/>
          </w:tcPr>
          <w:p w14:paraId="50887B2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2054</w:t>
            </w:r>
          </w:p>
        </w:tc>
        <w:tc>
          <w:tcPr>
            <w:tcW w:w="399" w:type="pct"/>
            <w:tcBorders>
              <w:top w:val="nil"/>
              <w:left w:val="nil"/>
              <w:bottom w:val="single" w:sz="4" w:space="0" w:color="auto"/>
              <w:right w:val="single" w:sz="4" w:space="0" w:color="auto"/>
            </w:tcBorders>
            <w:shd w:val="clear" w:color="auto" w:fill="auto"/>
            <w:noWrap/>
            <w:vAlign w:val="bottom"/>
            <w:hideMark/>
          </w:tcPr>
          <w:p w14:paraId="1EE887B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45.96</w:t>
            </w:r>
          </w:p>
        </w:tc>
        <w:tc>
          <w:tcPr>
            <w:tcW w:w="449" w:type="pct"/>
            <w:tcBorders>
              <w:top w:val="nil"/>
              <w:left w:val="nil"/>
              <w:bottom w:val="single" w:sz="4" w:space="0" w:color="auto"/>
              <w:right w:val="single" w:sz="4" w:space="0" w:color="auto"/>
            </w:tcBorders>
            <w:shd w:val="clear" w:color="auto" w:fill="auto"/>
            <w:noWrap/>
            <w:vAlign w:val="bottom"/>
            <w:hideMark/>
          </w:tcPr>
          <w:p w14:paraId="59AB527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1C86A68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74AF249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11EBFA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9964F4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lastRenderedPageBreak/>
              <w:t>Costa Rica</w:t>
            </w:r>
          </w:p>
        </w:tc>
        <w:tc>
          <w:tcPr>
            <w:tcW w:w="1053" w:type="pct"/>
            <w:tcBorders>
              <w:top w:val="nil"/>
              <w:left w:val="nil"/>
              <w:bottom w:val="single" w:sz="4" w:space="0" w:color="auto"/>
              <w:right w:val="single" w:sz="4" w:space="0" w:color="auto"/>
            </w:tcBorders>
            <w:shd w:val="clear" w:color="auto" w:fill="auto"/>
            <w:noWrap/>
            <w:vAlign w:val="bottom"/>
            <w:hideMark/>
          </w:tcPr>
          <w:p w14:paraId="066B417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Goldman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{"citationItems":[{"id":"ITEM-1","itemData":{"ISSN":"0277-9536","abstract":"Despite a myriad of studies examining the relationship between socioeconomic status and health outcomes, few have assessed the extent to which biological markers of chronic disease account for social disparities in health. Studies that have examined this issue have generally been based on surveys in wealthy countries that include a small set of clinical markers of cardiovascular disease. The availability of recent data from nationally representative surveys of older adults in Costa Rica and Taiwan that collected a rich set of biomarkers comparable to those in a recent US survey permits us to explore these associations across diverse populations. Similar regression models were estimated on three data sets - the Social Environment and Biomarkers of Aging Study in Taiwan, the Costa Rican Study on Longevity and Healthy Aging, and the Health and Retirement Study in the USA - in order to assess (1) the strength of the associations between educational attainment and a broad range of biomarkers; and (2) the extent to which these biomarkers account for the relationships between education and two measures of health status (self-rated health, functional limitations) in older populations. The estimates suggest non-systematic and weak associations between education and high risk biomarker values in Taiwan and Costa Rica, in contrast to generally negative and significant associations in the US, especially among women. The results also reveal negligible or modest contributions of the biomarkers to educational disparities in the health outcomes. The findings are generally consistent with previous research suggesting stronger associations between socioeconomic status and health in wealthy countries than in middle-income countries and may reflect higher levels of social stratification in the US. With access to an increasing number of longitudinal biosocial surveys, researchers may be better able to distinguish true variations in the relationship between socioeconomic status and health across different settings from methodological differences.Copyright A© 2010 Elsevier Ltd. All rights reserved.","author":[{"dropping-particle":"","family":"Goldman","given":"Noreen","non-dropping-particle":"","parse-names":false,"suffix":""},{"dropping-particle":"","family":"Turra","given":"Cassio M","non-dropping-particle":"","parse-names":false,"suffix":""},{"dropping-particle":"","family":"Rosero-Bixby","given":"Luis","non-dropping-particle":"","parse-names":false,"suffix":""},{"dropping-particle":"","family":"Weir","given":"David","non-dropping-particle":"","parse-names":false,"suffix":""},{"dropping-particle":"","family":"Crimmins","given":"Eileen","non-dropping-particle":"","parse-names":false,"suffix":""}],"container-title":"Social science &amp; medicine (1982)","id":"ITEM-1","issue":"2","issued":{"date-parts":[["2011"]]},"page":"307-315","title":"Do biological measures mediate the relationship between education and health: A comparative study","type":"article-journal","volume":"72"},"uris":["http://www.mendeley.com/documents/?uuid=e3483317-9e81-4983-b261-e9d1000cad63"]}],"mendeley":{"formattedCitation":"&lt;sup&gt;105&lt;/sup&gt;","plainTextFormattedCitation":"105","previouslyFormattedCitation":"&lt;sup&gt;105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105</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 xml:space="preserve"> </w:t>
            </w:r>
          </w:p>
        </w:tc>
        <w:tc>
          <w:tcPr>
            <w:tcW w:w="648" w:type="pct"/>
            <w:tcBorders>
              <w:top w:val="nil"/>
              <w:left w:val="nil"/>
              <w:bottom w:val="single" w:sz="4" w:space="0" w:color="auto"/>
              <w:right w:val="single" w:sz="4" w:space="0" w:color="auto"/>
            </w:tcBorders>
            <w:shd w:val="clear" w:color="auto" w:fill="auto"/>
            <w:noWrap/>
            <w:vAlign w:val="bottom"/>
            <w:hideMark/>
          </w:tcPr>
          <w:p w14:paraId="5BBB255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3594031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0A46B78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2827</w:t>
            </w:r>
          </w:p>
        </w:tc>
        <w:tc>
          <w:tcPr>
            <w:tcW w:w="399" w:type="pct"/>
            <w:tcBorders>
              <w:top w:val="nil"/>
              <w:left w:val="nil"/>
              <w:bottom w:val="single" w:sz="4" w:space="0" w:color="auto"/>
              <w:right w:val="single" w:sz="4" w:space="0" w:color="auto"/>
            </w:tcBorders>
            <w:shd w:val="clear" w:color="auto" w:fill="auto"/>
            <w:noWrap/>
            <w:vAlign w:val="bottom"/>
            <w:hideMark/>
          </w:tcPr>
          <w:p w14:paraId="55FBCF1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53.7</w:t>
            </w:r>
          </w:p>
        </w:tc>
        <w:tc>
          <w:tcPr>
            <w:tcW w:w="449" w:type="pct"/>
            <w:tcBorders>
              <w:top w:val="nil"/>
              <w:left w:val="nil"/>
              <w:bottom w:val="single" w:sz="4" w:space="0" w:color="auto"/>
              <w:right w:val="single" w:sz="4" w:space="0" w:color="auto"/>
            </w:tcBorders>
            <w:shd w:val="clear" w:color="auto" w:fill="auto"/>
            <w:noWrap/>
            <w:vAlign w:val="bottom"/>
            <w:hideMark/>
          </w:tcPr>
          <w:p w14:paraId="3845B5A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65557B0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1B5E062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EAF7A63"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3AAB64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Costa Rica</w:t>
            </w:r>
          </w:p>
        </w:tc>
        <w:tc>
          <w:tcPr>
            <w:tcW w:w="1053" w:type="pct"/>
            <w:tcBorders>
              <w:top w:val="nil"/>
              <w:left w:val="nil"/>
              <w:bottom w:val="single" w:sz="4" w:space="0" w:color="auto"/>
              <w:right w:val="single" w:sz="4" w:space="0" w:color="auto"/>
            </w:tcBorders>
            <w:shd w:val="clear" w:color="auto" w:fill="auto"/>
            <w:noWrap/>
            <w:vAlign w:val="bottom"/>
            <w:hideMark/>
          </w:tcPr>
          <w:p w14:paraId="171F37A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Williams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{"citationItems":[{"id":"ITEM-1","itemData":{"ISSN":"1532-1983","abstract":"BACKGROUND &amp; AIMS: Arachidonic acid, a precursor to a series of inflammatory mediators, may contribute to the development of insulin resistance. We examined the association between adipose tissue arachidonic acid and the metabolic syndrome in Costa Rica, a country in which the metabolic syndrome is highly prevalent., METHODS: The 484 study participants each provided a fasting blood sample and an adipose tissue biopsy that was analyzed for fatty acid composition. Criteria for the metabolic syndrome were those established in the Third Report of the National Cholesterol Education Program Expert Panel. The data were analyzed by multivariate logistic regression., RESULTS: Subjects with greater adipose tissue arachidonic acid content had an increasing risk of the metabolic syndrome across quintiles: odds ratio (95% confidence interval), 1.00; 1.51 (0.78-2.91); 2.40 (1.26-4.55); 3.50 (1.84-6.66); and 6.01 (3.11-11.61); test for trend, P&lt;0.0001, after adjustment for age, gender and area of residence. Further adjustment for metabolic risk factors, including adipose fatty acids and body mass index, did not significantly modify the result. Adipose tissue arachidonic acid was also independently associated with abdominal obesity, hypertriglyceridemia, elevated fasting glucose, and high blood pressure., CONCLUSIONS: This study identifies arachidonic acid as an important independent marker of metabolic dysregulation. A better understanding of the role of this fatty acid in the pathogenesis of the metabolic syndrome is warranted.","author":[{"dropping-particle":"","family":"Williams","given":"Eric S","non-dropping-particle":"","parse-names":false,"suffix":""},{"dropping-particle":"","family":"Baylin","given":"Ana","non-dropping-particle":"","parse-names":false,"suffix":""},{"dropping-particle":"","family":"Campos","given":"Hannia","non-dropping-particle":"","parse-names":false,"suffix":""}],"container-title":"Clinical nutrition (Edinburgh, Scotland)","id":"ITEM-1","issue":"4","issued":{"date-parts":[["2007"]]},"page":"474-482","title":"Adipose tissue arachidonic acid and the metabolic syndrome in Costa Rican adults","type":"article-journal","volume":"26"},"uris":["http://www.mendeley.com/documents/?uuid=c5df0bdb-397d-4404-bf4f-848419c38313"]}],"mendeley":{"formattedCitation":"&lt;sup&gt;106&lt;/sup&gt;","plainTextFormattedCitation":"106","previouslyFormattedCitation":"&lt;sup&gt;106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3A7DF8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7A37CB1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1996</w:t>
            </w:r>
          </w:p>
        </w:tc>
        <w:tc>
          <w:tcPr>
            <w:tcW w:w="548" w:type="pct"/>
            <w:tcBorders>
              <w:top w:val="nil"/>
              <w:left w:val="nil"/>
              <w:bottom w:val="single" w:sz="4" w:space="0" w:color="auto"/>
              <w:right w:val="single" w:sz="4" w:space="0" w:color="auto"/>
            </w:tcBorders>
            <w:shd w:val="clear" w:color="auto" w:fill="auto"/>
            <w:noWrap/>
            <w:vAlign w:val="bottom"/>
            <w:hideMark/>
          </w:tcPr>
          <w:p w14:paraId="4976657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484</w:t>
            </w:r>
          </w:p>
        </w:tc>
        <w:tc>
          <w:tcPr>
            <w:tcW w:w="399" w:type="pct"/>
            <w:tcBorders>
              <w:top w:val="nil"/>
              <w:left w:val="nil"/>
              <w:bottom w:val="single" w:sz="4" w:space="0" w:color="auto"/>
              <w:right w:val="single" w:sz="4" w:space="0" w:color="auto"/>
            </w:tcBorders>
            <w:shd w:val="clear" w:color="auto" w:fill="auto"/>
            <w:noWrap/>
            <w:vAlign w:val="bottom"/>
            <w:hideMark/>
          </w:tcPr>
          <w:p w14:paraId="5E205CE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73.46</w:t>
            </w:r>
          </w:p>
        </w:tc>
        <w:tc>
          <w:tcPr>
            <w:tcW w:w="449" w:type="pct"/>
            <w:tcBorders>
              <w:top w:val="nil"/>
              <w:left w:val="nil"/>
              <w:bottom w:val="single" w:sz="4" w:space="0" w:color="auto"/>
              <w:right w:val="single" w:sz="4" w:space="0" w:color="auto"/>
            </w:tcBorders>
            <w:shd w:val="clear" w:color="auto" w:fill="auto"/>
            <w:noWrap/>
            <w:vAlign w:val="bottom"/>
            <w:hideMark/>
          </w:tcPr>
          <w:p w14:paraId="1A97EFD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57.18</w:t>
            </w:r>
          </w:p>
        </w:tc>
        <w:tc>
          <w:tcPr>
            <w:tcW w:w="498" w:type="pct"/>
            <w:tcBorders>
              <w:top w:val="nil"/>
              <w:left w:val="nil"/>
              <w:bottom w:val="single" w:sz="4" w:space="0" w:color="auto"/>
              <w:right w:val="single" w:sz="4" w:space="0" w:color="auto"/>
            </w:tcBorders>
            <w:shd w:val="clear" w:color="auto" w:fill="auto"/>
            <w:noWrap/>
            <w:vAlign w:val="bottom"/>
            <w:hideMark/>
          </w:tcPr>
          <w:p w14:paraId="51D9E01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E77381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4DB35AD3"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CF6EC0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Cuba</w:t>
            </w:r>
          </w:p>
        </w:tc>
        <w:tc>
          <w:tcPr>
            <w:tcW w:w="1053" w:type="pct"/>
            <w:tcBorders>
              <w:top w:val="nil"/>
              <w:left w:val="nil"/>
              <w:bottom w:val="single" w:sz="4" w:space="0" w:color="auto"/>
              <w:right w:val="single" w:sz="4" w:space="0" w:color="auto"/>
            </w:tcBorders>
            <w:shd w:val="clear" w:color="auto" w:fill="auto"/>
            <w:noWrap/>
            <w:vAlign w:val="bottom"/>
            <w:hideMark/>
          </w:tcPr>
          <w:p w14:paraId="47C8932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Salas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Little is known of the epidemiology of diabetes among older people in low and middle income countries. We aimed to study and compare prevalence, social patterning, correlates, detection, treatment and control of diabetes among older people in Latin America, India, China and Nigeria. Methods: Cross-sectional surveys in 13 catchment area sites in nine countries. Diagnosed diabetes was assessed in all sites through self-reported diagnosis. Undiagnosed diabetes was assessed in seven Latin American sites through fasting blood samples (glucose &gt; = 7mmol/L). Results: Total diabetes prevalence in catchment sites in Cuba (prevalence 24.2%, SMR 116), Puerto Rico (43.4%, 197), and urban (27.0%, 125), and rural Mexico (23.7%, 111) already exceeds that in the USA, while that in Venezuela (20.9%, 100) is similar. Diagnosed diabetes prevalence varied very widely, between low prevalences in sites in rural China (0.9%), rural India (6.6%) and Nigeria (6.0%). and 32.1% in Puerto Rico, explained mainly by access to health services. Treatment coverage varied substantially between sites. Diabetes control (40 to 61% of those diagnosed) was modest in the Latin American sites where this was studied. Diabetes was independently associated with less education, but more assets. Hypertension, central obesity and hypertriglyceridaemia, but not hypercholesterolaemia were consistently associated with total diabetes. Conclusions: Diabetes prevalence is already high in most sites. Identifying undiagnosed cases is essential to quantify population burden, particularly in least developed settings where diagnosis is uncommon. Metabolic risk factors and associated lifestyles may play an important part in aetiology, but this requires confirmation with longitudinal data. Given the high prevalence among older people, more population research is indicated to quantify the impact of diabetes, and to monitor the effect of prevention and health system strengthening on prevalence, treatment and control. © 2016 Salas et al. This is an open access article distributed under the terms of the Creative Commons Attribution License, which permits unrestricted use, distribution, and reproduction in any medium, provided the original author and source are credited.","author":[{"dropping-particle":"","family":"Salas","given":"A","non-dropping-particle":"","parse-names":false,"suffix":""},{"dropping-particle":"","family":"Acosta","given":"D","non-dropping-particle":"","parse-names":false,"suffix":""},{"dropping-particle":"","family":"Ferri","given":"C P","non-dropping-particle":"","parse-names":false,"suffix":""},{"dropping-particle":"","family":"Guerra","given":"M","non-dropping-particle":"","parse-names":false,"suffix":""},{"dropping-particle":"","family":"Huang","given":"Y","non-dropping-particle":"","parse-names":false,"suffix":""},{"dropping-particle":"","family":"Jacob","given":"K S","non-dropping-particle":"","parse-names":false,"suffix":""},{"dropping-particle":"","family":"Jimenez-Velazquez","given":"I Z","non-dropping-particle":"","parse-names":false,"suffix":""},{"dropping-particle":"","family":"Llibre Rodriguez","given":"J J","non-dropping-particle":"","parse-names":false,"suffix":""},{"dropping-particle":"","family":"Sosa","given":"A L","non-dropping-particle":"","parse-names":false,"suffix":""},{"dropping-particle":"","family":"Uwakwe","given":"R","non-dropping-particle":"","parse-names":false,"suffix":""},{"dropping-particle":"","family":"Williams","given":"J D","non-dropping-particle":"","parse-names":false,"suffix":""},{"dropping-particle":"","family":"Jotheeswaran","given":"A T","non-dropping-particle":"","parse-names":false,"suffix":""},{"dropping-particle":"","family":"Liu","given":"Z","non-dropping-particle":"","parse-names":false,"suffix":""},{"dropping-particle":"","family":"Lopez Medina","given":"A M","non-dropping-particle":"","parse-names":false,"suffix":""},{"dropping-particle":"","family":"Salinas-Contreras","given":"R M","non-dropping-particle":"","parse-names":false,"suffix":""},{"dropping-particle":"","family":"Prince","given":"M J","non-dropping-particle":"","parse-names":false,"suffix":""}],"container-title":"PLoS ONE","id":"ITEM-1","issue":"2","issued":{"date-parts":[["2016"]]},"title":"The prevalence, correlates, detection and control of diabetes among older people in low and middle income countries. A 10/66 dementia research group population-based survey","type":"article-journal","volume":"11"},"uris":["http://www.mendeley.com/documents/?uuid=96518829-d630-4e18-9544-a9dfb421d147"]}],"mendeley":{"formattedCitation":"&lt;sup&gt;107&lt;/sup&gt;","plainTextFormattedCitation":"107","previouslyFormattedCitation":"&lt;sup&gt;107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4C1AF6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4574099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48" w:type="pct"/>
            <w:tcBorders>
              <w:top w:val="nil"/>
              <w:left w:val="nil"/>
              <w:bottom w:val="single" w:sz="4" w:space="0" w:color="auto"/>
              <w:right w:val="single" w:sz="4" w:space="0" w:color="auto"/>
            </w:tcBorders>
            <w:shd w:val="clear" w:color="auto" w:fill="auto"/>
            <w:noWrap/>
            <w:vAlign w:val="bottom"/>
            <w:hideMark/>
          </w:tcPr>
          <w:p w14:paraId="0FA1D99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2944</w:t>
            </w:r>
          </w:p>
        </w:tc>
        <w:tc>
          <w:tcPr>
            <w:tcW w:w="399" w:type="pct"/>
            <w:tcBorders>
              <w:top w:val="nil"/>
              <w:left w:val="nil"/>
              <w:bottom w:val="single" w:sz="4" w:space="0" w:color="auto"/>
              <w:right w:val="single" w:sz="4" w:space="0" w:color="auto"/>
            </w:tcBorders>
            <w:shd w:val="clear" w:color="auto" w:fill="auto"/>
            <w:noWrap/>
            <w:vAlign w:val="bottom"/>
            <w:hideMark/>
          </w:tcPr>
          <w:p w14:paraId="4F24BAD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w:t>
            </w:r>
          </w:p>
        </w:tc>
        <w:tc>
          <w:tcPr>
            <w:tcW w:w="449" w:type="pct"/>
            <w:tcBorders>
              <w:top w:val="nil"/>
              <w:left w:val="nil"/>
              <w:bottom w:val="single" w:sz="4" w:space="0" w:color="auto"/>
              <w:right w:val="single" w:sz="4" w:space="0" w:color="auto"/>
            </w:tcBorders>
            <w:shd w:val="clear" w:color="auto" w:fill="auto"/>
            <w:noWrap/>
            <w:vAlign w:val="bottom"/>
            <w:hideMark/>
          </w:tcPr>
          <w:p w14:paraId="4F1F924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75.1</w:t>
            </w:r>
          </w:p>
        </w:tc>
        <w:tc>
          <w:tcPr>
            <w:tcW w:w="498" w:type="pct"/>
            <w:tcBorders>
              <w:top w:val="nil"/>
              <w:left w:val="nil"/>
              <w:bottom w:val="single" w:sz="4" w:space="0" w:color="auto"/>
              <w:right w:val="single" w:sz="4" w:space="0" w:color="auto"/>
            </w:tcBorders>
            <w:shd w:val="clear" w:color="auto" w:fill="auto"/>
            <w:noWrap/>
            <w:vAlign w:val="bottom"/>
            <w:hideMark/>
          </w:tcPr>
          <w:p w14:paraId="093CA4E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68E572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079DF5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4B025B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Cuba</w:t>
            </w:r>
          </w:p>
        </w:tc>
        <w:tc>
          <w:tcPr>
            <w:tcW w:w="1053" w:type="pct"/>
            <w:tcBorders>
              <w:top w:val="nil"/>
              <w:left w:val="nil"/>
              <w:bottom w:val="single" w:sz="4" w:space="0" w:color="auto"/>
              <w:right w:val="single" w:sz="4" w:space="0" w:color="auto"/>
            </w:tcBorders>
            <w:shd w:val="clear" w:color="auto" w:fill="auto"/>
            <w:noWrap/>
            <w:vAlign w:val="bottom"/>
            <w:hideMark/>
          </w:tcPr>
          <w:p w14:paraId="24A2FDB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Nordet</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{"citationItems":[{"id":"ITEM-1","itemData":{"ISSN":"1527-3172","abstract":"INTRODUCTION: Over the last decade, total cardiovascular risk assessment and management has been recommended by cardiovascular prevention guidelines in most high-income countries and by WHO. Cardiovascular risk prediction charts have been developed based on multivariate equations of values of some well-known risk factors such as age, sex, smoking, systolic blood pressure and diabetes, including or omitting total blood cholesterol., OBJECTIVE: The objectives of this study were: to determine the distribution of cardiovascular risk in a Cuban population using the WHO/International Society of Hypertension risk prediction charts with and without cholesterol; and to assess applicability of the risk prediction tool without cholesterol in a middle-income country, by evaluating concordance between the two approaches and comparing projected drug requirements resulting from each (at risk thresholds of &gt;=20% and &gt;=30%) and for the single-risk-factor approach., METHODS: From April through December 2008, a cross-sectional study was conducted in 1287 persons (85.8% of the sample selected), aged 40-80 years living in a polyclinic catchment area of Havana, Cuba, based on the protocol and data from a WHO multinational study. The study used the two sets of the WHO and the International Society of Hypertension (WHO/ISH) risk prediction charts, with and without cholesterol. Percentages and means were calculated, as well as prevalence (%) of risk factors. The chi-square test was used to compare means (p &lt;=0.05). Concordance between the two prediction charts was calculated for different risk levels, using the chart with cholesterol as a reference., RESULTS: Using the risk assessment tools with and without cholesterol, 97.1% and 95.4% respectively of the study population were in the ten-year cardiovascular risk category of &lt;20%, while 2.9% and 4.6% respectively were in the category of &gt;=20%. Risk categories were concordant in 88.1% of the population; overestimation was higher among the nonconcordant (136/153). When risk assessment did not include cholesterol, there was 2.6% (34/1287) overestimation of drug requirements and 0.5% (6/1287) underestimation, compared to estimates including cholesterol., CONCLUSION: Total cardiovascular risk assessment using the WHO/ISH charts without cholesterol could be a useful approach to predict cardiovascular risk in settings where cholesterol cannot be measured. This does not introduce overconsumption of drugs, but does enable better targetin…","author":[{"dropping-particle":"","family":"Nordet","given":"Porfirio","non-dropping-particle":"","parse-names":false,"suffix":""},{"dropping-particle":"","family":"Mendis","given":"Shanthi","non-dropping-particle":"","parse-names":false,"suffix":""},{"dropping-particle":"","family":"Duenas","given":"Alfredo","non-dropping-particle":"","parse-names":false,"suffix":""},{"dropping-particle":"","family":"la Noval","given":"Reinaldo","non-dropping-particle":"de","parse-names":false,"suffix":""},{"dropping-particle":"","family":"Armas","given":"Nurys","non-dropping-particle":"","parse-names":false,"suffix":""},{"dropping-particle":"","family":"la Noval","given":"Ismael L","non-dropping-particle":"de","parse-names":false,"suffix":""},{"dropping-particle":"","family":"Pupo","given":"Hilda","non-dropping-particle":"","parse-names":false,"suffix":""}],"container-title":"MEDICC review","id":"ITEM-1","issue":"4","issued":{"date-parts":[["2013"]]},"page":"36-40","title":"Total cardiovascular risk assessment and management using two prediction tools, with and without blood cholesterol","type":"article-journal","volume":"15"},"uris":["http://www.mendeley.com/documents/?uuid=2dd66a04-2b90-4c67-8139-c75b67cd644c"]}],"mendeley":{"formattedCitation":"&lt;sup&gt;108&lt;/sup&gt;","plainTextFormattedCitation":"108","previouslyFormattedCitation":"&lt;sup&gt;108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BEC76F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599C32D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5856ADB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1287</w:t>
            </w:r>
          </w:p>
        </w:tc>
        <w:tc>
          <w:tcPr>
            <w:tcW w:w="399" w:type="pct"/>
            <w:tcBorders>
              <w:top w:val="nil"/>
              <w:left w:val="nil"/>
              <w:bottom w:val="single" w:sz="4" w:space="0" w:color="auto"/>
              <w:right w:val="single" w:sz="4" w:space="0" w:color="auto"/>
            </w:tcBorders>
            <w:shd w:val="clear" w:color="auto" w:fill="auto"/>
            <w:noWrap/>
            <w:vAlign w:val="bottom"/>
            <w:hideMark/>
          </w:tcPr>
          <w:p w14:paraId="1053BA0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35.1</w:t>
            </w:r>
          </w:p>
        </w:tc>
        <w:tc>
          <w:tcPr>
            <w:tcW w:w="449" w:type="pct"/>
            <w:tcBorders>
              <w:top w:val="nil"/>
              <w:left w:val="nil"/>
              <w:bottom w:val="single" w:sz="4" w:space="0" w:color="auto"/>
              <w:right w:val="single" w:sz="4" w:space="0" w:color="auto"/>
            </w:tcBorders>
            <w:shd w:val="clear" w:color="auto" w:fill="auto"/>
            <w:noWrap/>
            <w:vAlign w:val="bottom"/>
            <w:hideMark/>
          </w:tcPr>
          <w:p w14:paraId="7715336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54.9</w:t>
            </w:r>
          </w:p>
        </w:tc>
        <w:tc>
          <w:tcPr>
            <w:tcW w:w="498" w:type="pct"/>
            <w:tcBorders>
              <w:top w:val="nil"/>
              <w:left w:val="nil"/>
              <w:bottom w:val="single" w:sz="4" w:space="0" w:color="auto"/>
              <w:right w:val="single" w:sz="4" w:space="0" w:color="auto"/>
            </w:tcBorders>
            <w:shd w:val="clear" w:color="auto" w:fill="auto"/>
            <w:noWrap/>
            <w:vAlign w:val="bottom"/>
            <w:hideMark/>
          </w:tcPr>
          <w:p w14:paraId="0361D67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B6DDB1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5EA84B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E7AB17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Dominica</w:t>
            </w:r>
          </w:p>
        </w:tc>
        <w:tc>
          <w:tcPr>
            <w:tcW w:w="1053" w:type="pct"/>
            <w:tcBorders>
              <w:top w:val="nil"/>
              <w:left w:val="nil"/>
              <w:bottom w:val="single" w:sz="4" w:space="0" w:color="auto"/>
              <w:right w:val="single" w:sz="4" w:space="0" w:color="auto"/>
            </w:tcBorders>
            <w:shd w:val="clear" w:color="auto" w:fill="auto"/>
            <w:noWrap/>
            <w:vAlign w:val="bottom"/>
            <w:hideMark/>
          </w:tcPr>
          <w:p w14:paraId="43F8569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Robinson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{"citationItems":[{"id":"ITEM-1","itemData":{"abstract":"Population blood pressure variation is most likely due to multiple genes. This is likely the reason why monogenic testing with the angiotensinogen (AGT) gene polymorphisms on chromosome 1 (1q42-43), especially M235T, has met with negative results, especially in those of African descent. The RH blood group system, also on chromosome 1 (1 p36.2-34), has likewise been associated with blood pressure variation in African-Americans and with the rise in blood pressure with age in whites. Using a random sample of the population, we investigated the combined effects of single and combined variation of the AGTN M235T and RH genotypes on blood pressure, lipids, and lipoprotein concentrations in Afro-Caribbeans aged 18-60 years from the island nation of Dominica. In monogenic analysis, AGT M235T was not associated with blood pressure. However, it was associated with HDL (MM 42+/-23, MT 44+/-12, TT 52+/-14 (P=0.002)). RH genotype was significantly associated with systolic blood pressure (P=0.006) and Apo-A (P=0.003). These effects remained after adjustment for age, gender, weight, and BMI. In the polygenetic analysis, AGT M235T and RH were significantly associated with systolic blood pressure (P=0.037; interaction effects, P=0.068). The association of the AGT M235T with blood pressure across RH blood group haplotypes was then tested. Of the five RH haplotypes available for analysis, the AGT M235T was significantly associated with blood pressure within the \"D\" haplotype (P=0.01). The RH blood group and gender were significantly associated with systolic blood pressure and Apo-A levels (P=0.005 and 0.012, respectively). All interactions were independent of age and weight. In conclusion, we demonstrate a significant association of AGT M235T with blood pressure and cholesterol metabolism in an Afro-Caribbean population in the \"genetic context\" of the RH blood group system. Further investigation of these interactions may help understand the effects of genetic factors on cardiovascular risk in African-derived and other populations.","author":[{"dropping-particle":"","family":"Robinson","given":"M T","non-dropping-particle":"","parse-names":false,"suffix":""},{"dropping-particle":"","family":"Wilson","given":"T W","non-dropping-particle":"","parse-names":false,"suffix":""},{"dropping-particle":"","family":"Nicholson","given":"G A","non-dropping-particle":"","parse-names":false,"suffix":""},{"dropping-particle":"","family":"Grell","given":"G A C","non-dropping-particle":"","parse-names":false,"suffix":""},{"dropping-particle":"","family":"Etienne","given":"C","non-dropping-particle":"","parse-names":false,"suffix":""},{"dropping-particle":"","family":"Grim","given":"C M","non-dropping-particle":"","parse-names":false,"suffix":""},{"dropping-particle":"","family":"Wilson","given":"D","non-dropping-particle":"","parse-names":false,"suffix":""},{"dropping-particle":"","family":"Grim","given":"C E","non-dropping-particle":"","parse-names":false,"suffix":""}],"container-title":"Journal of human hypertension","id":"ITEM-1","issue":"5","issued":{"date-parts":[["2004"]]},"page":"351-363","title":"AGT and RH blood group polymorphisms affect blood pressure and lipids in Afro-Caribbeans","type":"article-journal","volume":"18"},"uris":["http://www.mendeley.com/documents/?uuid=5de67084-8c95-4954-8446-3b7b5b2c8957"]}],"mendeley":{"formattedCitation":"&lt;sup&gt;109&lt;/sup&gt;","plainTextFormattedCitation":"109","previouslyFormattedCitation":"&lt;sup&gt;109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91F9A1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98" w:type="pct"/>
            <w:tcBorders>
              <w:top w:val="nil"/>
              <w:left w:val="nil"/>
              <w:bottom w:val="single" w:sz="4" w:space="0" w:color="auto"/>
              <w:right w:val="single" w:sz="4" w:space="0" w:color="auto"/>
            </w:tcBorders>
            <w:shd w:val="clear" w:color="auto" w:fill="auto"/>
            <w:noWrap/>
            <w:vAlign w:val="bottom"/>
            <w:hideMark/>
          </w:tcPr>
          <w:p w14:paraId="3C66D15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4F7931B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211</w:t>
            </w:r>
          </w:p>
        </w:tc>
        <w:tc>
          <w:tcPr>
            <w:tcW w:w="399" w:type="pct"/>
            <w:tcBorders>
              <w:top w:val="nil"/>
              <w:left w:val="nil"/>
              <w:bottom w:val="single" w:sz="4" w:space="0" w:color="auto"/>
              <w:right w:val="single" w:sz="4" w:space="0" w:color="auto"/>
            </w:tcBorders>
            <w:shd w:val="clear" w:color="auto" w:fill="auto"/>
            <w:noWrap/>
            <w:vAlign w:val="bottom"/>
            <w:hideMark/>
          </w:tcPr>
          <w:p w14:paraId="777648F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w:t>
            </w:r>
          </w:p>
        </w:tc>
        <w:tc>
          <w:tcPr>
            <w:tcW w:w="449" w:type="pct"/>
            <w:tcBorders>
              <w:top w:val="nil"/>
              <w:left w:val="nil"/>
              <w:bottom w:val="single" w:sz="4" w:space="0" w:color="auto"/>
              <w:right w:val="single" w:sz="4" w:space="0" w:color="auto"/>
            </w:tcBorders>
            <w:shd w:val="clear" w:color="auto" w:fill="auto"/>
            <w:noWrap/>
            <w:vAlign w:val="bottom"/>
            <w:hideMark/>
          </w:tcPr>
          <w:p w14:paraId="0FDB4BF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34.9</w:t>
            </w:r>
          </w:p>
        </w:tc>
        <w:tc>
          <w:tcPr>
            <w:tcW w:w="498" w:type="pct"/>
            <w:tcBorders>
              <w:top w:val="nil"/>
              <w:left w:val="nil"/>
              <w:bottom w:val="single" w:sz="4" w:space="0" w:color="auto"/>
              <w:right w:val="single" w:sz="4" w:space="0" w:color="auto"/>
            </w:tcBorders>
            <w:shd w:val="clear" w:color="auto" w:fill="auto"/>
            <w:noWrap/>
            <w:vAlign w:val="bottom"/>
            <w:hideMark/>
          </w:tcPr>
          <w:p w14:paraId="6AFDD07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2632621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5FE9A7E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0F34C2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Dominican Republic</w:t>
            </w:r>
          </w:p>
        </w:tc>
        <w:tc>
          <w:tcPr>
            <w:tcW w:w="1053" w:type="pct"/>
            <w:tcBorders>
              <w:top w:val="nil"/>
              <w:left w:val="nil"/>
              <w:bottom w:val="single" w:sz="4" w:space="0" w:color="auto"/>
              <w:right w:val="single" w:sz="4" w:space="0" w:color="auto"/>
            </w:tcBorders>
            <w:shd w:val="clear" w:color="auto" w:fill="auto"/>
            <w:noWrap/>
            <w:vAlign w:val="bottom"/>
            <w:hideMark/>
          </w:tcPr>
          <w:p w14:paraId="50BE74E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Aono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{"citationItems":[{"id":"ITEM-1","itemData":{"author":[{"dropping-particle":"","family":"Aono","given":"Hiroshi","non-dropping-particle":"","parse-names":false,"suffix":""}],"id":"ITEM-1","issued":{"date-parts":[["1999"]]},"page":"64-70","title":"Lipoprotein(a) Concentrations in Healthy Subjects in the Dominican Republic","type":"article"},"uris":["http://www.mendeley.com/documents/?uuid=4f638f89-8d05-422a-aaf1-5623346936df"]}],"mendeley":{"formattedCitation":"&lt;sup&gt;110&lt;/sup&gt;","plainTextFormattedCitation":"110","previouslyFormattedCitation":"&lt;sup&gt;110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598775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1999</w:t>
            </w:r>
          </w:p>
        </w:tc>
        <w:tc>
          <w:tcPr>
            <w:tcW w:w="598" w:type="pct"/>
            <w:tcBorders>
              <w:top w:val="nil"/>
              <w:left w:val="nil"/>
              <w:bottom w:val="single" w:sz="4" w:space="0" w:color="auto"/>
              <w:right w:val="single" w:sz="4" w:space="0" w:color="auto"/>
            </w:tcBorders>
            <w:shd w:val="clear" w:color="auto" w:fill="auto"/>
            <w:noWrap/>
            <w:vAlign w:val="bottom"/>
            <w:hideMark/>
          </w:tcPr>
          <w:p w14:paraId="3528581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1993</w:t>
            </w:r>
          </w:p>
        </w:tc>
        <w:tc>
          <w:tcPr>
            <w:tcW w:w="548" w:type="pct"/>
            <w:tcBorders>
              <w:top w:val="nil"/>
              <w:left w:val="nil"/>
              <w:bottom w:val="single" w:sz="4" w:space="0" w:color="auto"/>
              <w:right w:val="single" w:sz="4" w:space="0" w:color="auto"/>
            </w:tcBorders>
            <w:shd w:val="clear" w:color="auto" w:fill="auto"/>
            <w:noWrap/>
            <w:vAlign w:val="bottom"/>
            <w:hideMark/>
          </w:tcPr>
          <w:p w14:paraId="67C86FB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1893</w:t>
            </w:r>
          </w:p>
        </w:tc>
        <w:tc>
          <w:tcPr>
            <w:tcW w:w="399" w:type="pct"/>
            <w:tcBorders>
              <w:top w:val="nil"/>
              <w:left w:val="nil"/>
              <w:bottom w:val="single" w:sz="4" w:space="0" w:color="auto"/>
              <w:right w:val="single" w:sz="4" w:space="0" w:color="auto"/>
            </w:tcBorders>
            <w:shd w:val="clear" w:color="auto" w:fill="auto"/>
            <w:noWrap/>
            <w:vAlign w:val="bottom"/>
            <w:hideMark/>
          </w:tcPr>
          <w:p w14:paraId="0F7318B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40.09</w:t>
            </w:r>
          </w:p>
        </w:tc>
        <w:tc>
          <w:tcPr>
            <w:tcW w:w="449" w:type="pct"/>
            <w:tcBorders>
              <w:top w:val="nil"/>
              <w:left w:val="nil"/>
              <w:bottom w:val="single" w:sz="4" w:space="0" w:color="auto"/>
              <w:right w:val="single" w:sz="4" w:space="0" w:color="auto"/>
            </w:tcBorders>
            <w:shd w:val="clear" w:color="auto" w:fill="auto"/>
            <w:noWrap/>
            <w:vAlign w:val="bottom"/>
            <w:hideMark/>
          </w:tcPr>
          <w:p w14:paraId="4D87549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36.3</w:t>
            </w:r>
          </w:p>
        </w:tc>
        <w:tc>
          <w:tcPr>
            <w:tcW w:w="498" w:type="pct"/>
            <w:tcBorders>
              <w:top w:val="nil"/>
              <w:left w:val="nil"/>
              <w:bottom w:val="single" w:sz="4" w:space="0" w:color="auto"/>
              <w:right w:val="single" w:sz="4" w:space="0" w:color="auto"/>
            </w:tcBorders>
            <w:shd w:val="clear" w:color="auto" w:fill="auto"/>
            <w:noWrap/>
            <w:vAlign w:val="bottom"/>
            <w:hideMark/>
          </w:tcPr>
          <w:p w14:paraId="5BC5A66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488CE2E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755A2339"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1DC6AD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Dominican Republic</w:t>
            </w:r>
          </w:p>
        </w:tc>
        <w:tc>
          <w:tcPr>
            <w:tcW w:w="1053" w:type="pct"/>
            <w:tcBorders>
              <w:top w:val="nil"/>
              <w:left w:val="nil"/>
              <w:bottom w:val="single" w:sz="4" w:space="0" w:color="auto"/>
              <w:right w:val="single" w:sz="4" w:space="0" w:color="auto"/>
            </w:tcBorders>
            <w:shd w:val="clear" w:color="auto" w:fill="auto"/>
            <w:noWrap/>
            <w:vAlign w:val="bottom"/>
            <w:hideMark/>
          </w:tcPr>
          <w:p w14:paraId="1FFCA7D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Salas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Little is known of the epidemiology of diabetes among older people in low and middle income countries. We aimed to study and compare prevalence, social patterning, correlates, detection, treatment and control of diabetes among older people in Latin America, India, China and Nigeria. Methods: Cross-sectional surveys in 13 catchment area sites in nine countries. Diagnosed diabetes was assessed in all sites through self-reported diagnosis. Undiagnosed diabetes was assessed in seven Latin American sites through fasting blood samples (glucose &gt; = 7mmol/L). Results: Total diabetes prevalence in catchment sites in Cuba (prevalence 24.2%, SMR 116), Puerto Rico (43.4%, 197), and urban (27.0%, 125), and rural Mexico (23.7%, 111) already exceeds that in the USA, while that in Venezuela (20.9%, 100) is similar. Diagnosed diabetes prevalence varied very widely, between low prevalences in sites in rural China (0.9%), rural India (6.6%) and Nigeria (6.0%). and 32.1% in Puerto Rico, explained mainly by access to health services. Treatment coverage varied substantially between sites. Diabetes control (40 to 61% of those diagnosed) was modest in the Latin American sites where this was studied. Diabetes was independently associated with less education, but more assets. Hypertension, central obesity and hypertriglyceridaemia, but not hypercholesterolaemia were consistently associated with total diabetes. Conclusions: Diabetes prevalence is already high in most sites. Identifying undiagnosed cases is essential to quantify population burden, particularly in least developed settings where diagnosis is uncommon. Metabolic risk factors and associated lifestyles may play an important part in aetiology, but this requires confirmation with longitudinal data. Given the high prevalence among older people, more population research is indicated to quantify the impact of diabetes, and to monitor the effect of prevention and health system strengthening on prevalence, treatment and control. © 2016 Salas et al. This is an open access article distributed under the terms of the Creative Commons Attribution License, which permits unrestricted use, distribution, and reproduction in any medium, provided the original author and source are credited.","author":[{"dropping-particle":"","family":"Salas","given":"A","non-dropping-particle":"","parse-names":false,"suffix":""},{"dropping-particle":"","family":"Acosta","given":"D","non-dropping-particle":"","parse-names":false,"suffix":""},{"dropping-particle":"","family":"Ferri","given":"C P","non-dropping-particle":"","parse-names":false,"suffix":""},{"dropping-particle":"","family":"Guerra","given":"M","non-dropping-particle":"","parse-names":false,"suffix":""},{"dropping-particle":"","family":"Huang","given":"Y","non-dropping-particle":"","parse-names":false,"suffix":""},{"dropping-particle":"","family":"Jacob","given":"K S","non-dropping-particle":"","parse-names":false,"suffix":""},{"dropping-particle":"","family":"Jimenez-Velazquez","given":"I Z","non-dropping-particle":"","parse-names":false,"suffix":""},{"dropping-particle":"","family":"Llibre Rodriguez","given":"J J","non-dropping-particle":"","parse-names":false,"suffix":""},{"dropping-particle":"","family":"Sosa","given":"A L","non-dropping-particle":"","parse-names":false,"suffix":""},{"dropping-particle":"","family":"Uwakwe","given":"R","non-dropping-particle":"","parse-names":false,"suffix":""},{"dropping-particle":"","family":"Williams","given":"J D","non-dropping-particle":"","parse-names":false,"suffix":""},{"dropping-particle":"","family":"Jotheeswaran","given":"A T","non-dropping-particle":"","parse-names":false,"suffix":""},{"dropping-particle":"","family":"Liu","given":"Z","non-dropping-particle":"","parse-names":false,"suffix":""},{"dropping-particle":"","family":"Lopez Medina","given":"A M","non-dropping-particle":"","parse-names":false,"suffix":""},{"dropping-particle":"","family":"Salinas-Contreras","given":"R M","non-dropping-particle":"","parse-names":false,"suffix":""},{"dropping-particle":"","family":"Prince","given":"M J","non-dropping-particle":"","parse-names":false,"suffix":""}],"container-title":"PLoS ONE","id":"ITEM-1","issue":"2","issued":{"date-parts":[["2016"]]},"title":"The prevalence, correlates, detection and control of diabetes among older people in low and middle income countries. A 10/66 dementia research group population-based survey","type":"article-journal","volume":"11"},"uris":["http://www.mendeley.com/documents/?uuid=96518829-d630-4e18-9544-a9dfb421d147"]}],"mendeley":{"formattedCitation":"&lt;sup&gt;107&lt;/sup&gt;","plainTextFormattedCitation":"107","previouslyFormattedCitation":"&lt;sup&gt;107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ABF606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5AE2614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39BBB9E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399" w:type="pct"/>
            <w:tcBorders>
              <w:top w:val="nil"/>
              <w:left w:val="nil"/>
              <w:bottom w:val="single" w:sz="4" w:space="0" w:color="auto"/>
              <w:right w:val="single" w:sz="4" w:space="0" w:color="auto"/>
            </w:tcBorders>
            <w:shd w:val="clear" w:color="auto" w:fill="auto"/>
            <w:noWrap/>
            <w:vAlign w:val="bottom"/>
            <w:hideMark/>
          </w:tcPr>
          <w:p w14:paraId="71D811E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34.1</w:t>
            </w:r>
          </w:p>
        </w:tc>
        <w:tc>
          <w:tcPr>
            <w:tcW w:w="449" w:type="pct"/>
            <w:tcBorders>
              <w:top w:val="nil"/>
              <w:left w:val="nil"/>
              <w:bottom w:val="single" w:sz="4" w:space="0" w:color="auto"/>
              <w:right w:val="single" w:sz="4" w:space="0" w:color="auto"/>
            </w:tcBorders>
            <w:shd w:val="clear" w:color="auto" w:fill="auto"/>
            <w:noWrap/>
            <w:vAlign w:val="bottom"/>
            <w:hideMark/>
          </w:tcPr>
          <w:p w14:paraId="0933F19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75.3</w:t>
            </w:r>
          </w:p>
        </w:tc>
        <w:tc>
          <w:tcPr>
            <w:tcW w:w="498" w:type="pct"/>
            <w:tcBorders>
              <w:top w:val="nil"/>
              <w:left w:val="nil"/>
              <w:bottom w:val="single" w:sz="4" w:space="0" w:color="auto"/>
              <w:right w:val="single" w:sz="4" w:space="0" w:color="auto"/>
            </w:tcBorders>
            <w:shd w:val="clear" w:color="auto" w:fill="auto"/>
            <w:noWrap/>
            <w:vAlign w:val="bottom"/>
            <w:hideMark/>
          </w:tcPr>
          <w:p w14:paraId="28C6D39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EB01D1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38CF446"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E06306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Dominican Republic</w:t>
            </w:r>
          </w:p>
        </w:tc>
        <w:tc>
          <w:tcPr>
            <w:tcW w:w="1053" w:type="pct"/>
            <w:tcBorders>
              <w:top w:val="nil"/>
              <w:left w:val="nil"/>
              <w:bottom w:val="single" w:sz="4" w:space="0" w:color="auto"/>
              <w:right w:val="single" w:sz="4" w:space="0" w:color="auto"/>
            </w:tcBorders>
            <w:shd w:val="clear" w:color="auto" w:fill="auto"/>
            <w:noWrap/>
            <w:vAlign w:val="bottom"/>
            <w:hideMark/>
          </w:tcPr>
          <w:p w14:paraId="6E7AB7A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Dong</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{"citationItems":[{"id":"ITEM-1","itemData":{"DOI":"10.1194/jlr.P013672","abstract":"To identify genetic loci influencing blood lipid levels in Caribbean Hispanics, we first conducted a genomewide linkage scan in 1,211 subjects from 100 Dominican families on five lipid quantitative traits: total cholesterol (TC), low density lipoprotein cholesterol (LDL-C), high density lipoprotein cholesterol (HDL-C), triglycerides (TG), and LDL-C/HDL-C ratio. We then investigated the association between blood lipid levels and 21,361 single nucleotide polymorphisms (SNP) under the 1-logarithm of odds (LOD) unit down regions of linkage peaks in an independent community-based subcohort (N = 814, 42% Dominican) from the Northern Manhattan Study (NOMAS). We found signifi-cant linkage evidence for LDL-C/HDL-C on 7p12 (multipoint LOD = 3.91) and for TC on 16q23 (LOD = 3.35). In addition, we identified suggestive linkage evidence of LOD &gt; 2.0 on 15q23 for TG, 16q23 for LDL-C, 19q12 for TC and LDL-C, and 20p12 for LDL-C. In the association analysis of the linkage peaks, we found that seven SNPs near FLJ45974 were associated with LDL-C/HDL-C with a nominal P &lt; 3.5 × 10-5, in addition to associations ( P &lt; 0.0001) for other lipid traits with SNPs in or near CDH13, SUMF2, TLE3, FAH, ARNT2, TSHZ3, ZNF343, RPL7AL2, and TMC3. Further studies are warranted to perform in-depth investigations of functional genetic variants in these regions.","author":[{"dropping-particle":"","family":"Dong","given":"Chuanhui","non-dropping-particle":"","parse-names":false,"suffix":""},{"dropping-particle":"","family":"Beecham","given":"Ashley","non-dropping-particle":"","parse-names":false,"suffix":""},{"dropping-particle":"","family":"Wang","given":"Liyong","non-dropping-particle":"","parse-names":false,"suffix":""},{"dropping-particle":"","family":"Slifer","given":"Susan","non-dropping-particle":"","parse-names":false,"suffix":""},{"dropping-particle":"","family":"Wright","given":"Clinton B","non-dropping-particle":"","parse-names":false,"suffix":""},{"dropping-particle":"","family":"Blanton","given":"Susan H","non-dropping-particle":"","parse-names":false,"suffix":""},{"dropping-particle":"","family":"Rundek","given":"Tatjana","non-dropping-particle":"","parse-names":false,"suffix":""},{"dropping-particle":"","family":"Sacco","given":"Ralph L","non-dropping-particle":"","parse-names":false,"suffix":""}],"container-title":"Journal of Lipid Research","id":"ITEM-1","issue":"7","issued":{"date-parts":[["2011"]]},"page":"1411-1419","title":"Genetic loci for blood lipid levels identified by linkage and association analyses in Caribbean Hispanics","type":"article-journal","volume":"52"},"uris":["http://www.mendeley.com/documents/?uuid=c878659e-0f91-4607-b6fb-cb13cce4c794"]}],"mendeley":{"formattedCitation":"&lt;sup&gt;111&lt;/sup&gt;","plainTextFormattedCitation":"111","previouslyFormattedCitation":"&lt;sup&gt;111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4E4674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795AA79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1997</w:t>
            </w:r>
          </w:p>
        </w:tc>
        <w:tc>
          <w:tcPr>
            <w:tcW w:w="548" w:type="pct"/>
            <w:tcBorders>
              <w:top w:val="nil"/>
              <w:left w:val="nil"/>
              <w:bottom w:val="single" w:sz="4" w:space="0" w:color="auto"/>
              <w:right w:val="single" w:sz="4" w:space="0" w:color="auto"/>
            </w:tcBorders>
            <w:shd w:val="clear" w:color="auto" w:fill="auto"/>
            <w:noWrap/>
            <w:vAlign w:val="bottom"/>
            <w:hideMark/>
          </w:tcPr>
          <w:p w14:paraId="25DC50D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1211</w:t>
            </w:r>
          </w:p>
        </w:tc>
        <w:tc>
          <w:tcPr>
            <w:tcW w:w="399" w:type="pct"/>
            <w:tcBorders>
              <w:top w:val="nil"/>
              <w:left w:val="nil"/>
              <w:bottom w:val="single" w:sz="4" w:space="0" w:color="auto"/>
              <w:right w:val="single" w:sz="4" w:space="0" w:color="auto"/>
            </w:tcBorders>
            <w:shd w:val="clear" w:color="auto" w:fill="auto"/>
            <w:noWrap/>
            <w:vAlign w:val="bottom"/>
            <w:hideMark/>
          </w:tcPr>
          <w:p w14:paraId="1016A4E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w:t>
            </w:r>
          </w:p>
        </w:tc>
        <w:tc>
          <w:tcPr>
            <w:tcW w:w="449" w:type="pct"/>
            <w:tcBorders>
              <w:top w:val="nil"/>
              <w:left w:val="nil"/>
              <w:bottom w:val="single" w:sz="4" w:space="0" w:color="auto"/>
              <w:right w:val="single" w:sz="4" w:space="0" w:color="auto"/>
            </w:tcBorders>
            <w:shd w:val="clear" w:color="auto" w:fill="auto"/>
            <w:noWrap/>
            <w:vAlign w:val="bottom"/>
            <w:hideMark/>
          </w:tcPr>
          <w:p w14:paraId="4FC1B08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44.1</w:t>
            </w:r>
          </w:p>
        </w:tc>
        <w:tc>
          <w:tcPr>
            <w:tcW w:w="498" w:type="pct"/>
            <w:tcBorders>
              <w:top w:val="nil"/>
              <w:left w:val="nil"/>
              <w:bottom w:val="single" w:sz="4" w:space="0" w:color="auto"/>
              <w:right w:val="single" w:sz="4" w:space="0" w:color="auto"/>
            </w:tcBorders>
            <w:shd w:val="clear" w:color="auto" w:fill="auto"/>
            <w:noWrap/>
            <w:vAlign w:val="bottom"/>
            <w:hideMark/>
          </w:tcPr>
          <w:p w14:paraId="549DE6C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8AA97C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20389E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183F28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Ecuador</w:t>
            </w:r>
          </w:p>
        </w:tc>
        <w:tc>
          <w:tcPr>
            <w:tcW w:w="1053" w:type="pct"/>
            <w:tcBorders>
              <w:top w:val="nil"/>
              <w:left w:val="nil"/>
              <w:bottom w:val="single" w:sz="4" w:space="0" w:color="auto"/>
              <w:right w:val="single" w:sz="4" w:space="0" w:color="auto"/>
            </w:tcBorders>
            <w:shd w:val="clear" w:color="auto" w:fill="auto"/>
            <w:noWrap/>
            <w:vAlign w:val="bottom"/>
            <w:hideMark/>
          </w:tcPr>
          <w:p w14:paraId="1DFB06DF"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Encalada-Torres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5355449700","author":[{"dropping-particle":"","family":"Encalada-torres","given":"Lorena","non-dropping-particle":"","parse-names":false,"suffix":""},{"dropping-particle":"","family":"Macero","given":"Reina","non-dropping-particle":"","parse-names":false,"suffix":""},{"dropping-particle":"","family":"Tenecela","given":"Edgar","non-dropping-particle":"","parse-names":false,"suffix":""},{"dropping-particle":"","family":"Toledo","given":"Carolina","non-dropping-particle":"","parse-names":false,"suffix":""},{"dropping-particle":"","family":"Wong","given":"Sara","non-dropping-particle":"","parse-names":false,"suffix":""}],"container-title":"Acta Bioquímica Clínica Latinoamericana","id":"ITEM-1","issue":"4","issued":{"date-parts":[["2017"]]},"page":"603-608","title":"Transaminasas séricas y síndrome metabólico en adultos mayores de 65 años de la sierra ecuatoriana","type":"article-journal","volume":"51"},"uris":["http://www.mendeley.com/documents/?uuid=866191f6-84e7-418a-abe6-b529b14442e0"]}],"mendeley":{"formattedCitation":"&lt;sup&gt;112&lt;/sup&gt;","plainTextFormattedCitation":"112","previouslyFormattedCitation":"&lt;sup&gt;112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112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24361D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2E0D643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48" w:type="pct"/>
            <w:tcBorders>
              <w:top w:val="nil"/>
              <w:left w:val="nil"/>
              <w:bottom w:val="single" w:sz="4" w:space="0" w:color="auto"/>
              <w:right w:val="single" w:sz="4" w:space="0" w:color="auto"/>
            </w:tcBorders>
            <w:shd w:val="clear" w:color="auto" w:fill="auto"/>
            <w:noWrap/>
            <w:vAlign w:val="bottom"/>
            <w:hideMark/>
          </w:tcPr>
          <w:p w14:paraId="52CAC6D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387</w:t>
            </w:r>
          </w:p>
        </w:tc>
        <w:tc>
          <w:tcPr>
            <w:tcW w:w="399" w:type="pct"/>
            <w:tcBorders>
              <w:top w:val="nil"/>
              <w:left w:val="nil"/>
              <w:bottom w:val="single" w:sz="4" w:space="0" w:color="auto"/>
              <w:right w:val="single" w:sz="4" w:space="0" w:color="auto"/>
            </w:tcBorders>
            <w:shd w:val="clear" w:color="auto" w:fill="auto"/>
            <w:noWrap/>
            <w:vAlign w:val="bottom"/>
            <w:hideMark/>
          </w:tcPr>
          <w:p w14:paraId="483BABD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36.43</w:t>
            </w:r>
          </w:p>
        </w:tc>
        <w:tc>
          <w:tcPr>
            <w:tcW w:w="449" w:type="pct"/>
            <w:tcBorders>
              <w:top w:val="nil"/>
              <w:left w:val="nil"/>
              <w:bottom w:val="single" w:sz="4" w:space="0" w:color="auto"/>
              <w:right w:val="single" w:sz="4" w:space="0" w:color="auto"/>
            </w:tcBorders>
            <w:shd w:val="clear" w:color="auto" w:fill="auto"/>
            <w:noWrap/>
            <w:vAlign w:val="bottom"/>
            <w:hideMark/>
          </w:tcPr>
          <w:p w14:paraId="343BCFE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72.89</w:t>
            </w:r>
          </w:p>
        </w:tc>
        <w:tc>
          <w:tcPr>
            <w:tcW w:w="498" w:type="pct"/>
            <w:tcBorders>
              <w:top w:val="nil"/>
              <w:left w:val="nil"/>
              <w:bottom w:val="single" w:sz="4" w:space="0" w:color="auto"/>
              <w:right w:val="single" w:sz="4" w:space="0" w:color="auto"/>
            </w:tcBorders>
            <w:shd w:val="clear" w:color="auto" w:fill="auto"/>
            <w:noWrap/>
            <w:vAlign w:val="bottom"/>
            <w:hideMark/>
          </w:tcPr>
          <w:p w14:paraId="75A40D0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195FC7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8BA5DA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CCDEB2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Ecuador</w:t>
            </w:r>
          </w:p>
        </w:tc>
        <w:tc>
          <w:tcPr>
            <w:tcW w:w="1053" w:type="pct"/>
            <w:tcBorders>
              <w:top w:val="nil"/>
              <w:left w:val="nil"/>
              <w:bottom w:val="single" w:sz="4" w:space="0" w:color="auto"/>
              <w:right w:val="single" w:sz="4" w:space="0" w:color="auto"/>
            </w:tcBorders>
            <w:shd w:val="clear" w:color="auto" w:fill="auto"/>
            <w:noWrap/>
            <w:vAlign w:val="bottom"/>
            <w:hideMark/>
          </w:tcPr>
          <w:p w14:paraId="42C35CF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Vinueza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{"citationItems":[{"id":"ITEM-1","itemData":{"ISSN":"0091-7435","abstract":"Objective: The objective of this study was to describe the prevalence of dyslipidemia in the CARMELA study population. Methods: CARMELA was a cross-sectional study of cardiovascular risk conducted between September 2003 and August 2005 in adults (aged 25 to 64 years) living in Barquisimeto (n=1,824), Bogotá (n=1,511), Buenos Aires (n=1,412), Lima (n=1,628), Mexico City (n=1,677), Quito (n=1,620), and Santiago (n=1,605). Dyslipidemia was defined as the presence of one or more of the following conditions: triglycerides. ≥ 200 mg/dL, or total cholesterol (TC) ≥ 240 mg/dL, or HDL cholesterol. &lt; 40 mg/dL, or LDL cholesterol = not optimal, or currently taking antilipemic agents. Results: Prevalence rates of dyslipidemia in men and women were: 75.5% (CI: 71.9-79.1) and 48.7% (CI: 45.4-51.9) in Barquisimeto; 70% (CI: 66.2-73.8) and 47.7% (CI: 43.9-51.5) in Bogotá; 50.4% (CI: 46.8-54.0) and 24.1% (CI: 21.0-27.2) in Buenos Aires; 73.1% (CI: 69.3-76.8) and 62.8% (CI: 59.2-66.5) in Lima; 62.5% (CI: 58.5-66.5) and 37.5% (CI: 33.5-41.6) in Mexico City; 52.2% (CI: 47.9-56.5) and 38.1% (CI: 34.5-41.7) in Quito; and, 50.8% (CI: 47.1-54.4) and 32.8% (CI: 29.3-36.3) in Santiago. Conclusions: Dyslipidemia was disturbingly prevalent and varied across cities. The most frequent dyslipidemia was low HDL-C followed by high triglycerides. The high TC/HDL-C ratios and non-HDL-C levels suggest a high risk of cardiovascular disease. © 2009 Elsevier Inc.","author":[{"dropping-particle":"","family":"Vinueza","given":"R","non-dropping-particle":"","parse-names":false,"suffix":""},{"dropping-particle":"","family":"Boissonnet","given":"C P","non-dropping-particle":"","parse-names":false,"suffix":""},{"dropping-particle":"","family":"Acevedo","given":"M","non-dropping-particle":"","parse-names":false,"suffix":""},{"dropping-particle":"","family":"Uriza","given":"F","non-dropping-particle":"","parse-names":false,"suffix":""},{"dropping-particle":"","family":"Benitez","given":"F J","non-dropping-particle":"","parse-names":false,"suffix":""},{"dropping-particle":"","family":"Silva","given":"H","non-dropping-particle":"","parse-names":false,"suffix":""},{"dropping-particle":"","family":"Schargrodsky","given":"H","non-dropping-particle":"","parse-names":false,"suffix":""},{"dropping-particle":"","family":"Champagne","given":"B","non-dropping-particle":"","parse-names":false,"suffix":""},{"dropping-particle":"","family":"Wilson","given":"E","non-dropping-particle":"","parse-names":false,"suffix":""}],"container-title":"Preventive Medicine","id":"ITEM-1","issue":"3","issued":{"date-parts":[["2010"]]},"page":"106-111","title":"Dyslipidemia in seven Latin American cities: CARMELA study","type":"article-journal","volume":"50"},"uris":["http://www.mendeley.com/documents/?uuid=dec74194-a203-4dec-b7ae-764a9f731745"]}],"mendeley":{"formattedCitation":"&lt;sup&gt;1&lt;/sup&gt;","plainTextFormattedCitation":"1","previouslyFormattedCitation":"&lt;sup&gt;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BD3084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49F0CE9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48" w:type="pct"/>
            <w:tcBorders>
              <w:top w:val="nil"/>
              <w:left w:val="nil"/>
              <w:bottom w:val="single" w:sz="4" w:space="0" w:color="auto"/>
              <w:right w:val="single" w:sz="4" w:space="0" w:color="auto"/>
            </w:tcBorders>
            <w:shd w:val="clear" w:color="auto" w:fill="auto"/>
            <w:noWrap/>
            <w:vAlign w:val="bottom"/>
            <w:hideMark/>
          </w:tcPr>
          <w:p w14:paraId="3631CE3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1620</w:t>
            </w:r>
          </w:p>
        </w:tc>
        <w:tc>
          <w:tcPr>
            <w:tcW w:w="399" w:type="pct"/>
            <w:tcBorders>
              <w:top w:val="nil"/>
              <w:left w:val="nil"/>
              <w:bottom w:val="single" w:sz="4" w:space="0" w:color="auto"/>
              <w:right w:val="single" w:sz="4" w:space="0" w:color="auto"/>
            </w:tcBorders>
            <w:shd w:val="clear" w:color="auto" w:fill="auto"/>
            <w:noWrap/>
            <w:vAlign w:val="bottom"/>
            <w:hideMark/>
          </w:tcPr>
          <w:p w14:paraId="2FC20F7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42D92EF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20EC6E1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947209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5500756"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0A8BCB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Ecuador</w:t>
            </w:r>
          </w:p>
        </w:tc>
        <w:tc>
          <w:tcPr>
            <w:tcW w:w="1053" w:type="pct"/>
            <w:tcBorders>
              <w:top w:val="nil"/>
              <w:left w:val="nil"/>
              <w:bottom w:val="single" w:sz="4" w:space="0" w:color="auto"/>
              <w:right w:val="single" w:sz="4" w:space="0" w:color="auto"/>
            </w:tcBorders>
            <w:shd w:val="clear" w:color="auto" w:fill="auto"/>
            <w:noWrap/>
            <w:vAlign w:val="bottom"/>
            <w:hideMark/>
          </w:tcPr>
          <w:p w14:paraId="345CB6E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Orces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{"citationItems":[{"id":"ITEM-1","itemData":{"ISSN":"1878-0334","abstract":"AIMS: To describe the prevalence of abdominal obesity and its association with cardio metabolic risk factors among older adults in Ecuador., MATERIALS AND METHODS: The present study used data from the National Survey of Health, Wellbeing, and Aging survey to examine the prevalence of abdominal obesity according to certain demographic, behavioral, and health characteristics of the participants. Logistic regression models adjusted for potential confounders were used to evaluate the association of abdominal obesity with cardio metabolic risk factors., RESULTS: Of 2053 participants aged 60 years and older, the prevalence of abdominal obesity was 65.9% (95% CI; 62.2%, 69.4%) in women and 16.3% (95% CI; 13.8%, 19.2%) in men. Notably, a higher prevalence of abdominal obesity was seen among residents in the urban areas of the country, those who reported their race as black or mulatto, individuals with sedentary lifestyle and obesity, and older adults with greater number of comorbidities. Moreover, after adjustment for potential confounders, women with abdominal obesity were 2.0, 2.8, and 1.6 times more likely to have diabetes, the metabolic syndrome, and hypertriglyceridemia as compared with those without, respectively. Likewise, men with abdominal obesity had 51% and 22% higher rates of hypertension and diabetes than their non-obese counterparts, respectively., CONCLUSIONS: the prevalence of abdominal obesity is high among older adults in Ecuador. Moreover, abdominal obesity is significantly associated with cardio metabolic risk factors. Therefore, further research is needed to evaluate sociodemographic and nutritional determinants of this emerging public health burden among older Ecuadorians.Copyright © 2017 Diabetes India. Published by Elsevier Ltd. All rights reserved.","author":[{"dropping-particle":"","family":"Orces","given":"Carlos H","non-dropping-particle":"","parse-names":false,"suffix":""},{"dropping-particle":"","family":"Montalvan","given":"Martha","non-dropping-particle":"","parse-names":false,"suffix":""},{"dropping-particle":"","family":"Tettamanti","given":"Daniel","non-dropping-particle":"","parse-names":false,"suffix":""}],"container-title":"Diabetes &amp; metabolic syndrome","id":"ITEM-1","issued":{"date-parts":[["2017"]]},"page":"S727-S733","title":"Prevalence of abdominal obesity and its association with cardio metabolic risk factors among older adults in Ecuador","type":"article-journal","volume":"11"},"uris":["http://www.mendeley.com/documents/?uuid=e8303b15-9e13-4354-8247-74cc1295de8b"]}],"mendeley":{"formattedCitation":"&lt;sup&gt;113&lt;/sup&gt;","plainTextFormattedCitation":"113","previouslyFormattedCitation":"&lt;sup&gt;113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3E0E65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45F1D3E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48" w:type="pct"/>
            <w:tcBorders>
              <w:top w:val="nil"/>
              <w:left w:val="nil"/>
              <w:bottom w:val="single" w:sz="4" w:space="0" w:color="auto"/>
              <w:right w:val="single" w:sz="4" w:space="0" w:color="auto"/>
            </w:tcBorders>
            <w:shd w:val="clear" w:color="auto" w:fill="auto"/>
            <w:noWrap/>
            <w:vAlign w:val="bottom"/>
            <w:hideMark/>
          </w:tcPr>
          <w:p w14:paraId="695B0A2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2053</w:t>
            </w:r>
          </w:p>
        </w:tc>
        <w:tc>
          <w:tcPr>
            <w:tcW w:w="399" w:type="pct"/>
            <w:tcBorders>
              <w:top w:val="nil"/>
              <w:left w:val="nil"/>
              <w:bottom w:val="single" w:sz="4" w:space="0" w:color="auto"/>
              <w:right w:val="single" w:sz="4" w:space="0" w:color="auto"/>
            </w:tcBorders>
            <w:shd w:val="clear" w:color="auto" w:fill="auto"/>
            <w:noWrap/>
            <w:vAlign w:val="bottom"/>
            <w:hideMark/>
          </w:tcPr>
          <w:p w14:paraId="64A14DB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46.76</w:t>
            </w:r>
          </w:p>
        </w:tc>
        <w:tc>
          <w:tcPr>
            <w:tcW w:w="449" w:type="pct"/>
            <w:tcBorders>
              <w:top w:val="nil"/>
              <w:left w:val="nil"/>
              <w:bottom w:val="single" w:sz="4" w:space="0" w:color="auto"/>
              <w:right w:val="single" w:sz="4" w:space="0" w:color="auto"/>
            </w:tcBorders>
            <w:shd w:val="clear" w:color="auto" w:fill="auto"/>
            <w:noWrap/>
            <w:vAlign w:val="bottom"/>
            <w:hideMark/>
          </w:tcPr>
          <w:p w14:paraId="1B2F2D4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BE83DA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17911E9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8C02781"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A363EB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Ecuador</w:t>
            </w:r>
          </w:p>
        </w:tc>
        <w:tc>
          <w:tcPr>
            <w:tcW w:w="1053" w:type="pct"/>
            <w:tcBorders>
              <w:top w:val="nil"/>
              <w:left w:val="nil"/>
              <w:bottom w:val="single" w:sz="4" w:space="0" w:color="auto"/>
              <w:right w:val="single" w:sz="4" w:space="0" w:color="auto"/>
            </w:tcBorders>
            <w:shd w:val="clear" w:color="auto" w:fill="auto"/>
            <w:noWrap/>
            <w:vAlign w:val="bottom"/>
            <w:hideMark/>
          </w:tcPr>
          <w:p w14:paraId="6E10CF7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Sisa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{"citationItems":[{"id":"ITEM-1","itemData":{"ISSN":"1081-5589","abstract":"The present study aimed to predict the risk of developing cardiovascular disease (CVD) over a 5-year period and how it might vary by sex in an ethnically diverse population of older adults. We used a novel CVD risk model built and validated in older adults named the Systematic Coronary Risk Evaluation in Older Persons (SCORE OP). A population-based study analyzed a total of 1307 older adults. Analyses were done by various risk categories and sex. Of the study population, 54% were female with a mean age of 75+/-7.1 years. According to the SCORE OP model, individuals were classified as having low (9.8%), moderate (48.1%), and high or very high risk (42.1%) of CVD-related mortality. Individuals at higher risk of CVD were more likely to be male compared with females, 53.9% vs 31.8%, respectively (p&lt;0.01). Males were more likely to be younger, living in rural areas, had higher levels of schooling, and with the exception of smoking status and serum triglycerides, had lower values of traditional risk factors than females. In addition, males were less likely to require blood pressure-lowering therapy and statin drugs than females. This gender inequality could be driven by sociocultural determinants and a risk factor paradox in which lower levels of the cardiovascular risk factors are associated with an increase rather than a reduction in mortality. These data can be used to tailor primary prevention strategies such as lifestyle counseling and therapeutic measures in order to improve male elderly health, especially in low-resource settings.Copyright © American Federation for Medical Research 2018. No commercial re-use. See rights and permissions. Published by BMJ.","author":[{"dropping-particle":"","family":"Sisa","given":"I","non-dropping-particle":"","parse-names":false,"suffix":""}],"container-title":"Journal of Investigative Medicine","id":"ITEM-1","issued":{"date-parts":[["2018"]]},"publisher-place":"I. Sisa, School of Medicine, College of Health Sciences, Universidad San Francisco de Quito (USFQ), Quito, Ecuador. E-mail: isisa@usfq.edu.ec","title":"Gender differences in cardiovascular risk assessment in elderly adults in Ecuador: Evidence from a national survey","type":"article-journal"},"uris":["http://www.mendeley.com/documents/?uuid=e54fc1e4-d0db-4f29-9ec0-569468d9901d"]}],"mendeley":{"formattedCitation":"&lt;sup&gt;114&lt;/sup&gt;","plainTextFormattedCitation":"114","previouslyFormattedCitation":"&lt;sup&gt;114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5F3F20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2018</w:t>
            </w:r>
          </w:p>
        </w:tc>
        <w:tc>
          <w:tcPr>
            <w:tcW w:w="598" w:type="pct"/>
            <w:tcBorders>
              <w:top w:val="nil"/>
              <w:left w:val="nil"/>
              <w:bottom w:val="single" w:sz="4" w:space="0" w:color="auto"/>
              <w:right w:val="single" w:sz="4" w:space="0" w:color="auto"/>
            </w:tcBorders>
            <w:shd w:val="clear" w:color="auto" w:fill="auto"/>
            <w:noWrap/>
            <w:vAlign w:val="bottom"/>
            <w:hideMark/>
          </w:tcPr>
          <w:p w14:paraId="4A98E2A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48" w:type="pct"/>
            <w:tcBorders>
              <w:top w:val="nil"/>
              <w:left w:val="nil"/>
              <w:bottom w:val="single" w:sz="4" w:space="0" w:color="auto"/>
              <w:right w:val="single" w:sz="4" w:space="0" w:color="auto"/>
            </w:tcBorders>
            <w:shd w:val="clear" w:color="auto" w:fill="auto"/>
            <w:noWrap/>
            <w:vAlign w:val="bottom"/>
            <w:hideMark/>
          </w:tcPr>
          <w:p w14:paraId="663C71B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1307</w:t>
            </w:r>
          </w:p>
        </w:tc>
        <w:tc>
          <w:tcPr>
            <w:tcW w:w="399" w:type="pct"/>
            <w:tcBorders>
              <w:top w:val="nil"/>
              <w:left w:val="nil"/>
              <w:bottom w:val="single" w:sz="4" w:space="0" w:color="auto"/>
              <w:right w:val="single" w:sz="4" w:space="0" w:color="auto"/>
            </w:tcBorders>
            <w:shd w:val="clear" w:color="auto" w:fill="auto"/>
            <w:noWrap/>
            <w:vAlign w:val="bottom"/>
            <w:hideMark/>
          </w:tcPr>
          <w:p w14:paraId="37E3712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46.37</w:t>
            </w:r>
          </w:p>
        </w:tc>
        <w:tc>
          <w:tcPr>
            <w:tcW w:w="449" w:type="pct"/>
            <w:tcBorders>
              <w:top w:val="nil"/>
              <w:left w:val="nil"/>
              <w:bottom w:val="single" w:sz="4" w:space="0" w:color="auto"/>
              <w:right w:val="single" w:sz="4" w:space="0" w:color="auto"/>
            </w:tcBorders>
            <w:shd w:val="clear" w:color="auto" w:fill="auto"/>
            <w:noWrap/>
            <w:vAlign w:val="bottom"/>
            <w:hideMark/>
          </w:tcPr>
          <w:p w14:paraId="2B784EF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75</w:t>
            </w:r>
          </w:p>
        </w:tc>
        <w:tc>
          <w:tcPr>
            <w:tcW w:w="498" w:type="pct"/>
            <w:tcBorders>
              <w:top w:val="nil"/>
              <w:left w:val="nil"/>
              <w:bottom w:val="single" w:sz="4" w:space="0" w:color="auto"/>
              <w:right w:val="single" w:sz="4" w:space="0" w:color="auto"/>
            </w:tcBorders>
            <w:shd w:val="clear" w:color="auto" w:fill="auto"/>
            <w:noWrap/>
            <w:vAlign w:val="bottom"/>
            <w:hideMark/>
          </w:tcPr>
          <w:p w14:paraId="417B22B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2BF09CE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69A7DB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EB854A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El Salvador</w:t>
            </w:r>
          </w:p>
        </w:tc>
        <w:tc>
          <w:tcPr>
            <w:tcW w:w="1053" w:type="pct"/>
            <w:tcBorders>
              <w:top w:val="nil"/>
              <w:left w:val="nil"/>
              <w:bottom w:val="single" w:sz="4" w:space="0" w:color="auto"/>
              <w:right w:val="single" w:sz="4" w:space="0" w:color="auto"/>
            </w:tcBorders>
            <w:shd w:val="clear" w:color="auto" w:fill="auto"/>
            <w:noWrap/>
            <w:vAlign w:val="bottom"/>
            <w:hideMark/>
          </w:tcPr>
          <w:p w14:paraId="509588B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Orantes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{"citationItems":[{"id":"ITEM-1","itemData":{"ISSN":"1527-3172","abstract":"INTRODUCTION: In El Salvador, end-stage renal disease is the leading cause of hospital deaths in adults, the second cause of death in men and the fifth leading cause of death in adults of both sexes in the general population., OBJECTIVE: Identify risk factors for chronic kidney disease and urinary markers of renal and vascular damage, measure kidney function and characterize prevalence of chronic kidney disease in persons aged &gt;=18 years in the Bajo Lempa region of El Salvador., METHODS: A cross-sectional analytical epidemiological study was carried out using active screening for chronic kidney disease and associated risk factors in individuals aged &gt;=18 years in the Bajo Lempa Region, a rural, coastal area in El Salvador. Door-to-door visits and clinical examinations were conducted. Epidemiological and clinical data were collected including: family and personal clinical history of disease; biological, behavioral, social and environmental risk factors; physical measurements; urinalysis for markers of renal and vascular damage; and blood tests (serum creatinine, serum glucose, lipid profile). Glomerular filtration rate was calculated using the Modification of Diet in Renal Disease formula. Chronic kidney disease case confirmation was done three months later. Multiple logistic regression was used for data analysis., RESULTS: A total of 375 families and 775 individuals (343 men, 432 women) were studied-88.3% of the total resident population in the region. Elevated prevalence of risk factors was observed: diabetes mellitus, 10.3%; hypertension,16.9%; family history of chronic kidney disease, 21.6%; dyslipidemias, 63.1%; overweight, 34%; obesity, 22.4%; metabolic syndrome, 28.8%; use of non-steroidal anti-inflammatory drugs, 74.8%; infectious diseases, 86.9%; agricultural occupation, 40.6% (80.6% in men); and contact with agrochemicals, 50.3% (82.5% in men). Prevalence renal damage markers was 15.8% (greater in men): microalbuminuria 6.3%; proteinuria 5.7%; hematuria 3.5%; proteinuria-hematuria 0.3%. Proteinuria of &lt;1 g/L predominated. Prevalence of chronic kidney disease was 17.9% (25.7% in men; 11.8% in women). Distribution by stages: stage 1, 4.6%; stage 2, 3.5%; stage 3, 6.2%; stage 4, 3.0%; stage 5, 0.6%. In patients with chronic kidney disease, most common was non-diabetic chronic kidney disease (86.3%), followed by chronic kidney disease associated with neither diabetes nor hypertension (54.7%). Prevalence of chronic renal failure was 9.8% (17% in men…","author":[{"dropping-particle":"","family":"Orantes","given":"Carlos M","non-dropping-particle":"","parse-names":false,"suffix":""},{"dropping-particle":"","family":"Herrera","given":"Raul","non-dropping-particle":"","parse-names":false,"suffix":""},{"dropping-particle":"","family":"Almaguer","given":"Miguel","non-dropping-particle":"","parse-names":false,"suffix":""},{"dropping-particle":"","family":"Brizuela","given":"Elsy G","non-dropping-particle":"","parse-names":false,"suffix":""},{"dropping-particle":"","family":"ez","given":"Carlos E","non-dropping-particle":"","parse-names":false,"suffix":""},{"dropping-particle":"","family":"Bayarre","given":"Hector","non-dropping-particle":"","parse-names":false,"suffix":""},{"dropping-particle":"","family":"Amaya","given":"Juan C","non-dropping-particle":"","parse-names":false,"suffix":""},{"dropping-particle":"","family":"Calero","given":"Denis J","non-dropping-particle":"","parse-names":false,"suffix":""},{"dropping-particle":"","family":"Orellana","given":"Patricia","non-dropping-particle":"","parse-names":false,"suffix":""},{"dropping-particle":"","family":"Colindres","given":"Rosa M","non-dropping-particle":"","parse-names":false,"suffix":""},{"dropping-particle":"","family":"Velazquez","given":"Maria E","non-dropping-particle":"","parse-names":false,"suffix":""},{"dropping-particle":"","family":"Nunez","given":"Sonia G","non-dropping-particle":"","parse-names":false,"suffix":""},{"dropping-particle":"","family":"Contreras","given":"Veronica M","non-dropping-particle":"","parse-names":false,"suffix":""},{"dropping-particle":"","family":"Castro","given":"Bertha E","non-dropping-particle":"","parse-names":false,"suffix":""}],"container-title":"MEDICC review","id":"ITEM-1","issue":"4","issued":{"date-parts":[["2011"]]},"page":"14-22","title":"Chronic kidney disease and associated risk factors in the Bajo Lempa region of El Salvador: Nefrolempa study, 2009","type":"article-journal","volume":"13"},"uris":["http://www.mendeley.com/documents/?uuid=4becc0fc-9ef7-44b2-9d63-acffba2920fe"]}],"mendeley":{"formattedCitation":"&lt;sup&gt;115&lt;/sup&gt;","plainTextFormattedCitation":"115","previouslyFormattedCitation":"&lt;sup&gt;115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3AB288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283E9E8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055498E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775</w:t>
            </w:r>
          </w:p>
        </w:tc>
        <w:tc>
          <w:tcPr>
            <w:tcW w:w="399" w:type="pct"/>
            <w:tcBorders>
              <w:top w:val="nil"/>
              <w:left w:val="nil"/>
              <w:bottom w:val="single" w:sz="4" w:space="0" w:color="auto"/>
              <w:right w:val="single" w:sz="4" w:space="0" w:color="auto"/>
            </w:tcBorders>
            <w:shd w:val="clear" w:color="auto" w:fill="auto"/>
            <w:noWrap/>
            <w:vAlign w:val="bottom"/>
            <w:hideMark/>
          </w:tcPr>
          <w:p w14:paraId="197BADE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44.26</w:t>
            </w:r>
          </w:p>
        </w:tc>
        <w:tc>
          <w:tcPr>
            <w:tcW w:w="449" w:type="pct"/>
            <w:tcBorders>
              <w:top w:val="nil"/>
              <w:left w:val="nil"/>
              <w:bottom w:val="single" w:sz="4" w:space="0" w:color="auto"/>
              <w:right w:val="single" w:sz="4" w:space="0" w:color="auto"/>
            </w:tcBorders>
            <w:shd w:val="clear" w:color="auto" w:fill="auto"/>
            <w:noWrap/>
            <w:vAlign w:val="bottom"/>
            <w:hideMark/>
          </w:tcPr>
          <w:p w14:paraId="38CBC07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39.2</w:t>
            </w:r>
          </w:p>
        </w:tc>
        <w:tc>
          <w:tcPr>
            <w:tcW w:w="498" w:type="pct"/>
            <w:tcBorders>
              <w:top w:val="nil"/>
              <w:left w:val="nil"/>
              <w:bottom w:val="single" w:sz="4" w:space="0" w:color="auto"/>
              <w:right w:val="single" w:sz="4" w:space="0" w:color="auto"/>
            </w:tcBorders>
            <w:shd w:val="clear" w:color="auto" w:fill="auto"/>
            <w:noWrap/>
            <w:vAlign w:val="bottom"/>
            <w:hideMark/>
          </w:tcPr>
          <w:p w14:paraId="7BA3D35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6EEEA2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EAFFA31"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FD5A64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Granada</w:t>
            </w:r>
          </w:p>
        </w:tc>
        <w:tc>
          <w:tcPr>
            <w:tcW w:w="1053" w:type="pct"/>
            <w:tcBorders>
              <w:top w:val="nil"/>
              <w:left w:val="nil"/>
              <w:bottom w:val="single" w:sz="4" w:space="0" w:color="auto"/>
              <w:right w:val="single" w:sz="4" w:space="0" w:color="auto"/>
            </w:tcBorders>
            <w:shd w:val="clear" w:color="auto" w:fill="auto"/>
            <w:noWrap/>
            <w:vAlign w:val="bottom"/>
            <w:hideMark/>
          </w:tcPr>
          <w:p w14:paraId="1257DE1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Bansilal</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 xml:space="preserve">ADDIN CSL_CITATION {"citationItems":[{"id":"ITEM-1","itemData":{"DOI":"10.1016/j.gheart.2012.06.002","abstract":"Objective: The Grenada Heart Project aims to study the clinical, biological, and psychosocial determinants of the cardiovascular health in Grenada in order to develop and implement a nationwide cardiovascular health promotion program. Methods: We recruited 2,827 adults randomly selected from the national electronic voter list. The main outcome measures were self-reported cardiovascular disease and behavioral risk factors, anthropometric measures, blood pressure, point-of-care testing for glucose and lipids, and ankle-brachial index. Risk factors were also compared with the U.S. National Health and Nutritional Survey data. Results: Prevalence of cardiovascular disease risk factors were: overweight and obesity - 57.7% of the population, physical inactivity - 23.4%, diabetes - 13.3%, hypertension - 29.7%, hypercholesterolemia - 8.6%, and smoking - 7%. Subjects who were physically active had a significantly lower 10-year Framingham risk score (p &lt; 0.001). Compared with the U.S. National Health and Nutrition Survey data, Grenadian women had higher rates of adiposity, diabetes, hypertension, and elevated low-density lipoprotein cholesterol, whereas Grenadian men had a higher rate of diabetes, a similar rate of hypertension, and lower rates of the other risk factors. Prevalence of peripheral arterial disease was 7.6%; stroke and coronary heart disease were equally prevalent at </w:instrText>
            </w:r>
            <w:r w:rsidRPr="009E0769">
              <w:rPr>
                <w:rFonts w:ascii="Cambria Math" w:eastAsia="Times New Roman" w:hAnsi="Cambria Math" w:cs="Cambria Math"/>
                <w:color w:val="000000"/>
                <w:sz w:val="16"/>
                <w:szCs w:val="16"/>
                <w:lang w:eastAsia="en-GB"/>
              </w:rPr>
              <w:instrText>∼</w:instrText>
            </w:r>
            <w:r w:rsidRPr="009E0769">
              <w:rPr>
                <w:rFonts w:ascii="Arial" w:eastAsia="Times New Roman" w:hAnsi="Arial" w:cs="Arial"/>
                <w:color w:val="000000"/>
                <w:sz w:val="16"/>
                <w:szCs w:val="16"/>
                <w:lang w:eastAsia="en-GB"/>
              </w:rPr>
              <w:instrText>2%. Conclusions: This randomly selected adult sample in Grenada reveals prevalence rates of obesity, hypertension, and diabetes significantly exceeding those seen in the United States. The contrasting, paradoxically low levels of prevalent cardiovascular disease support the concept that Grenada is experiencing an obesity-related \"risk transition.\" These data form the basis for the implementation of a pilot intervention program based on the Institute of Medicine recommendations and may serve as a model for other low- and middle-income countries. © 2012 World Heart Federation (Geneva). Published by Elsevier Ltd. All rights reserved.","author":[{"dropping-particle":"","family":"Bansilal","given":"Sameer","non-dropping-particle":"","parse-names":false,"suffix":""},{"dropping-particle":"","family":"Vedanthan","given":"Rajesh","non-dropping-particle":"","parse-names":false,"suffix":""},{"dropping-particle":"","family":"Woodward","given":"Mark","non-dropping-particle":"","parse-names":false,"suffix":""},{"dropping-particle":"","family":"Iyengar","given":"Rupa","non-dropping-particle":"","parse-names":false,"suffix":""},{"dropping-particle":"","family":"Hunn","given":"Marilyn","non-dropping-particle":"","parse-names":false,"suffix":""},{"dropping-particle":"","family":"Lewis","given":"Marcelle","non-dropping-particle":"","parse-names":false,"suffix":""},{"dropping-particle":"","family":"Francis","given":"Lesley","non-dropping-particle":"","parse-names":false,"suffix":""},{"dropping-particle":"","family":"Charney","given":"Alexander","non-dropping-particle":"","parse-names":false,"suffix":""},{"dropping-particle":"","family":"Graves","given":"Claire","non-dropping-particle":"","parse-names":false,"suffix":""},{"dropping-particle":"","family":"Farkouh","given":"Michael E","non-dropping-particle":"","parse-names":false,"suffix":""},{"dropping-particle":"","family":"Fuster","given":"Valentin","non-dropping-particle":"","parse-names":false,"suffix":""}],"container-title":"Global Heart","id":"ITEM-1","issue":"2","issued":{"date-parts":[["2012"]]},"page":"87-94","title":"Cardiovascular risk surveillance to develop a nationwide health promotion strategy: The grenada heart project","type":"article-journal","volume":"7"},"uris":["http://www.mendeley.com/documents/?uuid=b230a080-01a9-497a-b715-080c34d9d225"]}],"mendeley":{"formattedCitation":"&lt;sup&gt;116&lt;/sup&gt;","plainTextFormattedCitation":"116","previouslyFormattedCitation":"&lt;sup&gt;116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FF0B17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2012</w:t>
            </w:r>
          </w:p>
        </w:tc>
        <w:tc>
          <w:tcPr>
            <w:tcW w:w="598" w:type="pct"/>
            <w:tcBorders>
              <w:top w:val="nil"/>
              <w:left w:val="nil"/>
              <w:bottom w:val="single" w:sz="4" w:space="0" w:color="auto"/>
              <w:right w:val="single" w:sz="4" w:space="0" w:color="auto"/>
            </w:tcBorders>
            <w:shd w:val="clear" w:color="auto" w:fill="auto"/>
            <w:noWrap/>
            <w:vAlign w:val="bottom"/>
            <w:hideMark/>
          </w:tcPr>
          <w:p w14:paraId="5FD5CFA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288CA2F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2827</w:t>
            </w:r>
          </w:p>
        </w:tc>
        <w:tc>
          <w:tcPr>
            <w:tcW w:w="399" w:type="pct"/>
            <w:tcBorders>
              <w:top w:val="nil"/>
              <w:left w:val="nil"/>
              <w:bottom w:val="single" w:sz="4" w:space="0" w:color="auto"/>
              <w:right w:val="single" w:sz="4" w:space="0" w:color="auto"/>
            </w:tcBorders>
            <w:shd w:val="clear" w:color="auto" w:fill="auto"/>
            <w:noWrap/>
            <w:vAlign w:val="bottom"/>
            <w:hideMark/>
          </w:tcPr>
          <w:p w14:paraId="3655DC3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42.48</w:t>
            </w:r>
          </w:p>
        </w:tc>
        <w:tc>
          <w:tcPr>
            <w:tcW w:w="449" w:type="pct"/>
            <w:tcBorders>
              <w:top w:val="nil"/>
              <w:left w:val="nil"/>
              <w:bottom w:val="single" w:sz="4" w:space="0" w:color="auto"/>
              <w:right w:val="single" w:sz="4" w:space="0" w:color="auto"/>
            </w:tcBorders>
            <w:shd w:val="clear" w:color="auto" w:fill="auto"/>
            <w:noWrap/>
            <w:vAlign w:val="bottom"/>
            <w:hideMark/>
          </w:tcPr>
          <w:p w14:paraId="16EEF49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6829216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0CF4997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6A0FC7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01DF7B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Guatemala</w:t>
            </w:r>
          </w:p>
        </w:tc>
        <w:tc>
          <w:tcPr>
            <w:tcW w:w="1053" w:type="pct"/>
            <w:tcBorders>
              <w:top w:val="nil"/>
              <w:left w:val="nil"/>
              <w:bottom w:val="single" w:sz="4" w:space="0" w:color="auto"/>
              <w:right w:val="single" w:sz="4" w:space="0" w:color="auto"/>
            </w:tcBorders>
            <w:shd w:val="clear" w:color="auto" w:fill="auto"/>
            <w:noWrap/>
            <w:vAlign w:val="bottom"/>
            <w:hideMark/>
          </w:tcPr>
          <w:p w14:paraId="78B570C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Wong-McClure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{"citationItems":[{"id":"ITEM-1","itemData":{"ISSN":"1020-4989 (Print) 1020-4989","abstract":"OBJECTIVE: To report the prevalence of metabolic syndrome (MetS) as found by the Central American Diabetes Initiative (CAMDI) study for five major Central American populations: Belize (national); Costa Rica (San José); Guatemala (Guatemala City); Honduras (Tegucigalpa); and Nicaragua (Managua). METHODS: Study data on 6 185 adults aged 20 years or older with anthropometric and laboratory determination of MetS from population-based surveys were analyzed. Overall, the survey response rate was 82.0%. MetS prevalence was determined according to criteria from the Adult Treatment Panel III of the National Cholesterol Education Program. The study&amp;#039;s protocol was reviewed and approved by the bioethical committee of each country studied. RESULTS: The overall standardized prevalence of MetS in the Central American region was 30.3% (95% confidence interval (CI): 27.1-33.4). There was wide variability by gender and work conditions, with higher prevalence among females and unpaid workers. The standardized percentage of the population free of any component of MetS was lowest in Costa Rica (9.0%; CI: 6.5-11.4) and highest in Honduras (21.1%; CI: 16.4-25.9). CONCLUSIONS: Overall prevalence of MetS in Central America is high. Strengthening surveillance of chronic diseases and establishing effective programs for preventing cardiovascular diseases might reduce the risk of MetS in Central America. OBJETIVO: Notificar la prevalencia del síndrome metabólico (SMet) observada en el estudio de la Iniciativa Centroamericana de Diabetes (CAMDI) llevado a cabo en cinco importantes poblaciones centroamericanas: Belice (nacional); Costa Rica (San José); Guatemala (Ciudad de Guatemala); Honduras (Tegucigalpa); y Nicaragua (Managua). MÉTODOS: Se analizaron los datos de estudio obtenidos de las encuestas poblacionales dirigidas a 6 185 adultos de 20 años de edad o mayores con determinaciones antropométricas y de laboratorio relativas al SMet. En términos generales, la tasa de respuesta a las encuestas fue de 82,0%. Se determinó la prevalencia del SMet según los criterios del tercer informe del Grupo de Expertos en el Tratamiento de Adultos (Adult Treatment Panel III) del Programa Nacional de Educación sobre el Colesterol. El protocolo del estudio fue examinado y aprobado por el comité de bioética de cada uno de los países incluidos en el estudio. RESULTADOS: La prevalencia general estandarizada del SMet en Centroamérica fue de 30,3% (Intervalo de confianza de 95% (IC): 27,1-33,4). S…","author":[{"dropping-particle":"","family":"Wong-McClure","given":"Roy A","non-dropping-particle":"","parse-names":false,"suffix":""},{"dropping-particle":"","family":"Gregg","given":"Edward W","non-dropping-particle":"","parse-names":false,"suffix":""},{"dropping-particle":"","family":"Barceló","given":"Alberto","non-dropping-particle":"","parse-names":false,"suffix":""},{"dropping-particle":"","family":"Lee","given":"Kahye","non-dropping-particle":"","parse-names":false,"suffix":""},{"dropping-particle":"","family":"Abarca-Gómez","given":"Le","non-dropping-particle":"","parse-names":false,"suffix":""},{"dropping-particle":"","family":"Sanabria-López","given":"Laura","non-dropping-particle":"","parse-names":false,"suffix":""},{"dropping-particle":"","family":"Tortós-Guzmán","given":"Jaime","non-dropping-particle":"","parse-names":false,"suffix":""}],"container-title":"Rev Panam Salud Publica","id":"ITEM-1","issue":"3","issued":{"date-parts":[["2015"]]},"language":"en","page":"202-208","title":"Prevalence of metabolic syndrome in Central America: a cross-sectional population-based study","type":"article-journal","volume":"38"},"uris":["http://www.mendeley.com/documents/?uuid=466c808c-ecb8-4baf-b4d6-369197f44afe"]}],"mendeley":{"formattedCitation":"&lt;sup&gt;11&lt;/sup&gt;","plainTextFormattedCitation":"11","previouslyFormattedCitation":"&lt;sup&gt;11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3B5B80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4D619DB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34EC3FA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904</w:t>
            </w:r>
          </w:p>
        </w:tc>
        <w:tc>
          <w:tcPr>
            <w:tcW w:w="399" w:type="pct"/>
            <w:tcBorders>
              <w:top w:val="nil"/>
              <w:left w:val="nil"/>
              <w:bottom w:val="single" w:sz="4" w:space="0" w:color="auto"/>
              <w:right w:val="single" w:sz="4" w:space="0" w:color="auto"/>
            </w:tcBorders>
            <w:shd w:val="clear" w:color="auto" w:fill="auto"/>
            <w:noWrap/>
            <w:vAlign w:val="bottom"/>
            <w:hideMark/>
          </w:tcPr>
          <w:p w14:paraId="6653097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26</w:t>
            </w:r>
          </w:p>
        </w:tc>
        <w:tc>
          <w:tcPr>
            <w:tcW w:w="449" w:type="pct"/>
            <w:tcBorders>
              <w:top w:val="nil"/>
              <w:left w:val="nil"/>
              <w:bottom w:val="single" w:sz="4" w:space="0" w:color="auto"/>
              <w:right w:val="single" w:sz="4" w:space="0" w:color="auto"/>
            </w:tcBorders>
            <w:shd w:val="clear" w:color="auto" w:fill="auto"/>
            <w:noWrap/>
            <w:vAlign w:val="bottom"/>
            <w:hideMark/>
          </w:tcPr>
          <w:p w14:paraId="1A9FEB1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040B5DD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31B3A8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1DACDD6"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90286F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Guatemala</w:t>
            </w:r>
          </w:p>
        </w:tc>
        <w:tc>
          <w:tcPr>
            <w:tcW w:w="1053" w:type="pct"/>
            <w:tcBorders>
              <w:top w:val="nil"/>
              <w:left w:val="nil"/>
              <w:bottom w:val="single" w:sz="4" w:space="0" w:color="auto"/>
              <w:right w:val="single" w:sz="4" w:space="0" w:color="auto"/>
            </w:tcBorders>
            <w:shd w:val="clear" w:color="auto" w:fill="auto"/>
            <w:noWrap/>
            <w:vAlign w:val="bottom"/>
            <w:hideMark/>
          </w:tcPr>
          <w:p w14:paraId="2100D035"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Romero-Abal</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{"citationItems":[{"id":"ITEM-1","itemData":{"abstract":"Se investigó el nivel de lípidos y vitaminas liposolubles así como su correlación en el plasma de 107 ancianos (29 por ciento de sexo masculino y 71 por ciento femenino) procedentes de &amp;quot;Guajitos&amp;quot;, comunidad periurbana de Guatemala. Las edades oscilaron entre 60 a 103 años (promedio:69 ñ 8). Los promedios de niveles plasmáticos fueron: colesterol: 220 ñ42(128 a 428) mg/dl; trigliceridos: 189 ñ92 54 a 513) mg/dl; retinol 50 ñ 16 (4.5 a 103) mg/dl, B-carotenos: 17 ñ 12 (12-60) µg/dl, y tocoferol: 1.32 ñ 36 (0.54 a 2.46) mg/dl. Se encontró correlación significativa entre colesterol y retinol, colesterol y tocoferol, triglicéridos y retinol, triglicéridos y tocoferol en ambos sexos, así como entre colesterol y ß-carotenos en las mujeres. No se encontró correlación entre colesterol y ß-carotenos en hombres, ni entre triglicéridos y ß-carotenos en ambos sexos","author":[{"dropping-particle":"","family":"Romero Abal","given":"María Eugenia","non-dropping-particle":"","parse-names":false,"suffix":""},{"dropping-particle":"","family":"Mendoza","given":"Iván","non-dropping-particle":"","parse-names":false,"suffix":""},{"dropping-particle":"de","family":"Ramírez","given":"Isabel","non-dropping-particle":"","parse-names":false,"suffix":""},{"dropping-particle":"","family":"Haskell","given":"Marjorie","non-dropping-particle":"","parse-names":false,"suffix":""},{"dropping-particle":"","family":"Valdéz","given":"Carlos","non-dropping-particle":"","parse-names":false,"suffix":""},{"dropping-particle":"","family":"Breuer","given":"Katherina","non-dropping-particle":"","parse-names":false,"suffix":""},{"dropping-particle":"","family":"Weiser","given":"H","non-dropping-particle":"","parse-names":false,"suffix":""},{"dropping-particle":"","family":"Schuep","given":"W","non-dropping-particle":"","parse-names":false,"suffix":""}],"container-title":"Arch. latinoam. nutr","id":"ITEM-1","issue":"3","issued":{"date-parts":[["1994"]]},"language":"es","page":"140-144","title":"Relación entre lípidos plasmáticos y vitaminas liposolubles en anciano peri-urbanos de Guatemala","type":"article-journal","volume":"44"},"uris":["http://www.mendeley.com/documents/?uuid=794e1dfe-cefc-4a85-8175-58d472863e31"]}],"mendeley":{"formattedCitation":"&lt;sup&gt;117&lt;/sup&gt;","plainTextFormattedCitation":"117","previouslyFormattedCitation":"&lt;sup&gt;117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117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7403B4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1994</w:t>
            </w:r>
          </w:p>
        </w:tc>
        <w:tc>
          <w:tcPr>
            <w:tcW w:w="598" w:type="pct"/>
            <w:tcBorders>
              <w:top w:val="nil"/>
              <w:left w:val="nil"/>
              <w:bottom w:val="single" w:sz="4" w:space="0" w:color="auto"/>
              <w:right w:val="single" w:sz="4" w:space="0" w:color="auto"/>
            </w:tcBorders>
            <w:shd w:val="clear" w:color="auto" w:fill="auto"/>
            <w:noWrap/>
            <w:vAlign w:val="bottom"/>
            <w:hideMark/>
          </w:tcPr>
          <w:p w14:paraId="362DD05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169EFF3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107</w:t>
            </w:r>
          </w:p>
        </w:tc>
        <w:tc>
          <w:tcPr>
            <w:tcW w:w="399" w:type="pct"/>
            <w:tcBorders>
              <w:top w:val="nil"/>
              <w:left w:val="nil"/>
              <w:bottom w:val="single" w:sz="4" w:space="0" w:color="auto"/>
              <w:right w:val="single" w:sz="4" w:space="0" w:color="auto"/>
            </w:tcBorders>
            <w:shd w:val="clear" w:color="auto" w:fill="auto"/>
            <w:noWrap/>
            <w:vAlign w:val="bottom"/>
            <w:hideMark/>
          </w:tcPr>
          <w:p w14:paraId="6CB09CE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26</w:t>
            </w:r>
          </w:p>
        </w:tc>
        <w:tc>
          <w:tcPr>
            <w:tcW w:w="449" w:type="pct"/>
            <w:tcBorders>
              <w:top w:val="nil"/>
              <w:left w:val="nil"/>
              <w:bottom w:val="single" w:sz="4" w:space="0" w:color="auto"/>
              <w:right w:val="single" w:sz="4" w:space="0" w:color="auto"/>
            </w:tcBorders>
            <w:shd w:val="clear" w:color="auto" w:fill="auto"/>
            <w:noWrap/>
            <w:vAlign w:val="bottom"/>
            <w:hideMark/>
          </w:tcPr>
          <w:p w14:paraId="4E7FC97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69</w:t>
            </w:r>
          </w:p>
        </w:tc>
        <w:tc>
          <w:tcPr>
            <w:tcW w:w="498" w:type="pct"/>
            <w:tcBorders>
              <w:top w:val="nil"/>
              <w:left w:val="nil"/>
              <w:bottom w:val="single" w:sz="4" w:space="0" w:color="auto"/>
              <w:right w:val="single" w:sz="4" w:space="0" w:color="auto"/>
            </w:tcBorders>
            <w:shd w:val="clear" w:color="auto" w:fill="auto"/>
            <w:noWrap/>
            <w:vAlign w:val="bottom"/>
            <w:hideMark/>
          </w:tcPr>
          <w:p w14:paraId="1760D72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92A2BA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33C91E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2176EE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Guatemala</w:t>
            </w:r>
          </w:p>
        </w:tc>
        <w:tc>
          <w:tcPr>
            <w:tcW w:w="1053" w:type="pct"/>
            <w:tcBorders>
              <w:top w:val="nil"/>
              <w:left w:val="nil"/>
              <w:bottom w:val="single" w:sz="4" w:space="0" w:color="auto"/>
              <w:right w:val="single" w:sz="4" w:space="0" w:color="auto"/>
            </w:tcBorders>
            <w:shd w:val="clear" w:color="auto" w:fill="auto"/>
            <w:noWrap/>
            <w:vAlign w:val="bottom"/>
            <w:hideMark/>
          </w:tcPr>
          <w:p w14:paraId="780727F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Gregory</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Rapidly transitioning societies are experiencing dramatic increases in obesity and cardio-metabolic risk; however, few prospective studies from developing countries have quantified these increases or described their joint relationships. Methods. We collected dietary, physical activity, demographic, anthropometric and cardio-metabolic risk factor data from 376 Guatemalan young adults in 1997-98 (aged 20-29 years) and in 2002-04 (aged 25-34 years). Results. In total, 42 % of men and 56 % of women experienced weight gain &gt;5 kg in 5 years. Percent body fat (%BF) and waist circumference (WC) increased by 4.2 % points and 5.5 cm among men, and 3.2 % points and 3.4 cm among women, respectively. Five-year increases in both %BF and WC were associated with lower physical activity, urban residence and shorter height among men but not among women (test for heterogeneity P &lt; 0.05 for residence and physical activity). Changes in %BF and WC and concomitant changes in cardio-metabolic risk factors were similar for men and women. In standardised regression, change in %BF was associated with changes in TAG (β=0.19; 95 % CI 0.08, 0.30), total:HDL cholesterol (β=0.22; 95 % CI 0.12, 0.33) and systolic (β=0.22; 95 % CI 0.12, 0.33) and diastolic (β=0.18; 95 % CI 0.08, 0.28) blood pressure, but not with glucose; associations were similar for WC. Conclusions. Over 5 years this relatively young population of Guatemalan adults experienced rapid increases in multiple measures of adiposity, which were associated with adverse changes in lipid and blood pressure levels. Copyright © The Author 2008.","author":[{"dropping-particle":"","family":"Gregory","given":"C O","non-dropping-particle":"","parse-names":false,"suffix":""},{"dropping-particle":"","family":"Martorell","given":"R","non-dropping-particle":"","parse-names":false,"suffix":""},{"dropping-particle":"","family":"Venkat Narayan","given":"K M","non-dropping-particle":"","parse-names":false,"suffix":""},{"dropping-particle":"","family":"Ramirez-Zea","given":"M","non-dropping-particle":"","parse-names":false,"suffix":""},{"dropping-particle":"","family":"Stein","given":"A D","non-dropping-particle":"","parse-names":false,"suffix":""}],"container-title":"Public Health Nutrition","id":"ITEM-1","issue":"2","issued":{"date-parts":[["2009"]]},"page":"228-235","publisher-place":"Nutrition and Health Sciences Program, Graduate Division of Biological and Biomedical Sciences, Emory University, Atlanta, GA, United States; Hubert Department of Global Health, Rollins School of Public Health, Emory University, 1518 Clifton Road, NE, Atl","title":"Five-year changes in adiposity and cardio-metabolic risk factors among Guatemalan young adults","type":"article-journal","volume":"12"},"uris":["http://www.mendeley.com/documents/?uuid=e92c58d4-85e8-4cdb-ab1e-e4b997f0e80b"]}],"mendeley":{"formattedCitation":"&lt;sup&gt;118&lt;/sup&gt;","plainTextFormattedCitation":"118","previouslyFormattedCitation":"&lt;sup&gt;118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118</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 xml:space="preserve"> </w:t>
            </w:r>
          </w:p>
        </w:tc>
        <w:tc>
          <w:tcPr>
            <w:tcW w:w="648" w:type="pct"/>
            <w:tcBorders>
              <w:top w:val="nil"/>
              <w:left w:val="nil"/>
              <w:bottom w:val="single" w:sz="4" w:space="0" w:color="auto"/>
              <w:right w:val="single" w:sz="4" w:space="0" w:color="auto"/>
            </w:tcBorders>
            <w:shd w:val="clear" w:color="auto" w:fill="auto"/>
            <w:noWrap/>
            <w:vAlign w:val="bottom"/>
            <w:hideMark/>
          </w:tcPr>
          <w:p w14:paraId="45949BC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98" w:type="pct"/>
            <w:tcBorders>
              <w:top w:val="nil"/>
              <w:left w:val="nil"/>
              <w:bottom w:val="single" w:sz="4" w:space="0" w:color="auto"/>
              <w:right w:val="single" w:sz="4" w:space="0" w:color="auto"/>
            </w:tcBorders>
            <w:shd w:val="clear" w:color="auto" w:fill="auto"/>
            <w:noWrap/>
            <w:vAlign w:val="bottom"/>
            <w:hideMark/>
          </w:tcPr>
          <w:p w14:paraId="7128D69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1998</w:t>
            </w:r>
          </w:p>
        </w:tc>
        <w:tc>
          <w:tcPr>
            <w:tcW w:w="548" w:type="pct"/>
            <w:tcBorders>
              <w:top w:val="nil"/>
              <w:left w:val="nil"/>
              <w:bottom w:val="single" w:sz="4" w:space="0" w:color="auto"/>
              <w:right w:val="single" w:sz="4" w:space="0" w:color="auto"/>
            </w:tcBorders>
            <w:shd w:val="clear" w:color="auto" w:fill="auto"/>
            <w:noWrap/>
            <w:vAlign w:val="bottom"/>
            <w:hideMark/>
          </w:tcPr>
          <w:p w14:paraId="46BC582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376</w:t>
            </w:r>
          </w:p>
        </w:tc>
        <w:tc>
          <w:tcPr>
            <w:tcW w:w="399" w:type="pct"/>
            <w:tcBorders>
              <w:top w:val="nil"/>
              <w:left w:val="nil"/>
              <w:bottom w:val="single" w:sz="4" w:space="0" w:color="auto"/>
              <w:right w:val="single" w:sz="4" w:space="0" w:color="auto"/>
            </w:tcBorders>
            <w:shd w:val="clear" w:color="auto" w:fill="auto"/>
            <w:noWrap/>
            <w:vAlign w:val="bottom"/>
            <w:hideMark/>
          </w:tcPr>
          <w:p w14:paraId="428DFA1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48.14</w:t>
            </w:r>
          </w:p>
        </w:tc>
        <w:tc>
          <w:tcPr>
            <w:tcW w:w="449" w:type="pct"/>
            <w:tcBorders>
              <w:top w:val="nil"/>
              <w:left w:val="nil"/>
              <w:bottom w:val="single" w:sz="4" w:space="0" w:color="auto"/>
              <w:right w:val="single" w:sz="4" w:space="0" w:color="auto"/>
            </w:tcBorders>
            <w:shd w:val="clear" w:color="auto" w:fill="auto"/>
            <w:noWrap/>
            <w:vAlign w:val="bottom"/>
            <w:hideMark/>
          </w:tcPr>
          <w:p w14:paraId="5BBF900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24.45</w:t>
            </w:r>
          </w:p>
        </w:tc>
        <w:tc>
          <w:tcPr>
            <w:tcW w:w="498" w:type="pct"/>
            <w:tcBorders>
              <w:top w:val="nil"/>
              <w:left w:val="nil"/>
              <w:bottom w:val="single" w:sz="4" w:space="0" w:color="auto"/>
              <w:right w:val="single" w:sz="4" w:space="0" w:color="auto"/>
            </w:tcBorders>
            <w:shd w:val="clear" w:color="auto" w:fill="auto"/>
            <w:noWrap/>
            <w:vAlign w:val="bottom"/>
            <w:hideMark/>
          </w:tcPr>
          <w:p w14:paraId="5F064B2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F7E818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B43CAC8"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5B7288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Haiti</w:t>
            </w:r>
          </w:p>
        </w:tc>
        <w:tc>
          <w:tcPr>
            <w:tcW w:w="1053" w:type="pct"/>
            <w:tcBorders>
              <w:top w:val="nil"/>
              <w:left w:val="nil"/>
              <w:bottom w:val="single" w:sz="4" w:space="0" w:color="auto"/>
              <w:right w:val="single" w:sz="4" w:space="0" w:color="auto"/>
            </w:tcBorders>
            <w:shd w:val="clear" w:color="auto" w:fill="auto"/>
            <w:noWrap/>
            <w:vAlign w:val="bottom"/>
            <w:hideMark/>
          </w:tcPr>
          <w:p w14:paraId="1E9AD7C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DeGennaro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{"citationItems":[{"id":"ITEM-1","itemData":{"DOI":"10.1136/bmjopen-2017-020317","abstract":"Objective To estimate the prevalence of hypertension, diabetes and chronic kidney disease and their risk factors in a rural and urban region of Haiti. Setting and participants Community health workers enumerated 2648 households (909 rural and 1739 urban) via a multistage cluster random sampling method from July 2015 to May 2016, completed 705 rural and 1419 urban assessments for adults aged 25-65 years. Outcome measures We performed a WHO STEPS based questionnaire, measured two blood pressure values, weight, height, abdominal circumference and point of care test finger stick blood sample for haemoglobin A1c, creatinine and cholesterol (total, high density lipoprotein (HDL) and triglycerides). Results After adjusting for age and sex, the overall prevalence rates of hypertension, diabetes and chronic kidney disease were 15.6% (±2.93%), 19.7% (±1.57%) and 12.3% (±2.72%), respectively. Of the three non-communicable diseases (NCDs), only diabetes showed a significant difference between rural and urban sites (p=0.000), with the rural site (23.1%) having a higher prevalence than the urban site (16.4%). When comparing male and female participants, females were significantly more likely than males to have an NCD (p≤0.011). Females had a higher prevalence of most of the risk factors when compared with males. The urban location had a higher prevalence than the rural location for four risk factors that showed a significant difference between location (p≤0.037). Conclusions Women in Haiti had significantly higher prevalence rates of most NCDs and risk factors than men, and urban populations frequently, but not always, had higher rates of NCDs risk factors than the rural population. Further, it was shown that using point of care blood tests combined with community health workers, it is feasible to screen for NCDs and risk factors in remote areas which otherwise have limited access to healthcare.","author":[{"dropping-particle":"","family":"Degennaro","given":"Vincent","non-dropping-particle":"","parse-names":false,"suffix":""},{"dropping-particle":"","family":"Malcolm","given":"Stuart","non-dropping-particle":"","parse-names":false,"suffix":""},{"dropping-particle":"","family":"Crompton","given":"Lindsay","non-dropping-particle":"","parse-names":false,"suffix":""},{"dropping-particle":"","family":"Vaddiparti","given":"Krishna","non-dropping-particle":"","parse-names":false,"suffix":""},{"dropping-particle":"","family":"Mramba","given":"Lazarus K","non-dropping-particle":"","parse-names":false,"suffix":""},{"dropping-particle":"","family":"Striley","given":"Catherine","non-dropping-particle":"","parse-names":false,"suffix":""},{"dropping-particle":"","family":"Cottler","given":"Linda","non-dropping-particle":"","parse-names":false,"suffix":""},{"dropping-particle":"","family":"Taylor","given":"Kellee","non-dropping-particle":"","parse-names":false,"suffix":""},{"dropping-particle":"","family":"Leverence","given":"Robert","non-dropping-particle":"","parse-names":false,"suffix":""}],"container-title":"BMJ Open","id":"ITEM-1","issue":"4","issued":{"date-parts":[["2018"]]},"page":"1-8","title":"Community-based diagnosis of non-communicable diseases and their risk factors in rural and urban Haiti: A cross-sectional prevalence study","type":"article-journal","volume":"8"},"uris":["http://www.mendeley.com/documents/?uuid=e62eebbf-1366-4dfb-8638-966e1c6e072f"]}],"mendeley":{"formattedCitation":"&lt;sup&gt;119&lt;/sup&gt;","plainTextFormattedCitation":"119","previouslyFormattedCitation":"&lt;sup&gt;119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554CD2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2018</w:t>
            </w:r>
          </w:p>
        </w:tc>
        <w:tc>
          <w:tcPr>
            <w:tcW w:w="598" w:type="pct"/>
            <w:tcBorders>
              <w:top w:val="nil"/>
              <w:left w:val="nil"/>
              <w:bottom w:val="single" w:sz="4" w:space="0" w:color="auto"/>
              <w:right w:val="single" w:sz="4" w:space="0" w:color="auto"/>
            </w:tcBorders>
            <w:shd w:val="clear" w:color="auto" w:fill="auto"/>
            <w:noWrap/>
            <w:vAlign w:val="bottom"/>
            <w:hideMark/>
          </w:tcPr>
          <w:p w14:paraId="114E2AA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48" w:type="pct"/>
            <w:tcBorders>
              <w:top w:val="nil"/>
              <w:left w:val="nil"/>
              <w:bottom w:val="single" w:sz="4" w:space="0" w:color="auto"/>
              <w:right w:val="single" w:sz="4" w:space="0" w:color="auto"/>
            </w:tcBorders>
            <w:shd w:val="clear" w:color="auto" w:fill="auto"/>
            <w:noWrap/>
            <w:vAlign w:val="bottom"/>
            <w:hideMark/>
          </w:tcPr>
          <w:p w14:paraId="7EC817D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2131</w:t>
            </w:r>
          </w:p>
        </w:tc>
        <w:tc>
          <w:tcPr>
            <w:tcW w:w="399" w:type="pct"/>
            <w:tcBorders>
              <w:top w:val="nil"/>
              <w:left w:val="nil"/>
              <w:bottom w:val="single" w:sz="4" w:space="0" w:color="auto"/>
              <w:right w:val="single" w:sz="4" w:space="0" w:color="auto"/>
            </w:tcBorders>
            <w:shd w:val="clear" w:color="auto" w:fill="auto"/>
            <w:noWrap/>
            <w:vAlign w:val="bottom"/>
            <w:hideMark/>
          </w:tcPr>
          <w:p w14:paraId="5D46BF7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38.9</w:t>
            </w:r>
          </w:p>
        </w:tc>
        <w:tc>
          <w:tcPr>
            <w:tcW w:w="449" w:type="pct"/>
            <w:tcBorders>
              <w:top w:val="nil"/>
              <w:left w:val="nil"/>
              <w:bottom w:val="single" w:sz="4" w:space="0" w:color="auto"/>
              <w:right w:val="single" w:sz="4" w:space="0" w:color="auto"/>
            </w:tcBorders>
            <w:shd w:val="clear" w:color="auto" w:fill="auto"/>
            <w:noWrap/>
            <w:vAlign w:val="bottom"/>
            <w:hideMark/>
          </w:tcPr>
          <w:p w14:paraId="7E2CDCF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40.8</w:t>
            </w:r>
          </w:p>
        </w:tc>
        <w:tc>
          <w:tcPr>
            <w:tcW w:w="498" w:type="pct"/>
            <w:tcBorders>
              <w:top w:val="nil"/>
              <w:left w:val="nil"/>
              <w:bottom w:val="single" w:sz="4" w:space="0" w:color="auto"/>
              <w:right w:val="single" w:sz="4" w:space="0" w:color="auto"/>
            </w:tcBorders>
            <w:shd w:val="clear" w:color="auto" w:fill="auto"/>
            <w:noWrap/>
            <w:vAlign w:val="bottom"/>
            <w:hideMark/>
          </w:tcPr>
          <w:p w14:paraId="1A26300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60C271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7405A136"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2C7546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Honduras</w:t>
            </w:r>
          </w:p>
        </w:tc>
        <w:tc>
          <w:tcPr>
            <w:tcW w:w="1053" w:type="pct"/>
            <w:tcBorders>
              <w:top w:val="nil"/>
              <w:left w:val="nil"/>
              <w:bottom w:val="single" w:sz="4" w:space="0" w:color="auto"/>
              <w:right w:val="single" w:sz="4" w:space="0" w:color="auto"/>
            </w:tcBorders>
            <w:shd w:val="clear" w:color="auto" w:fill="auto"/>
            <w:noWrap/>
            <w:vAlign w:val="bottom"/>
            <w:hideMark/>
          </w:tcPr>
          <w:p w14:paraId="43FE46B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Wong-McClure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{"citationItems":[{"id":"ITEM-1","itemData":{"ISSN":"1020-4989 (Print) 1020-4989","abstract":"OBJECTIVE: To report the prevalence of metabolic syndrome (MetS) as found by the Central American Diabetes Initiative (CAMDI) study for five major Central American populations: Belize (national); Costa Rica (San José); Guatemala (Guatemala City); Honduras (Tegucigalpa); and Nicaragua (Managua). METHODS: Study data on 6 185 adults aged 20 years or older with anthropometric and laboratory determination of MetS from population-based surveys were analyzed. Overall, the survey response rate was 82.0%. MetS prevalence was determined according to criteria from the Adult Treatment Panel III of the National Cholesterol Education Program. The study&amp;#039;s protocol was reviewed and approved by the bioethical committee of each country studied. RESULTS: The overall standardized prevalence of MetS in the Central American region was 30.3% (95% confidence interval (CI): 27.1-33.4). There was wide variability by gender and work conditions, with higher prevalence among females and unpaid workers. The standardized percentage of the population free of any component of MetS was lowest in Costa Rica (9.0%; CI: 6.5-11.4) and highest in Honduras (21.1%; CI: 16.4-25.9). CONCLUSIONS: Overall prevalence of MetS in Central America is high. Strengthening surveillance of chronic diseases and establishing effective programs for preventing cardiovascular diseases might reduce the risk of MetS in Central America. OBJETIVO: Notificar la prevalencia del síndrome metabólico (SMet) observada en el estudio de la Iniciativa Centroamericana de Diabetes (CAMDI) llevado a cabo en cinco importantes poblaciones centroamericanas: Belice (nacional); Costa Rica (San José); Guatemala (Ciudad de Guatemala); Honduras (Tegucigalpa); y Nicaragua (Managua). MÉTODOS: Se analizaron los datos de estudio obtenidos de las encuestas poblacionales dirigidas a 6 185 adultos de 20 años de edad o mayores con determinaciones antropométricas y de laboratorio relativas al SMet. En términos generales, la tasa de respuesta a las encuestas fue de 82,0%. Se determinó la prevalencia del SMet según los criterios del tercer informe del Grupo de Expertos en el Tratamiento de Adultos (Adult Treatment Panel III) del Programa Nacional de Educación sobre el Colesterol. El protocolo del estudio fue examinado y aprobado por el comité de bioética de cada uno de los países incluidos en el estudio. RESULTADOS: La prevalencia general estandarizada del SMet en Centroamérica fue de 30,3% (Intervalo de confianza de 95% (IC): 27,1-33,4). S…","author":[{"dropping-particle":"","family":"Wong-McClure","given":"Roy A","non-dropping-particle":"","parse-names":false,"suffix":""},{"dropping-particle":"","family":"Gregg","given":"Edward W","non-dropping-particle":"","parse-names":false,"suffix":""},{"dropping-particle":"","family":"Barceló","given":"Alberto","non-dropping-particle":"","parse-names":false,"suffix":""},{"dropping-particle":"","family":"Lee","given":"Kahye","non-dropping-particle":"","parse-names":false,"suffix":""},{"dropping-particle":"","family":"Abarca-Gómez","given":"Le","non-dropping-particle":"","parse-names":false,"suffix":""},{"dropping-particle":"","family":"Sanabria-López","given":"Laura","non-dropping-particle":"","parse-names":false,"suffix":""},{"dropping-particle":"","family":"Tortós-Guzmán","given":"Jaime","non-dropping-particle":"","parse-names":false,"suffix":""}],"container-title":"Rev Panam Salud Publica","id":"ITEM-1","issue":"3","issued":{"date-parts":[["2015"]]},"language":"en","page":"202-208","title":"Prevalence of metabolic syndrome in Central America: a cross-sectional population-based study","type":"article-journal","volume":"38"},"uris":["http://www.mendeley.com/documents/?uuid=466c808c-ecb8-4baf-b4d6-369197f44afe"]}],"mendeley":{"formattedCitation":"&lt;sup&gt;11&lt;/sup&gt;","plainTextFormattedCitation":"11","previouslyFormattedCitation":"&lt;sup&gt;11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CEBBD0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4ABEF07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1A1BA69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1124</w:t>
            </w:r>
          </w:p>
        </w:tc>
        <w:tc>
          <w:tcPr>
            <w:tcW w:w="399" w:type="pct"/>
            <w:tcBorders>
              <w:top w:val="nil"/>
              <w:left w:val="nil"/>
              <w:bottom w:val="single" w:sz="4" w:space="0" w:color="auto"/>
              <w:right w:val="single" w:sz="4" w:space="0" w:color="auto"/>
            </w:tcBorders>
            <w:shd w:val="clear" w:color="auto" w:fill="auto"/>
            <w:noWrap/>
            <w:vAlign w:val="bottom"/>
            <w:hideMark/>
          </w:tcPr>
          <w:p w14:paraId="31D228B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30.3</w:t>
            </w:r>
          </w:p>
        </w:tc>
        <w:tc>
          <w:tcPr>
            <w:tcW w:w="449" w:type="pct"/>
            <w:tcBorders>
              <w:top w:val="nil"/>
              <w:left w:val="nil"/>
              <w:bottom w:val="single" w:sz="4" w:space="0" w:color="auto"/>
              <w:right w:val="single" w:sz="4" w:space="0" w:color="auto"/>
            </w:tcBorders>
            <w:shd w:val="clear" w:color="auto" w:fill="auto"/>
            <w:noWrap/>
            <w:vAlign w:val="bottom"/>
            <w:hideMark/>
          </w:tcPr>
          <w:p w14:paraId="66711A7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1C106E1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D5B562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5922B29"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7067C8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Honduras</w:t>
            </w:r>
          </w:p>
        </w:tc>
        <w:tc>
          <w:tcPr>
            <w:tcW w:w="1053" w:type="pct"/>
            <w:tcBorders>
              <w:top w:val="nil"/>
              <w:left w:val="nil"/>
              <w:bottom w:val="single" w:sz="4" w:space="0" w:color="auto"/>
              <w:right w:val="single" w:sz="4" w:space="0" w:color="auto"/>
            </w:tcBorders>
            <w:shd w:val="clear" w:color="auto" w:fill="auto"/>
            <w:noWrap/>
            <w:vAlign w:val="bottom"/>
            <w:hideMark/>
          </w:tcPr>
          <w:p w14:paraId="6EE4B7E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Hall Marti</w:t>
            </w:r>
            <w:r w:rsidRPr="009E0769">
              <w:rPr>
                <w:rFonts w:ascii="Arial" w:eastAsia="Times New Roman" w:hAnsi="Arial" w:cs="Arial"/>
                <w:color w:val="000000"/>
                <w:sz w:val="16"/>
                <w:szCs w:val="16"/>
                <w:lang w:eastAsia="en-GB"/>
              </w:rPr>
              <w:softHyphen/>
              <w:t>nez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{"citationItems":[{"id":"ITEM-1","itemData":{"abstract":"ANTECEDENTES. La hipertensión arterial(HTA) representa un creciente problema de salud a nivel mundial. En los países en desarrollo el mejoramiento de las condiciones socioeconómicas, el cambio en los estilos de vida, la creciente migración hacia las zonas urbanas y el envejecimiento de la población, han condicionado un incremento, en la prevalencia de las enfermedades no transmisibles. En la ciudad de El Progreso, Honduras se desconoce cual es la prevalencia de la hipertensión y otros factores de riesgo cardiovascular. METODO. Se realizó un estudio descriptivo transversal para determinar la prevalencia de hipertensión arterial y otros factores de riesgo cardiovascular en la cuidad de El Progreso, Honduras. Se obtuvo una muestra de 246 personas, mayores de 18 años, de ambos sexos y con participación voluntaria, excluyéndose a las mujeres embarazadas. Se utilizó la definición de JNC 7 para categorizar las cifras de presión arterial obtenidas. RESULTADOS. Se detectaron valores normales de presión arterial en 24.8%, prehipertensión arterial en 42.3%, hipertensión arterial estadio 1 en 19.1% y estadio 2 en 13.8% de los individuos. Sin embargo, al tomar en cuenta las personas con antecedente de hipertensión pero que en el momento de la medición de la presión arterial obtuvieron cifras normales, se encontró frecuencia de hipertensión arterial de 45.52%. Del total de personas hipertensas, el 31.2% desconocía su enfermedad. Se observó que los diabéticos tiene el doble riesgo de tener HTA que las personas no diabéticas. CONCLUSIONES. La hipertensión arterial se presenta con una frecuencia en la población adulta de 18 años en el El Progreso. La prevalencia de prehipertensión en los adultos jóvenes entre los 18 y 57 años, presentan una elevada frecuencia de hipertensión arterial. Entre los factores de riesgo para hipertensión estudiados, la diabetes mellitus fue el más significativo, seguido por obesidad y obesidad central...","author":[{"dropping-particle":"","family":"Hall Martínez","given":"Jaime","non-dropping-particle":"","parse-names":false,"suffix":""},{"dropping-particle":"","family":"Hall Reyes","given":"Jaime","non-dropping-particle":"","parse-names":false,"suffix":""},{"dropping-particle":"","family":"Alvarenga Thiebaud","given":"Mirna","non-dropping-particle":"","parse-names":false,"suffix":""},{"dropping-particle":"","family":"Gómez","given":"Ovidio","non-dropping-particle":"","parse-names":false,"suffix":""}],"container-title":"Rev Med Hondur","id":"ITEM-1","issue":"2","issued":{"date-parts":[["2005"]]},"language":"es","page":"60-64","title":"Prevalencia de hipertensión arterial en adultos de El Progreso","type":"article-journal","volume":"73"},"uris":["http://www.mendeley.com/documents/?uuid=4fc49603-3808-4a5c-a1b7-d726b44a95ca"]}],"mendeley":{"formattedCitation":"&lt;sup&gt;120&lt;/sup&gt;","plainTextFormattedCitation":"120","previouslyFormattedCitation":"&lt;sup&gt;120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120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7714B0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98" w:type="pct"/>
            <w:tcBorders>
              <w:top w:val="nil"/>
              <w:left w:val="nil"/>
              <w:bottom w:val="single" w:sz="4" w:space="0" w:color="auto"/>
              <w:right w:val="single" w:sz="4" w:space="0" w:color="auto"/>
            </w:tcBorders>
            <w:shd w:val="clear" w:color="auto" w:fill="auto"/>
            <w:noWrap/>
            <w:vAlign w:val="bottom"/>
            <w:hideMark/>
          </w:tcPr>
          <w:p w14:paraId="30591C0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2003</w:t>
            </w:r>
          </w:p>
        </w:tc>
        <w:tc>
          <w:tcPr>
            <w:tcW w:w="548" w:type="pct"/>
            <w:tcBorders>
              <w:top w:val="nil"/>
              <w:left w:val="nil"/>
              <w:bottom w:val="single" w:sz="4" w:space="0" w:color="auto"/>
              <w:right w:val="single" w:sz="4" w:space="0" w:color="auto"/>
            </w:tcBorders>
            <w:shd w:val="clear" w:color="auto" w:fill="auto"/>
            <w:noWrap/>
            <w:vAlign w:val="bottom"/>
            <w:hideMark/>
          </w:tcPr>
          <w:p w14:paraId="6595C88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246</w:t>
            </w:r>
          </w:p>
        </w:tc>
        <w:tc>
          <w:tcPr>
            <w:tcW w:w="399" w:type="pct"/>
            <w:tcBorders>
              <w:top w:val="nil"/>
              <w:left w:val="nil"/>
              <w:bottom w:val="single" w:sz="4" w:space="0" w:color="auto"/>
              <w:right w:val="single" w:sz="4" w:space="0" w:color="auto"/>
            </w:tcBorders>
            <w:shd w:val="clear" w:color="auto" w:fill="auto"/>
            <w:noWrap/>
            <w:vAlign w:val="bottom"/>
            <w:hideMark/>
          </w:tcPr>
          <w:p w14:paraId="3E3AF0E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42.3</w:t>
            </w:r>
          </w:p>
        </w:tc>
        <w:tc>
          <w:tcPr>
            <w:tcW w:w="449" w:type="pct"/>
            <w:tcBorders>
              <w:top w:val="nil"/>
              <w:left w:val="nil"/>
              <w:bottom w:val="single" w:sz="4" w:space="0" w:color="auto"/>
              <w:right w:val="single" w:sz="4" w:space="0" w:color="auto"/>
            </w:tcBorders>
            <w:shd w:val="clear" w:color="auto" w:fill="auto"/>
            <w:noWrap/>
            <w:vAlign w:val="bottom"/>
            <w:hideMark/>
          </w:tcPr>
          <w:p w14:paraId="7637E20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48.21</w:t>
            </w:r>
          </w:p>
        </w:tc>
        <w:tc>
          <w:tcPr>
            <w:tcW w:w="498" w:type="pct"/>
            <w:tcBorders>
              <w:top w:val="nil"/>
              <w:left w:val="nil"/>
              <w:bottom w:val="single" w:sz="4" w:space="0" w:color="auto"/>
              <w:right w:val="single" w:sz="4" w:space="0" w:color="auto"/>
            </w:tcBorders>
            <w:shd w:val="clear" w:color="auto" w:fill="auto"/>
            <w:noWrap/>
            <w:vAlign w:val="bottom"/>
            <w:hideMark/>
          </w:tcPr>
          <w:p w14:paraId="58E6C47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80AE8D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73CC2C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38E953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Jamaica</w:t>
            </w:r>
          </w:p>
        </w:tc>
        <w:tc>
          <w:tcPr>
            <w:tcW w:w="1053" w:type="pct"/>
            <w:tcBorders>
              <w:top w:val="nil"/>
              <w:left w:val="nil"/>
              <w:bottom w:val="single" w:sz="4" w:space="0" w:color="auto"/>
              <w:right w:val="single" w:sz="4" w:space="0" w:color="auto"/>
            </w:tcBorders>
            <w:shd w:val="clear" w:color="auto" w:fill="auto"/>
            <w:noWrap/>
            <w:vAlign w:val="bottom"/>
            <w:hideMark/>
          </w:tcPr>
          <w:p w14:paraId="5FFE55B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Ferguson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{"citationItems":[{"id":"ITEM-1","itemData":{"DOI":"10.3389/fcvm.2017.00028","abstract":"Objectives: Socioeconomic disparities in health have emerged as an important area in public health, but studies from Afro-Caribbean populations are uncommon. In this study, we report on educational health disparities in cardiovascular disease (CVD) risk factors (hypertension, diabetes mellitus, hypercholesterolemia, and obesity), among Jamaican adults. Methods: We analyzed data from the Jamaica Health and Lifestyle Survey 2007–2008. Trained research staff administered questionnaires and obtained measurements of blood pressure, anthropometrics, glucose and cholesterol. CVD risk factors were defined by internationally accepted cut-points. Educational level was classified as primary or lower, junior secondary, full secondary, and post-secondary. Educational disparities were assessed using age-adjusted or age-specific prevalence ratios and prevalence differences obtained from Poisson regression models. Post-secondary education was used as the reference category for all comparisons. Analyses were weighted for complex survey design to yield nationally representative estimates. Results: The sample included 678 men and 1,553 women with mean age of 39.4 years. The effect of education on CVD risk factors differed between men and women and by age group among women. Age-adjusted prevalence of diabetes mellitus was higher among men with less education, with prevalence differences ranging from 6.9 to 7.4 percentage points (p &lt; 0.05 for each group). Prevalence ratios for diabetes among men ranged from 3.3 to 3.5 but were not statistically significant. Age-specific prevalence of hypertension was generally higher among the less educated women, with statistically significant prevalence differences ranging from 6.0 to 45.6 percentage points and prevalence ratios ranging from 2.5 to 4.3. Similarly, estimates for obesity and hypercholesterolemia suggested that prevalence was higher among the less educated younger women (25–39 years) and among more educated older women (40–59 and 60–74 years). There were no statistically significant associations for diabetes among women, or for hypertension, high cholesterol, or obesity among men. Conclusion: Educational health disparities were demonstrated for diabetes mellitus among men, and for obesity, hypertension, and hypercholesterolemia among women in Jamaica. Prevalence of diabetes was higher among less educated men, while among younger women the prevalence of hypertension, hypercholesterolemia, and obesity was higher among those wi…","author":[{"dropping-particle":"","family":"Ferguson","given":"Trevor S","non-dropping-particle":"","parse-names":false,"suffix":""},{"dropping-particle":"","family":"Younger-Coleman","given":"Novie O M","non-dropping-particle":"","parse-names":false,"suffix":""},{"dropping-particle":"","family":"Tulloch-Reid","given":"Marshall K","non-dropping-particle":"","parse-names":false,"suffix":""},{"dropping-particle":"","family":"Hambleton","given":"Ian R","non-dropping-particle":"","parse-names":false,"suffix":""},{"dropping-particle":"","family":"Francis","given":"Damian K","non-dropping-particle":"","parse-names":false,"suffix":""},{"dropping-particle":"","family":"Bennett","given":"Nadia R","non-dropping-particle":"","parse-names":false,"suffix":""},{"dropping-particle":"","family":"McFarlane","given":"Shelly R","non-dropping-particle":"","parse-names":false,"suffix":""},{"dropping-particle":"","family":"Bidulescu","given":"Aurelian","non-dropping-particle":"","parse-names":false,"suffix":""},{"dropping-particle":"","family":"MacLeish","given":"Marlene Y","non-dropping-particle":"","parse-names":false,"suffix":""},{"dropping-particle":"","family":"Hennis","given":"Anselm J M","non-dropping-particle":"","parse-names":false,"suffix":""},{"dropping-particle":"","family":"Wilks","given":"Rainford J","non-dropping-particle":"","parse-names":false,"suffix":""},{"dropping-particle":"","family":"Harris","given":"E Nigel","non-dropping-particle":"","parse-names":false,"suffix":""},{"dropping-particle":"","family":"Sullivan","given":"Louis W","non-dropping-particle":"","parse-names":false,"suffix":""}],"container-title":"Frontiers in Cardiovascular Medicine","id":"ITEM-1","issue":"May","issued":{"date-parts":[["2017"]]},"page":"1-11","title":"Educational Health Disparities in Cardiovascular Disease Risk Factors: Findings from Jamaica Health and Lifestyle Survey 2007–2008","type":"article-journal","volume":"4"},"uris":["http://www.mendeley.com/documents/?uuid=4e18cc10-b24e-416b-96f0-9e89ae0f08a7"]}],"mendeley":{"formattedCitation":"&lt;sup&gt;121&lt;/sup&gt;","plainTextFormattedCitation":"121","previouslyFormattedCitation":"&lt;sup&gt;121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121</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 xml:space="preserve"> </w:t>
            </w:r>
          </w:p>
        </w:tc>
        <w:tc>
          <w:tcPr>
            <w:tcW w:w="648" w:type="pct"/>
            <w:tcBorders>
              <w:top w:val="nil"/>
              <w:left w:val="nil"/>
              <w:bottom w:val="single" w:sz="4" w:space="0" w:color="auto"/>
              <w:right w:val="single" w:sz="4" w:space="0" w:color="auto"/>
            </w:tcBorders>
            <w:shd w:val="clear" w:color="auto" w:fill="auto"/>
            <w:noWrap/>
            <w:vAlign w:val="bottom"/>
            <w:hideMark/>
          </w:tcPr>
          <w:p w14:paraId="3B2B09F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7D29792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48" w:type="pct"/>
            <w:tcBorders>
              <w:top w:val="nil"/>
              <w:left w:val="nil"/>
              <w:bottom w:val="single" w:sz="4" w:space="0" w:color="auto"/>
              <w:right w:val="single" w:sz="4" w:space="0" w:color="auto"/>
            </w:tcBorders>
            <w:shd w:val="clear" w:color="auto" w:fill="auto"/>
            <w:noWrap/>
            <w:vAlign w:val="bottom"/>
            <w:hideMark/>
          </w:tcPr>
          <w:p w14:paraId="3B19D11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2231</w:t>
            </w:r>
          </w:p>
        </w:tc>
        <w:tc>
          <w:tcPr>
            <w:tcW w:w="399" w:type="pct"/>
            <w:tcBorders>
              <w:top w:val="nil"/>
              <w:left w:val="nil"/>
              <w:bottom w:val="single" w:sz="4" w:space="0" w:color="auto"/>
              <w:right w:val="single" w:sz="4" w:space="0" w:color="auto"/>
            </w:tcBorders>
            <w:shd w:val="clear" w:color="auto" w:fill="auto"/>
            <w:noWrap/>
            <w:vAlign w:val="bottom"/>
            <w:hideMark/>
          </w:tcPr>
          <w:p w14:paraId="687840C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30.39</w:t>
            </w:r>
          </w:p>
        </w:tc>
        <w:tc>
          <w:tcPr>
            <w:tcW w:w="449" w:type="pct"/>
            <w:tcBorders>
              <w:top w:val="nil"/>
              <w:left w:val="nil"/>
              <w:bottom w:val="single" w:sz="4" w:space="0" w:color="auto"/>
              <w:right w:val="single" w:sz="4" w:space="0" w:color="auto"/>
            </w:tcBorders>
            <w:shd w:val="clear" w:color="auto" w:fill="auto"/>
            <w:noWrap/>
            <w:vAlign w:val="bottom"/>
            <w:hideMark/>
          </w:tcPr>
          <w:p w14:paraId="685A7DD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39.4</w:t>
            </w:r>
          </w:p>
        </w:tc>
        <w:tc>
          <w:tcPr>
            <w:tcW w:w="498" w:type="pct"/>
            <w:tcBorders>
              <w:top w:val="nil"/>
              <w:left w:val="nil"/>
              <w:bottom w:val="single" w:sz="4" w:space="0" w:color="auto"/>
              <w:right w:val="single" w:sz="4" w:space="0" w:color="auto"/>
            </w:tcBorders>
            <w:shd w:val="clear" w:color="auto" w:fill="auto"/>
            <w:noWrap/>
            <w:vAlign w:val="bottom"/>
            <w:hideMark/>
          </w:tcPr>
          <w:p w14:paraId="729B8A7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541C92E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6EC529C"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109D0E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Jamaica</w:t>
            </w:r>
          </w:p>
        </w:tc>
        <w:tc>
          <w:tcPr>
            <w:tcW w:w="1053" w:type="pct"/>
            <w:tcBorders>
              <w:top w:val="nil"/>
              <w:left w:val="nil"/>
              <w:bottom w:val="single" w:sz="4" w:space="0" w:color="auto"/>
              <w:right w:val="single" w:sz="4" w:space="0" w:color="auto"/>
            </w:tcBorders>
            <w:shd w:val="clear" w:color="auto" w:fill="auto"/>
            <w:noWrap/>
            <w:vAlign w:val="bottom"/>
            <w:hideMark/>
          </w:tcPr>
          <w:p w14:paraId="109FB14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Gupta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{"citationItems":[{"id":"ITEM-1","itemData":{"ISSN":"1432-1203","abstract":"The relevance of loci associated with blood lipids recently identified in European populations in individuals of African ancestry is unknown. We tested association between lipid traits and 36 previously described single-nucleotide polymorphisms (SNPs) in 1,466 individuals of African ancestry from Spanish Town, Jamaica. For the same allele and effect direction as observed in individuals of European ancestry, SNPs at three loci (1p13, 2p21, and 19p13) showed statistically significant association (p &lt; 0.05) with LDL, two loci (11q12 and 20q13) showed association with HDL cholesterol, and two loci (11q12 and 2p24) showed association with triglycerides. The most significant association was between a SNP at 1p13 and LDL cholesterol (p = 4.6 x 10(-8)). This SNP is in a linkage disequilibrium region containing four genes (CELSR2, PSRC1, MYBPHL, and SORT1) and was recently shown to relate to risk for myocardial infarction. Overall, the results of this study suggest that much of the genetic variation which influences blood lipids is shared across ethnic groups.","author":[{"dropping-particle":"","family":"Gupta","given":"R","non-dropping-particle":"","parse-names":false,"suffix":""},{"dropping-particle":"","family":"Ejebe","given":"K","non-dropping-particle":"","parse-names":false,"suffix":""},{"dropping-particle":"","family":"Butler","given":"J","non-dropping-particle":"","parse-names":false,"suffix":""},{"dropping-particle":"","family":"Lettre","given":"G","non-dropping-particle":"","parse-names":false,"suffix":""},{"dropping-particle":"","family":"Lyon","given":"H","non-dropping-particle":"","parse-names":false,"suffix":""},{"dropping-particle":"","family":"Guiducci","given":"C","non-dropping-particle":"","parse-names":false,"suffix":""},{"dropping-particle":"","family":"Wilks","given":"R","non-dropping-particle":"","parse-names":false,"suffix":""},{"dropping-particle":"","family":"Bennett","given":"F","non-dropping-particle":"","parse-names":false,"suffix":""},{"dropping-particle":"","family":"Forrester","given":"T","non-dropping-particle":"","parse-names":false,"suffix":""},{"dropping-particle":"","family":"Tayo","given":"B","non-dropping-particle":"","parse-names":false,"suffix":""},{"dropping-particle":"","family":"Musunuru","given":"K","non-dropping-particle":"","parse-names":false,"suffix":""},{"dropping-particle":"","family":"Hirschhorn","given":"J","non-dropping-particle":"","parse-names":false,"suffix":""},{"dropping-particle":"","family":"Kathiresan","given":"S","non-dropping-particle":"","parse-names":false,"suffix":""},{"dropping-particle":"","family":"Cooper","given":"R S","non-dropping-particle":"","parse-names":false,"suffix":""},{"dropping-particle":"","family":"McKenzie","given":"C A","non-dropping-particle":"","parse-names":false,"suffix":""}],"container-title":"Human genetics","id":"ITEM-1","issue":"5","issued":{"date-parts":[["2010"]]},"page":"557-561","title":"Association of common DNA sequence variants at 33 genetic loci with blood lipids in individuals of African ancestry from Jamaica","type":"article-journal","volume":"128"},"uris":["http://www.mendeley.com/documents/?uuid=c23f5d6f-132f-4202-a0e4-d311e82d2c69"]}],"mendeley":{"formattedCitation":"&lt;sup&gt;122&lt;/sup&gt;","plainTextFormattedCitation":"122","previouslyFormattedCitation":"&lt;sup&gt;122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122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961446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0389885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1996</w:t>
            </w:r>
          </w:p>
        </w:tc>
        <w:tc>
          <w:tcPr>
            <w:tcW w:w="548" w:type="pct"/>
            <w:tcBorders>
              <w:top w:val="nil"/>
              <w:left w:val="nil"/>
              <w:bottom w:val="single" w:sz="4" w:space="0" w:color="auto"/>
              <w:right w:val="single" w:sz="4" w:space="0" w:color="auto"/>
            </w:tcBorders>
            <w:shd w:val="clear" w:color="auto" w:fill="auto"/>
            <w:noWrap/>
            <w:vAlign w:val="bottom"/>
            <w:hideMark/>
          </w:tcPr>
          <w:p w14:paraId="4E41686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1466</w:t>
            </w:r>
          </w:p>
        </w:tc>
        <w:tc>
          <w:tcPr>
            <w:tcW w:w="399" w:type="pct"/>
            <w:tcBorders>
              <w:top w:val="nil"/>
              <w:left w:val="nil"/>
              <w:bottom w:val="single" w:sz="4" w:space="0" w:color="auto"/>
              <w:right w:val="single" w:sz="4" w:space="0" w:color="auto"/>
            </w:tcBorders>
            <w:shd w:val="clear" w:color="auto" w:fill="auto"/>
            <w:noWrap/>
            <w:vAlign w:val="bottom"/>
            <w:hideMark/>
          </w:tcPr>
          <w:p w14:paraId="3E4EDA4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41.47</w:t>
            </w:r>
          </w:p>
        </w:tc>
        <w:tc>
          <w:tcPr>
            <w:tcW w:w="449" w:type="pct"/>
            <w:tcBorders>
              <w:top w:val="nil"/>
              <w:left w:val="nil"/>
              <w:bottom w:val="single" w:sz="4" w:space="0" w:color="auto"/>
              <w:right w:val="single" w:sz="4" w:space="0" w:color="auto"/>
            </w:tcBorders>
            <w:shd w:val="clear" w:color="auto" w:fill="auto"/>
            <w:noWrap/>
            <w:vAlign w:val="bottom"/>
            <w:hideMark/>
          </w:tcPr>
          <w:p w14:paraId="7218019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45.9</w:t>
            </w:r>
          </w:p>
        </w:tc>
        <w:tc>
          <w:tcPr>
            <w:tcW w:w="498" w:type="pct"/>
            <w:tcBorders>
              <w:top w:val="nil"/>
              <w:left w:val="nil"/>
              <w:bottom w:val="single" w:sz="4" w:space="0" w:color="auto"/>
              <w:right w:val="single" w:sz="4" w:space="0" w:color="auto"/>
            </w:tcBorders>
            <w:shd w:val="clear" w:color="auto" w:fill="auto"/>
            <w:noWrap/>
            <w:vAlign w:val="bottom"/>
            <w:hideMark/>
          </w:tcPr>
          <w:p w14:paraId="1E0137F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FCC2D2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3E1108C"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329FBA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Jamaica</w:t>
            </w:r>
          </w:p>
        </w:tc>
        <w:tc>
          <w:tcPr>
            <w:tcW w:w="1053" w:type="pct"/>
            <w:tcBorders>
              <w:top w:val="nil"/>
              <w:left w:val="nil"/>
              <w:bottom w:val="single" w:sz="4" w:space="0" w:color="auto"/>
              <w:right w:val="single" w:sz="4" w:space="0" w:color="auto"/>
            </w:tcBorders>
            <w:shd w:val="clear" w:color="auto" w:fill="auto"/>
            <w:noWrap/>
            <w:vAlign w:val="bottom"/>
            <w:hideMark/>
          </w:tcPr>
          <w:p w14:paraId="2CA8B68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Florey</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{"citationItems":[{"id":"ITEM-1","itemData":{"ISSN":"1464-3685","author":[{"dropping-particle":"V","family":"Florey","given":"C du","non-dropping-particle":"","parse-names":false,"suffix":""},{"dropping-particle":"","family":"McDonald","given":"H","non-dropping-particle":"","parse-names":false,"suffix":""},{"dropping-particle":"","family":"McDonald","given":"J","non-dropping-particle":"","parse-names":false,"suffix":""},{"dropping-particle":"","family":"Miall","given":"W E","non-dropping-particle":"","parse-names":false,"suffix":""}],"container-title":"International journal of epidemiology","id":"ITEM-1","issue":"2","issued":{"date-parts":[["1972"]]},"page":"157-166","title":"The prevalence of diabetes in a rural population of Jamaican adults","type":"article-journal","volume":"1"},"uris":["http://www.mendeley.com/documents/?uuid=0337e8f0-615d-4aaa-905d-0e04258cf042"]}],"mendeley":{"formattedCitation":"&lt;sup&gt;123&lt;/sup&gt;","plainTextFormattedCitation":"123","previouslyFormattedCitation":"&lt;sup&gt;123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123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F6EFFA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1973</w:t>
            </w:r>
          </w:p>
        </w:tc>
        <w:tc>
          <w:tcPr>
            <w:tcW w:w="598" w:type="pct"/>
            <w:tcBorders>
              <w:top w:val="nil"/>
              <w:left w:val="nil"/>
              <w:bottom w:val="single" w:sz="4" w:space="0" w:color="auto"/>
              <w:right w:val="single" w:sz="4" w:space="0" w:color="auto"/>
            </w:tcBorders>
            <w:shd w:val="clear" w:color="auto" w:fill="auto"/>
            <w:noWrap/>
            <w:vAlign w:val="bottom"/>
            <w:hideMark/>
          </w:tcPr>
          <w:p w14:paraId="4051B23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192F6D1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696</w:t>
            </w:r>
          </w:p>
        </w:tc>
        <w:tc>
          <w:tcPr>
            <w:tcW w:w="399" w:type="pct"/>
            <w:tcBorders>
              <w:top w:val="nil"/>
              <w:left w:val="nil"/>
              <w:bottom w:val="single" w:sz="4" w:space="0" w:color="auto"/>
              <w:right w:val="single" w:sz="4" w:space="0" w:color="auto"/>
            </w:tcBorders>
            <w:shd w:val="clear" w:color="auto" w:fill="auto"/>
            <w:noWrap/>
            <w:vAlign w:val="bottom"/>
            <w:hideMark/>
          </w:tcPr>
          <w:p w14:paraId="4B797F5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33.9</w:t>
            </w:r>
          </w:p>
        </w:tc>
        <w:tc>
          <w:tcPr>
            <w:tcW w:w="449" w:type="pct"/>
            <w:tcBorders>
              <w:top w:val="nil"/>
              <w:left w:val="nil"/>
              <w:bottom w:val="single" w:sz="4" w:space="0" w:color="auto"/>
              <w:right w:val="single" w:sz="4" w:space="0" w:color="auto"/>
            </w:tcBorders>
            <w:shd w:val="clear" w:color="auto" w:fill="auto"/>
            <w:noWrap/>
            <w:vAlign w:val="bottom"/>
            <w:hideMark/>
          </w:tcPr>
          <w:p w14:paraId="0F1656D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670D443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2FF36A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050C90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C4476D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Jamaica</w:t>
            </w:r>
          </w:p>
        </w:tc>
        <w:tc>
          <w:tcPr>
            <w:tcW w:w="1053" w:type="pct"/>
            <w:tcBorders>
              <w:top w:val="nil"/>
              <w:left w:val="nil"/>
              <w:bottom w:val="single" w:sz="4" w:space="0" w:color="auto"/>
              <w:right w:val="single" w:sz="4" w:space="0" w:color="auto"/>
            </w:tcBorders>
            <w:shd w:val="clear" w:color="auto" w:fill="auto"/>
            <w:noWrap/>
            <w:vAlign w:val="bottom"/>
            <w:hideMark/>
          </w:tcPr>
          <w:p w14:paraId="29901ED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Ferguson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{"citationItems":[{"id":"ITEM-1","itemData":{"DOI":"10.1186/1471-2261-8-20","ISSN":"1471226182","abstract":"Background: Recent studies have documented an increased risk of cardiovascular disease (CVD) in persons with systolic blood pressures of 120-139 mmHg and/or diastolic blood pressures of 80-89 mmHg, classified as prehypertension in the Seventh Report of the Joint National Committee on Prevention, Detection, Evaluation, and Treatment of High Blood Pressure. In this paper we estimate the prevalence of prehypertension in Jamaica and evaluate the relationship between prehypertension and other risk factors for CVD. Methods: The study used data from participants in the Jamaica Lifestyle Survey conducted from 2000-2001. A sample of 2012 persons, 15-74 years old, completed an interviewer administered questionnaire and had anthropometric and blood pressure measurements performed by trained observers using standardized procedures. Fasting glucose and total cholesterol were measured using a capillary blood sample. Analysis yielded crude, and sex-specific prevalence estimates for prehypertension and other CVD risk factors. Odds ratios for associations of prehypertension with CVD risk factors were obtained using logistic regression. Results: The prevalence of prehypertension among Jamaicans was 30% (95% confidence interval [CI] 27%-33%). Prehypertension was more common in males, 35% (CI 31%-39%), than females, 25% (CI 22%-28%). Almost 46% of participants were overweight; 19.7% were obese; 14.6% had hypercholesterolemia; 7.2% had diabetes mellitus and 17.8% smoked cigarettes. With the exception of cigarette smoking and low physical activity, all the CVD risk factors had significantly higher prevalence in the prehypertensive and hypertensive groups (p for trend &lt; 0.001) compared to the normotensive group. Odds of obesity, overweight, high cholesterol and increased waist circumference were significantly higher among younger prehypertensive participants (15-44 years-old) when compared to normotensive young participants, but not among those 45-74 years-old. Among men, being prehypertensive increased the odds of having &gt;/=3 CVD risk factors versus no risk factors almost three-fold (odds ratio [OR] 2.8 [CI 1.1-7.2]) while among women the odds of &gt;/=3 CVD risk factors was increased two-fold (OR 2.0 [CI 1.3-3.8]) Conclusion: Prehypertension occurs in 30% of Jamaicans and is associated with increased prevalence of other CVD risk factors. Health-care providers should recognize the increased CVD risk of prehypertension and should seek to identify and treat modifiable risk factor…","author":[{"dropping-particle":"","family":"Ferguson","given":"Trevor S","non-dropping-particle":"","parse-names":false,"suffix":""},{"dropping-particle":"","family":"Younger","given":"Novie O M","non-dropping-particle":"","parse-names":false,"suffix":""},{"dropping-particle":"","family":"Tulloch-Reid","given":"Marshall K","non-dropping-particle":"","parse-names":false,"suffix":""},{"dropping-particle":"","family":"Wright","given":"Marilyn B Lawrence","non-dropping-particle":"","parse-names":false,"suffix":""},{"dropping-particle":"","family":"Ward","given":"Elizabeth M","non-dropping-particle":"","parse-names":false,"suffix":""},{"dropping-particle":"","family":"Ashley","given":"Deanna E","non-dropping-particle":"","parse-names":false,"suffix":""},{"dropping-particle":"","family":"Wilks","given":"Rainford J","non-dropping-particle":"","parse-names":false,"suffix":""}],"container-title":"BMC Cardiovascular Disorders","id":"ITEM-1","issued":{"date-parts":[["2008"]]},"page":"1-9","title":"Prevalence of prehypertension and its relationship to risk factors for cardiovascular disease in Jamaica: Analysis from a cross-sectional survey","type":"article-journal","volume":"8"},"uris":["http://www.mendeley.com/documents/?uuid=47c9cf8b-7c19-4e28-bbd5-920f9a8e988a"]}],"mendeley":{"formattedCitation":"&lt;sup&gt;124&lt;/sup&gt;","plainTextFormattedCitation":"124","previouslyFormattedCitation":"&lt;sup&gt;124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124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8FC57A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98" w:type="pct"/>
            <w:tcBorders>
              <w:top w:val="nil"/>
              <w:left w:val="nil"/>
              <w:bottom w:val="single" w:sz="4" w:space="0" w:color="auto"/>
              <w:right w:val="single" w:sz="4" w:space="0" w:color="auto"/>
            </w:tcBorders>
            <w:shd w:val="clear" w:color="auto" w:fill="auto"/>
            <w:noWrap/>
            <w:vAlign w:val="bottom"/>
            <w:hideMark/>
          </w:tcPr>
          <w:p w14:paraId="23BA8B7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2001</w:t>
            </w:r>
          </w:p>
        </w:tc>
        <w:tc>
          <w:tcPr>
            <w:tcW w:w="548" w:type="pct"/>
            <w:tcBorders>
              <w:top w:val="nil"/>
              <w:left w:val="nil"/>
              <w:bottom w:val="single" w:sz="4" w:space="0" w:color="auto"/>
              <w:right w:val="single" w:sz="4" w:space="0" w:color="auto"/>
            </w:tcBorders>
            <w:shd w:val="clear" w:color="auto" w:fill="auto"/>
            <w:noWrap/>
            <w:vAlign w:val="bottom"/>
            <w:hideMark/>
          </w:tcPr>
          <w:p w14:paraId="46841A4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1972</w:t>
            </w:r>
          </w:p>
        </w:tc>
        <w:tc>
          <w:tcPr>
            <w:tcW w:w="399" w:type="pct"/>
            <w:tcBorders>
              <w:top w:val="nil"/>
              <w:left w:val="nil"/>
              <w:bottom w:val="single" w:sz="4" w:space="0" w:color="auto"/>
              <w:right w:val="single" w:sz="4" w:space="0" w:color="auto"/>
            </w:tcBorders>
            <w:shd w:val="clear" w:color="auto" w:fill="auto"/>
            <w:noWrap/>
            <w:vAlign w:val="bottom"/>
            <w:hideMark/>
          </w:tcPr>
          <w:p w14:paraId="54F0364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33.52</w:t>
            </w:r>
          </w:p>
        </w:tc>
        <w:tc>
          <w:tcPr>
            <w:tcW w:w="449" w:type="pct"/>
            <w:tcBorders>
              <w:top w:val="nil"/>
              <w:left w:val="nil"/>
              <w:bottom w:val="single" w:sz="4" w:space="0" w:color="auto"/>
              <w:right w:val="single" w:sz="4" w:space="0" w:color="auto"/>
            </w:tcBorders>
            <w:shd w:val="clear" w:color="auto" w:fill="auto"/>
            <w:noWrap/>
            <w:vAlign w:val="bottom"/>
            <w:hideMark/>
          </w:tcPr>
          <w:p w14:paraId="1E5E6B7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36.3</w:t>
            </w:r>
          </w:p>
        </w:tc>
        <w:tc>
          <w:tcPr>
            <w:tcW w:w="498" w:type="pct"/>
            <w:tcBorders>
              <w:top w:val="nil"/>
              <w:left w:val="nil"/>
              <w:bottom w:val="single" w:sz="4" w:space="0" w:color="auto"/>
              <w:right w:val="single" w:sz="4" w:space="0" w:color="auto"/>
            </w:tcBorders>
            <w:shd w:val="clear" w:color="auto" w:fill="auto"/>
            <w:noWrap/>
            <w:vAlign w:val="bottom"/>
            <w:hideMark/>
          </w:tcPr>
          <w:p w14:paraId="274DF79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751F641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1A9B3DC"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63E2F8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Jamaica</w:t>
            </w:r>
          </w:p>
        </w:tc>
        <w:tc>
          <w:tcPr>
            <w:tcW w:w="1053" w:type="pct"/>
            <w:tcBorders>
              <w:top w:val="nil"/>
              <w:left w:val="nil"/>
              <w:bottom w:val="single" w:sz="4" w:space="0" w:color="auto"/>
              <w:right w:val="single" w:sz="4" w:space="0" w:color="auto"/>
            </w:tcBorders>
            <w:shd w:val="clear" w:color="auto" w:fill="auto"/>
            <w:noWrap/>
            <w:vAlign w:val="bottom"/>
            <w:hideMark/>
          </w:tcPr>
          <w:p w14:paraId="5AB1F0C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Ferguson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{"citationItems":[{"id":"ITEM-1","itemData":{"DOI":"10.1186/1471-2458-10-307","abstract":"Background. The metabolic syndrome has a high prevalence in many countries and has been associated with socioeconomic status (SES). This study aimed to estimate the prevalence of the metabolic syndrome and its components among Jamaican young adults and evaluate its association with parental SES. Methods. A subset of the participants from the 1986 Jamaica Birth Cohort was evaluated at ages 18-20 years between 2005 and 2007. Trained research nurses obtained blood pressure and anthropometric measurements and collected a venous blood sample for measurement of lipids and glucose. Prevalence of the metabolic syndrome and its components were estimated using the 2009 Consensus Criteria from the International Diabetes Federation, National Heart Lung and Blood Institute, American Heart Association, World Heart Federation, International Atherosclerosis Society, and International Association for the Study of Obesity. SES was assessed by questionnaire using occupation of household head, highest education of parent/guardian, and housing tenure of parent/guardian. Analysis yielded means and proportions for metabolic syndrome variables and covariates. Associations with levels of SES variables were obtained using analysis of variance. Multivariable analysis was conducted using logistic regression models. Results. Data from 839 participants (378 males; 461 females) were analyzed. Prevalence of the metabolic syndrome was 1.2% (95% confidence interval [95%CI] 0.5%-1.9%). Prevalence was higher in females (1.7% vs. 0.5%). Prevalence of the components [male: female] were: central obesity, 16.0% [5.3:24.7]; elevated blood pressure, 6.7% [10.8:3.3]; elevated glucose, 1.2% [2.1:0.4]; low HDL, 46.8% [28.8:61.6]; high triglycerides, 0.6% [0.5:0.6]. There were no significant differences in the prevalence of the metabolic syndrome for any of the SES measures used possibly due to lack of statistical power. Prevalence of central obesity was inversely associated with occupation (highly skilled 12.4%, skilled 13.5%, semi-skilled/unskilled 21.8%, p = 0.013) and education (tertiary 12.5%, secondary 14.1%, primary/all-age 28.4%, p = 0.002). In sex-specific multivariate logistic regression adjusted for hip circumference, central obesity remained associated with occupation and education for women only. Conclusion. Prevalence of the metabolic syndrome is low, but central obesity and low HDL are present in 16% and 47% of Jamaican youth, respectively. Central obesity is inversely associated wit…","author":[{"dropping-particle":"","family":"Ferguson","given":"Trevor S","non-dropping-particle":"","parse-names":false,"suffix":""},{"dropping-particle":"","family":"Tulloch-Reid","given":"Marshall K","non-dropping-particle":"","parse-names":false,"suffix":""},{"dropping-particle":"","family":"Younger","given":"Novie O M","non-dropping-particle":"","parse-names":false,"suffix":""},{"dropping-particle":"","family":"Knight-Madden","given":"Jennifer M","non-dropping-particle":"","parse-names":false,"suffix":""},{"dropping-particle":"","family":"Samms-Vaughan","given":"Maureen","non-dropping-particle":"","parse-names":false,"suffix":""},{"dropping-particle":"","family":"Ashley","given":"Deanna","non-dropping-particle":"","parse-names":false,"suffix":""},{"dropping-particle":"","family":"Broeck","given":"Jan","non-dropping-particle":"Van Den","parse-names":false,"suffix":""},{"dropping-particle":"","family":"Wilks","given":"Rainford J","non-dropping-particle":"","parse-names":false,"suffix":""}],"container-title":"BMC Public Health","id":"ITEM-1","issued":{"date-parts":[["2010"]]},"title":"Prevalence of the metabolic syndrome and its components in relation to socioeconomic status among Jamaican young adults: A cross-sectional study","type":"article-journal","volume":"10"},"uris":["http://www.mendeley.com/documents/?uuid=d48c9b7d-8326-4e7a-8586-54fd437b5f74"]}],"mendeley":{"formattedCitation":"&lt;sup&gt;125&lt;/sup&gt;","plainTextFormattedCitation":"125","previouslyFormattedCitation":"&lt;sup&gt;125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125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77019D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229BB1A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48" w:type="pct"/>
            <w:tcBorders>
              <w:top w:val="nil"/>
              <w:left w:val="nil"/>
              <w:bottom w:val="single" w:sz="4" w:space="0" w:color="auto"/>
              <w:right w:val="single" w:sz="4" w:space="0" w:color="auto"/>
            </w:tcBorders>
            <w:shd w:val="clear" w:color="auto" w:fill="auto"/>
            <w:noWrap/>
            <w:vAlign w:val="bottom"/>
            <w:hideMark/>
          </w:tcPr>
          <w:p w14:paraId="49FC4E2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839</w:t>
            </w:r>
          </w:p>
        </w:tc>
        <w:tc>
          <w:tcPr>
            <w:tcW w:w="399" w:type="pct"/>
            <w:tcBorders>
              <w:top w:val="nil"/>
              <w:left w:val="nil"/>
              <w:bottom w:val="single" w:sz="4" w:space="0" w:color="auto"/>
              <w:right w:val="single" w:sz="4" w:space="0" w:color="auto"/>
            </w:tcBorders>
            <w:shd w:val="clear" w:color="auto" w:fill="auto"/>
            <w:noWrap/>
            <w:vAlign w:val="bottom"/>
            <w:hideMark/>
          </w:tcPr>
          <w:p w14:paraId="6F4E33B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45.05</w:t>
            </w:r>
          </w:p>
        </w:tc>
        <w:tc>
          <w:tcPr>
            <w:tcW w:w="449" w:type="pct"/>
            <w:tcBorders>
              <w:top w:val="nil"/>
              <w:left w:val="nil"/>
              <w:bottom w:val="single" w:sz="4" w:space="0" w:color="auto"/>
              <w:right w:val="single" w:sz="4" w:space="0" w:color="auto"/>
            </w:tcBorders>
            <w:shd w:val="clear" w:color="auto" w:fill="auto"/>
            <w:noWrap/>
            <w:vAlign w:val="bottom"/>
            <w:hideMark/>
          </w:tcPr>
          <w:p w14:paraId="262394C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18.78</w:t>
            </w:r>
          </w:p>
        </w:tc>
        <w:tc>
          <w:tcPr>
            <w:tcW w:w="498" w:type="pct"/>
            <w:tcBorders>
              <w:top w:val="nil"/>
              <w:left w:val="nil"/>
              <w:bottom w:val="single" w:sz="4" w:space="0" w:color="auto"/>
              <w:right w:val="single" w:sz="4" w:space="0" w:color="auto"/>
            </w:tcBorders>
            <w:shd w:val="clear" w:color="auto" w:fill="auto"/>
            <w:noWrap/>
            <w:vAlign w:val="bottom"/>
            <w:hideMark/>
          </w:tcPr>
          <w:p w14:paraId="3E0F7C4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731F451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34CC51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665BD3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Jamaica</w:t>
            </w:r>
          </w:p>
        </w:tc>
        <w:tc>
          <w:tcPr>
            <w:tcW w:w="1053" w:type="pct"/>
            <w:tcBorders>
              <w:top w:val="nil"/>
              <w:left w:val="nil"/>
              <w:bottom w:val="single" w:sz="4" w:space="0" w:color="auto"/>
              <w:right w:val="single" w:sz="4" w:space="0" w:color="auto"/>
            </w:tcBorders>
            <w:shd w:val="clear" w:color="auto" w:fill="auto"/>
            <w:noWrap/>
            <w:vAlign w:val="bottom"/>
            <w:hideMark/>
          </w:tcPr>
          <w:p w14:paraId="7817B21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Tulloch-Reid</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{"citationItems":[{"id":"ITEM-1","itemData":{"ISSN":"1932-6203","abstract":"BACKGROUND: Black Caribbean women have a higher burden of cardiovascular disease (CVD) risk factors than their male counterparts. Whether this results in a difference in incident cardiovascular events is unknown. The aim of this study was to estimate the 10 year World Health Organization/International Society for Hypertension (WHO/ISH) CVD risk score for Jamaica and explore the effect of sex as well as obesity, physical activity and socioeconomic status on these estimates., METHODS AND FINDINGS: Data from 40-74 year old participants in the 2007/08 Jamaica Health and Lifestyle Survey were used. Trained interviewers administered questionnaires and measured anthropometrics, blood pressure, fasting glucose and cholesterol. Education and occupation were used to assess socioeconomic status. The Americas B tables were used to estimate the WHO/ISH 10 year CVD risk scores for the population. Weighted prevalence estimates were calculated. Data from 1,432 (450 men, 982 women) participants were analysed, after excluding those with self-reported heart attack and stroke. The women had a higher prevalence of diabetes (19%W;12%M), hypertension (49%W;47%M), hypercholesterolemia (25%W;11%M), obesity (46%W;15%M) and physical inactivity (59%W;29%M). More men smoked (6%W;31%M). There was good agreement between the 10-year cardiovascular risk estimates whether or not cholesterol measurements were utilized for calculation (kappa -0.61). While 90% had a 10 year WHO/ISH CVD risk of less than 10%, approximately 2% of the population or 14,000 persons had a 10 year WHO/ISH CVD risk of &gt;=30%. As expected CVD risk increased with age but there was no sex difference in CVD risk distribution despite women having a greater risk factor burden. Women with low socioeconomic status had the most adverse CVD risk profile., CONCLUSION: Despite women having a higher prevalence of CVD risk factors there was no sex difference in 10-year WHO/ISH CVD risk in Jamaican adults.","author":[{"dropping-particle":"","family":"Tulloch-Reid","given":"Marshall K","non-dropping-particle":"","parse-names":false,"suffix":""},{"dropping-particle":"","family":"Younger","given":"Novie O","non-dropping-particle":"","parse-names":false,"suffix":""},{"dropping-particle":"","family":"Ferguson","given":"Trevor S","non-dropping-particle":"","parse-names":false,"suffix":""},{"dropping-particle":"","family":"Francis","given":"Damian K","non-dropping-particle":"","parse-names":false,"suffix":""},{"dropping-particle":"","family":"Abdulkadri","given":"Abdullahi O","non-dropping-particle":"","parse-names":false,"suffix":""},{"dropping-particle":"","family":"Gordon-Strachan","given":"Georgiana M","non-dropping-particle":"","parse-names":false,"suffix":""},{"dropping-particle":"","family":"McFarlane","given":"Shelly R","non-dropping-particle":"","parse-names":false,"suffix":""},{"dropping-particle":"","family":"Cunningham-Myrie","given":"Colette A","non-dropping-particle":"","parse-names":false,"suffix":""},{"dropping-particle":"","family":"Wilks","given":"Rainford J","non-dropping-particle":"","parse-names":false,"suffix":""},{"dropping-particle":"","family":"Anderson","given":"Simon G","non-dropping-particle":"","parse-names":false,"suffix":""}],"container-title":"PloS one","id":"ITEM-1","issue":"6","issued":{"date-parts":[["2013"]]},"page":"e66625","title":"Excess Cardiovascular Risk Burden in Jamaican Women Does Not Influence Predicted 10-Year CVD Risk Profiles of Jamaica Adults: An Analysis of the 2007/08 Jamaica Health and Lifestyle Survey","type":"article-journal","volume":"8"},"uris":["http://www.mendeley.com/documents/?uuid=30097a50-c3fe-4574-a496-7c262b3c4fe4"]}],"mendeley":{"formattedCitation":"&lt;sup&gt;126&lt;/sup&gt;","plainTextFormattedCitation":"126","previouslyFormattedCitation":"&lt;sup&gt;126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126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0187D3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068884D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48" w:type="pct"/>
            <w:tcBorders>
              <w:top w:val="nil"/>
              <w:left w:val="nil"/>
              <w:bottom w:val="single" w:sz="4" w:space="0" w:color="auto"/>
              <w:right w:val="single" w:sz="4" w:space="0" w:color="auto"/>
            </w:tcBorders>
            <w:shd w:val="clear" w:color="auto" w:fill="auto"/>
            <w:noWrap/>
            <w:vAlign w:val="bottom"/>
            <w:hideMark/>
          </w:tcPr>
          <w:p w14:paraId="3E5E02F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1432</w:t>
            </w:r>
          </w:p>
        </w:tc>
        <w:tc>
          <w:tcPr>
            <w:tcW w:w="399" w:type="pct"/>
            <w:tcBorders>
              <w:top w:val="nil"/>
              <w:left w:val="nil"/>
              <w:bottom w:val="single" w:sz="4" w:space="0" w:color="auto"/>
              <w:right w:val="single" w:sz="4" w:space="0" w:color="auto"/>
            </w:tcBorders>
            <w:shd w:val="clear" w:color="auto" w:fill="auto"/>
            <w:noWrap/>
            <w:vAlign w:val="bottom"/>
            <w:hideMark/>
          </w:tcPr>
          <w:p w14:paraId="37A511D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31.42</w:t>
            </w:r>
          </w:p>
        </w:tc>
        <w:tc>
          <w:tcPr>
            <w:tcW w:w="449" w:type="pct"/>
            <w:tcBorders>
              <w:top w:val="nil"/>
              <w:left w:val="nil"/>
              <w:bottom w:val="single" w:sz="4" w:space="0" w:color="auto"/>
              <w:right w:val="single" w:sz="4" w:space="0" w:color="auto"/>
            </w:tcBorders>
            <w:shd w:val="clear" w:color="auto" w:fill="auto"/>
            <w:noWrap/>
            <w:vAlign w:val="bottom"/>
            <w:hideMark/>
          </w:tcPr>
          <w:p w14:paraId="52AABAA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AC7661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4EA38C5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041EBA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332067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Jamaica</w:t>
            </w:r>
          </w:p>
        </w:tc>
        <w:tc>
          <w:tcPr>
            <w:tcW w:w="1053" w:type="pct"/>
            <w:tcBorders>
              <w:top w:val="nil"/>
              <w:left w:val="nil"/>
              <w:bottom w:val="single" w:sz="4" w:space="0" w:color="auto"/>
              <w:right w:val="single" w:sz="4" w:space="0" w:color="auto"/>
            </w:tcBorders>
            <w:shd w:val="clear" w:color="auto" w:fill="auto"/>
            <w:noWrap/>
            <w:vAlign w:val="bottom"/>
            <w:hideMark/>
          </w:tcPr>
          <w:p w14:paraId="112F71B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Stringhini</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Associations between socioeconomic status (SES) and risk factors for noncommunicable diseases (NCD-RFs) may differ in populations at different stages of the epidemiological transition. We assessed the social patterning of NCD-RFs in a study including populations with different levels of socioeconomic development., METHODS: Data on SES, smoking, physical activity, body mass index, blood pressure, cholesterol and glucose were available from the Modeling the Epidemiologic Transition Study (METS), with about 500 participants aged 25-45 in each of five sites (Ghana, South Africa, Jamaica, Seychelles, United States)., RESULTS: The prevalence of NCD-RFs differed between these populations from five countries (e.g., lower prevalence of smoking, obesity and hypertension in rural Ghana) and by sex (e.g., higher prevalence of smoking and physical activity in men and of obesity in women in most populations). Smoking and physical activity were associated with low SES in most populations. The associations of SES with obesity, hypertension, cholesterol and elevated blood glucose differed by population, sex, and SES indicator. For example, the prevalence of elevated blood glucose tended to be associated with low education, but not with wealth, in Seychelles and USA. The association of SES with obesity and cholesterol was direct in some populations but inverse in others., CONCLUSIONS: In conclusion, the distribution of NCD-RFs was socially patterned in these populations at different stages of the epidemiological transition, but associations between SES and NCD-RFs differed substantially according to risk factor, population, sex, and SES indicator. These findings emphasize the need to assess and integrate the social patterning of NCD-RFs in NCD prevention and control programs in LMICs.","author":[{"dropping-particle":"","family":"Stringhini","given":"Silvia","non-dropping-particle":"","parse-names":false,"suffix":""},{"dropping-particle":"","family":"Forrester","given":"Terrence E","non-dropping-particle":"","parse-names":false,"suffix":""},{"dropping-particle":"","family":"Plange-Rhule","given":"Jacob","non-dropping-particle":"","parse-names":false,"suffix":""},{"dropping-particle":"V","family":"Lambert","given":"Estelle","non-dropping-particle":"","parse-names":false,"suffix":""},{"dropping-particle":"","family":"Viswanathan","given":"Bharathi","non-dropping-particle":"","parse-names":false,"suffix":""},{"dropping-particle":"","family":"Riesen","given":"Walter","non-dropping-particle":"","parse-names":false,"suffix":""},{"dropping-particle":"","family":"Korte","given":"Wolfgang","non-dropping-particle":"","parse-names":false,"suffix":""},{"dropping-particle":"","family":"Levitt","given":"Naomi","non-dropping-particle":"","parse-names":false,"suffix":""},{"dropping-particle":"","family":"Tong","given":"Liping","non-dropping-particle":"","parse-names":false,"suffix":""},{"dropping-particle":"","family":"Dugas","given":"Lara R","non-dropping-particle":"","parse-names":false,"suffix":""},{"dropping-particle":"","family":"Shoham","given":"David","non-dropping-particle":"","parse-names":false,"suffix":""},{"dropping-particle":"","family":"Durazo-Arvizu","given":"Ramon A","non-dropping-particle":"","parse-names":false,"suffix":""},{"dropping-particle":"","family":"Luke","given":"Amy","non-dropping-particle":"","parse-names":false,"suffix":""},{"dropping-particle":"","family":"Bovet","given":"Pascal","non-dropping-particle":"","parse-names":false,"suffix":""}],"container-title":"BMC public health","id":"ITEM-1","issued":{"date-parts":[["2016"]]},"page":"956","title":"The social patterning of risk factors for noncommunicable diseases in five countries: evidence from the modeling the epidemiologic transition study (METS)","type":"article-journal","volume":"16"},"uris":["http://www.mendeley.com/documents/?uuid=aded1d46-d6f2-4275-884b-56329dffcb1e"]}],"mendeley":{"formattedCitation":"&lt;sup&gt;127&lt;/sup&gt;","plainTextFormattedCitation":"127","previouslyFormattedCitation":"&lt;sup&gt;127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127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42ACCA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58F9111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48" w:type="pct"/>
            <w:tcBorders>
              <w:top w:val="nil"/>
              <w:left w:val="nil"/>
              <w:bottom w:val="single" w:sz="4" w:space="0" w:color="auto"/>
              <w:right w:val="single" w:sz="4" w:space="0" w:color="auto"/>
            </w:tcBorders>
            <w:shd w:val="clear" w:color="auto" w:fill="auto"/>
            <w:noWrap/>
            <w:vAlign w:val="bottom"/>
            <w:hideMark/>
          </w:tcPr>
          <w:p w14:paraId="66112F3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386</w:t>
            </w:r>
          </w:p>
        </w:tc>
        <w:tc>
          <w:tcPr>
            <w:tcW w:w="399" w:type="pct"/>
            <w:tcBorders>
              <w:top w:val="nil"/>
              <w:left w:val="nil"/>
              <w:bottom w:val="single" w:sz="4" w:space="0" w:color="auto"/>
              <w:right w:val="single" w:sz="4" w:space="0" w:color="auto"/>
            </w:tcBorders>
            <w:shd w:val="clear" w:color="auto" w:fill="auto"/>
            <w:noWrap/>
            <w:vAlign w:val="bottom"/>
            <w:hideMark/>
          </w:tcPr>
          <w:p w14:paraId="3C4E247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38.2</w:t>
            </w:r>
          </w:p>
        </w:tc>
        <w:tc>
          <w:tcPr>
            <w:tcW w:w="449" w:type="pct"/>
            <w:tcBorders>
              <w:top w:val="nil"/>
              <w:left w:val="nil"/>
              <w:bottom w:val="single" w:sz="4" w:space="0" w:color="auto"/>
              <w:right w:val="single" w:sz="4" w:space="0" w:color="auto"/>
            </w:tcBorders>
            <w:shd w:val="clear" w:color="auto" w:fill="auto"/>
            <w:noWrap/>
            <w:vAlign w:val="bottom"/>
            <w:hideMark/>
          </w:tcPr>
          <w:p w14:paraId="1CDA5D0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34.5</w:t>
            </w:r>
          </w:p>
        </w:tc>
        <w:tc>
          <w:tcPr>
            <w:tcW w:w="498" w:type="pct"/>
            <w:tcBorders>
              <w:top w:val="nil"/>
              <w:left w:val="nil"/>
              <w:bottom w:val="single" w:sz="4" w:space="0" w:color="auto"/>
              <w:right w:val="single" w:sz="4" w:space="0" w:color="auto"/>
            </w:tcBorders>
            <w:shd w:val="clear" w:color="auto" w:fill="auto"/>
            <w:noWrap/>
            <w:vAlign w:val="bottom"/>
            <w:hideMark/>
          </w:tcPr>
          <w:p w14:paraId="0030717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D7D055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E45166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BF9B41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557DC09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val="es-PE" w:eastAsia="en-GB"/>
              </w:rPr>
              <w:t>Ramirez-Lopez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{"citationItems":[{"id":"ITEM-1","itemData":{"ISSN":"00363634 (ISSN)","abstract":"Objective. To determine the effect of a School Breakfast Program on obesity and some cardiovascular risk factors in 6 to 10 year old schoolchildren. Material and Methods. A quasi-experimental prospective study was conducted in 2002-2003, in 17 municipalities of Sonora State, Mexico. The intervention group consisted of 254 children participating in a School Breakfast Program (SBP group). The control group (NSBP group, n=106) included children who did not participate in the program. In both groups the body mass index for age (BMI/age) and body composition by electrical resistance using bioelectrical bioimpedance analysis (BIA) were estimated at the beginning and at the end of a 9-month period. In a subgroup of 264 school-children (SBP and NSBP children), serum cholesterol, triglycerides and fasting glucose were measured at the start and at the end of the program. Results. The body mass index in the SBP and NSBP groups was not different at the start or at the end of the school period (p&gt;0.05). The proportion of overweight and obese children and the percentage fat remained similar in both groups. However, the lean mass increased (p&gt;0.05) at the end of the school period in both groups, and hence, cannot be attributed to the program. The biochemical parameters showed no change (p&gt;0.05) in blood glucose, total serum cholesterol, and triglycerides in either group at the end of the school period. Conclusions. Study results showed no evidence of a negative effect of SBP in terms of risk factors for obesity and cardiovascular disease.","author":[{"dropping-particle":"","family":"Ramírez-López","given":"E","non-dropping-particle":"","parse-names":false,"suffix":""},{"dropping-particle":"","family":"Grijalva-Haro","given":"M I","non-dropping-particle":"","parse-names":false,"suffix":""},{"dropping-particle":"","family":"Valencia","given":"M E","non-dropping-particle":"","parse-names":false,"suffix":""},{"dropping-particle":"","family":"Ponce","given":"J A","non-dropping-particle":"","parse-names":false,"suffix":""},{"dropping-particle":"","family":"Artalejo","given":"E","non-dropping-particle":"","parse-names":false,"suffix":""}],"container-title":"Salud Publica de Mexico","id":"ITEM-1","issue":"2","issued":{"date-parts":[["2005"]]},"page":"126-133","title":"Effect of a School Breakfast Program on the prevalence of obesity and cardiovascular risk factors in children","type":"article-journal","volume":"47"},"uris":["http://www.mendeley.com/documents/?uuid=507b824d-f3a3-436a-9f83-169be92a5d99"]}],"mendeley":{"formattedCitation":"&lt;sup&gt;128&lt;/sup&gt;","plainTextFormattedCitation":"128","previouslyFormattedCitation":"&lt;sup&gt;128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128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4519D6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98" w:type="pct"/>
            <w:tcBorders>
              <w:top w:val="nil"/>
              <w:left w:val="nil"/>
              <w:bottom w:val="single" w:sz="4" w:space="0" w:color="auto"/>
              <w:right w:val="single" w:sz="4" w:space="0" w:color="auto"/>
            </w:tcBorders>
            <w:shd w:val="clear" w:color="auto" w:fill="auto"/>
            <w:noWrap/>
            <w:vAlign w:val="bottom"/>
            <w:hideMark/>
          </w:tcPr>
          <w:p w14:paraId="5A10FFC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2003</w:t>
            </w:r>
          </w:p>
        </w:tc>
        <w:tc>
          <w:tcPr>
            <w:tcW w:w="548" w:type="pct"/>
            <w:tcBorders>
              <w:top w:val="nil"/>
              <w:left w:val="nil"/>
              <w:bottom w:val="single" w:sz="4" w:space="0" w:color="auto"/>
              <w:right w:val="single" w:sz="4" w:space="0" w:color="auto"/>
            </w:tcBorders>
            <w:shd w:val="clear" w:color="auto" w:fill="auto"/>
            <w:noWrap/>
            <w:vAlign w:val="bottom"/>
            <w:hideMark/>
          </w:tcPr>
          <w:p w14:paraId="5931D42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360</w:t>
            </w:r>
          </w:p>
        </w:tc>
        <w:tc>
          <w:tcPr>
            <w:tcW w:w="399" w:type="pct"/>
            <w:tcBorders>
              <w:top w:val="nil"/>
              <w:left w:val="nil"/>
              <w:bottom w:val="single" w:sz="4" w:space="0" w:color="auto"/>
              <w:right w:val="single" w:sz="4" w:space="0" w:color="auto"/>
            </w:tcBorders>
            <w:shd w:val="clear" w:color="auto" w:fill="auto"/>
            <w:noWrap/>
            <w:vAlign w:val="bottom"/>
            <w:hideMark/>
          </w:tcPr>
          <w:p w14:paraId="67A3D77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138DFC8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8.54</w:t>
            </w:r>
          </w:p>
        </w:tc>
        <w:tc>
          <w:tcPr>
            <w:tcW w:w="498" w:type="pct"/>
            <w:tcBorders>
              <w:top w:val="nil"/>
              <w:left w:val="nil"/>
              <w:bottom w:val="single" w:sz="4" w:space="0" w:color="auto"/>
              <w:right w:val="single" w:sz="4" w:space="0" w:color="auto"/>
            </w:tcBorders>
            <w:shd w:val="clear" w:color="auto" w:fill="auto"/>
            <w:noWrap/>
            <w:vAlign w:val="bottom"/>
            <w:hideMark/>
          </w:tcPr>
          <w:p w14:paraId="491C6F2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2E1DF6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FEE1641"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B79B4B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571723B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Vinueza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{"citationItems":[{"id":"ITEM-1","itemData":{"ISSN":"0091-7435","abstract":"Objective: The objective of this study was to describe the prevalence of dyslipidemia in the CARMELA study population. Methods: CARMELA was a cross-sectional study of cardiovascular risk conducted between September 2003 and August 2005 in adults (aged 25 to 64 years) living in Barquisimeto (n=1,824), Bogotá (n=1,511), Buenos Aires (n=1,412), Lima (n=1,628), Mexico City (n=1,677), Quito (n=1,620), and Santiago (n=1,605). Dyslipidemia was defined as the presence of one or more of the following conditions: triglycerides. ≥ 200 mg/dL, or total cholesterol (TC) ≥ 240 mg/dL, or HDL cholesterol. &lt; 40 mg/dL, or LDL cholesterol = not optimal, or currently taking antilipemic agents. Results: Prevalence rates of dyslipidemia in men and women were: 75.5% (CI: 71.9-79.1) and 48.7% (CI: 45.4-51.9) in Barquisimeto; 70% (CI: 66.2-73.8) and 47.7% (CI: 43.9-51.5) in Bogotá; 50.4% (CI: 46.8-54.0) and 24.1% (CI: 21.0-27.2) in Buenos Aires; 73.1% (CI: 69.3-76.8) and 62.8% (CI: 59.2-66.5) in Lima; 62.5% (CI: 58.5-66.5) and 37.5% (CI: 33.5-41.6) in Mexico City; 52.2% (CI: 47.9-56.5) and 38.1% (CI: 34.5-41.7) in Quito; and, 50.8% (CI: 47.1-54.4) and 32.8% (CI: 29.3-36.3) in Santiago. Conclusions: Dyslipidemia was disturbingly prevalent and varied across cities. The most frequent dyslipidemia was low HDL-C followed by high triglycerides. The high TC/HDL-C ratios and non-HDL-C levels suggest a high risk of cardiovascular disease. © 2009 Elsevier Inc.","author":[{"dropping-particle":"","family":"Vinueza","given":"R","non-dropping-particle":"","parse-names":false,"suffix":""},{"dropping-particle":"","family":"Boissonnet","given":"C P","non-dropping-particle":"","parse-names":false,"suffix":""},{"dropping-particle":"","family":"Acevedo","given":"M","non-dropping-particle":"","parse-names":false,"suffix":""},{"dropping-particle":"","family":"Uriza","given":"F","non-dropping-particle":"","parse-names":false,"suffix":""},{"dropping-particle":"","family":"Benitez","given":"F J","non-dropping-particle":"","parse-names":false,"suffix":""},{"dropping-particle":"","family":"Silva","given":"H","non-dropping-particle":"","parse-names":false,"suffix":""},{"dropping-particle":"","family":"Schargrodsky","given":"H","non-dropping-particle":"","parse-names":false,"suffix":""},{"dropping-particle":"","family":"Champagne","given":"B","non-dropping-particle":"","parse-names":false,"suffix":""},{"dropping-particle":"","family":"Wilson","given":"E","non-dropping-particle":"","parse-names":false,"suffix":""}],"container-title":"Preventive Medicine","id":"ITEM-1","issue":"3","issued":{"date-parts":[["2010"]]},"page":"106-111","title":"Dyslipidemia in seven Latin American cities: CARMELA study","type":"article-journal","volume":"50"},"uris":["http://www.mendeley.com/documents/?uuid=dec74194-a203-4dec-b7ae-764a9f731745"]}],"mendeley":{"formattedCitation":"&lt;sup&gt;1&lt;/sup&gt;","plainTextFormattedCitation":"1","previouslyFormattedCitation":"&lt;sup&gt;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DC18BF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7522E82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48" w:type="pct"/>
            <w:tcBorders>
              <w:top w:val="nil"/>
              <w:left w:val="nil"/>
              <w:bottom w:val="single" w:sz="4" w:space="0" w:color="auto"/>
              <w:right w:val="single" w:sz="4" w:space="0" w:color="auto"/>
            </w:tcBorders>
            <w:shd w:val="clear" w:color="auto" w:fill="auto"/>
            <w:noWrap/>
            <w:vAlign w:val="bottom"/>
            <w:hideMark/>
          </w:tcPr>
          <w:p w14:paraId="573027A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1677</w:t>
            </w:r>
          </w:p>
        </w:tc>
        <w:tc>
          <w:tcPr>
            <w:tcW w:w="399" w:type="pct"/>
            <w:tcBorders>
              <w:top w:val="nil"/>
              <w:left w:val="nil"/>
              <w:bottom w:val="single" w:sz="4" w:space="0" w:color="auto"/>
              <w:right w:val="single" w:sz="4" w:space="0" w:color="auto"/>
            </w:tcBorders>
            <w:shd w:val="clear" w:color="auto" w:fill="auto"/>
            <w:noWrap/>
            <w:vAlign w:val="bottom"/>
            <w:hideMark/>
          </w:tcPr>
          <w:p w14:paraId="6D6F3B6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5F473F5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4B5644A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7937B4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E02DD81"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BD8C14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lastRenderedPageBreak/>
              <w:t>Mexico</w:t>
            </w:r>
          </w:p>
        </w:tc>
        <w:tc>
          <w:tcPr>
            <w:tcW w:w="1053" w:type="pct"/>
            <w:tcBorders>
              <w:top w:val="nil"/>
              <w:left w:val="nil"/>
              <w:bottom w:val="single" w:sz="4" w:space="0" w:color="auto"/>
              <w:right w:val="single" w:sz="4" w:space="0" w:color="auto"/>
            </w:tcBorders>
            <w:shd w:val="clear" w:color="auto" w:fill="auto"/>
            <w:noWrap/>
            <w:vAlign w:val="bottom"/>
            <w:hideMark/>
          </w:tcPr>
          <w:p w14:paraId="757BE92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Rosas-Saucedo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{"citationItems":[{"id":"ITEM-1","itemData":{"ISSN":"1499-2671","abstract":"Metabolic Syndrome (MS), includes the entities which are the main cause of morbidity and mortality in many cities and countries in the world. This is why we designed the present randomized, prospective transverse trial to determine the prevalence of MS and each of its components in the urban area of an average city of central Mexico. A total of 608 surveys were made house-visiting random-selected addresses, in order to determine the presence of the components of MS, alimentary habits, physical activity, tobacco users, weight, height, body mass index (BMI), waist circumference and blood pressure. In a random subgroup of 102 persons, glucose, total cholesterol, HDLcholesterol, LDL-cholesterol, VLDL-cholesterol and triglycerides were quantified in a central laboratory with a fasting time of 8-12 hours. Among our findings, the prevalence estimates of the entities of MS by themselves were: type 2 diabetes mellitus 8.8%, of those, 11.1% newly diagnosed, fasting glucose intolerance 29.4%, overweight 40%, obesity 24.1%, hypercholesterolemia 34.3%, hypertriglyceridemia 45.0%, low HDL-c 42% and 53% in men and women respectively, and elevated blood pressure 31%. The prevalence of MS by International Diabetes Federation (IDF) criteria was 48.5%, and by Adult Treatment Panel III (ATP-III) 41.5%. Dividing men and women into 2 groups each, from 18 to 40 and 41 to 60 years of age, we observed that men tend to present MS earlier, having 50% of the cases in the first group. Women, in change, develop MS more avidly after 40 years of age. Analyzing BMI and its correlation with MS, we found that people with lower risk of MS are those with BMI &lt; 24 and &lt; 26 in men and women respectively. Waist circumference &lt; 89 cm is also associated with a lower risk for MS in both men and women. Thus, we are able to conclude that Metabolic Syndrome and each one of its entities have an elevated prevalence, especially in the group of age &lt; 40, reaching up to 50% in men. The clinical elements that confer a greater risk for MS are BMI &gt;= 24 and &lt; 26 in men and women respectively, and waist circumference &gt;= 89 cm in people over 18 years of age. Half of the inhabitants 18 years or older, have MS because of the increasing prevalence of each one of the elements of MS, especially overweight and obesity.","author":[{"dropping-particle":"","family":"Rosas-Saucedo","given":"J","non-dropping-particle":"","parse-names":false,"suffix":""},{"dropping-particle":"","family":"San Roman-Torres","given":"S","non-dropping-particle":"","parse-names":false,"suffix":""},{"dropping-particle":"","family":"Eguia","given":"A","non-dropping-particle":"","parse-names":false,"suffix":""},{"dropping-particle":"","family":"Rosas-Guzman","given":"J","non-dropping-particle":"","parse-names":false,"suffix":""}],"container-title":"Canadian Journal of Diabetes","id":"ITEM-1","issue":"3","issued":{"date-parts":[["2009"]]},"page":"309","publisher-place":"J. Rosas-Saucedo, Instituto de Diabetes A.C., Diabetes, Celaya, Mexico","title":"Prevalence of metabolic syndrome in the city of Celaya, Mexico","type":"article-journal","volume":"33"},"uris":["http://www.mendeley.com/documents/?uuid=06702dfb-2747-4e7a-bcfe-715bab01a153"]}],"mendeley":{"formattedCitation":"&lt;sup&gt;129&lt;/sup&gt;","plainTextFormattedCitation":"129","previouslyFormattedCitation":"&lt;sup&gt;129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129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DAC831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98" w:type="pct"/>
            <w:tcBorders>
              <w:top w:val="nil"/>
              <w:left w:val="nil"/>
              <w:bottom w:val="single" w:sz="4" w:space="0" w:color="auto"/>
              <w:right w:val="single" w:sz="4" w:space="0" w:color="auto"/>
            </w:tcBorders>
            <w:shd w:val="clear" w:color="auto" w:fill="auto"/>
            <w:noWrap/>
            <w:vAlign w:val="bottom"/>
            <w:hideMark/>
          </w:tcPr>
          <w:p w14:paraId="4E2CED6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2C9D6F0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608</w:t>
            </w:r>
          </w:p>
        </w:tc>
        <w:tc>
          <w:tcPr>
            <w:tcW w:w="399" w:type="pct"/>
            <w:tcBorders>
              <w:top w:val="nil"/>
              <w:left w:val="nil"/>
              <w:bottom w:val="single" w:sz="4" w:space="0" w:color="auto"/>
              <w:right w:val="single" w:sz="4" w:space="0" w:color="auto"/>
            </w:tcBorders>
            <w:shd w:val="clear" w:color="auto" w:fill="auto"/>
            <w:noWrap/>
            <w:vAlign w:val="bottom"/>
            <w:hideMark/>
          </w:tcPr>
          <w:p w14:paraId="2EB91FC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0F04228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2CAC7E3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072C52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77799C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EF8AAC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34BD6DF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Sanchez-Corona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{"citationItems":[{"id":"ITEM-1","itemData":{"ISSN":"0168-8227","abstract":"The metabolic or insulin resistance syndrome, characterized by hypertension, dyslipidemia, glucose intolerance and hyperinsulinemia, may have genetic determinants. The insulin gene (INS), insulin receptor gene (INSR) and insulin receptor substrate 1 gene (IRS1) have been proposed as candidate genes. We examined eight polymorphisms in these genes in 163 individuals from Yucatan, Mexico; this population has a high prevalence of obesity, type 2 diabetes mellitus and dyslipidemia. Subjects were evaluated for body mass index (BMI) and blood pressure. Blood samples were collected to determine glucose, insulin, triglycerides and cholesterol levels, as well as for DNA isolation. Restriction fragment length polymorphisms in INS, INSR and IRS1 were identified by polymerase chain reaction and digestion with selected restriction enzymes. Among the eight polymorphisms analyzed, the PstI polymorphism in INS was significantly associated with hypertriglyceridemia and with the presence of at least one abnormality related to the metabolic syndrome (P=0.007 and 0.004, respectively). The MaeIII polymorphism in INS was associated with fasting hyperinsulinemia (P=0.045). In multilocus analyses including both INS polymorphisms, significant associations were seen with hypertriglyceridemia (P=0.006), hypercholesterolemia (P=0.031) and with presence of at least one metabolic abnormality (P=0.009). None of the polymorphisms in INSR or IRS1 was associated with any of these traits. These findings suggest that the insulin gene may be an important determinant of metabolic syndrome, and particularly of dyslipidemia, in this population.","author":[{"dropping-particle":"","family":"Sanchez-Corona","given":"J","non-dropping-particle":"","parse-names":false,"suffix":""},{"dropping-particle":"","family":"Flores-Martinez","given":"S E","non-dropping-particle":"","parse-names":false,"suffix":""},{"dropping-particle":"V","family":"Machorro-Lazo","given":"M","non-dropping-particle":"","parse-names":false,"suffix":""},{"dropping-particle":"","family":"ez","given":"C","non-dropping-particle":"","parse-names":false,"suffix":""},{"dropping-particle":"","family":"Moran-Moguel","given":"M C","non-dropping-particle":"","parse-names":false,"suffix":""},{"dropping-particle":"","family":"Perea","given":"F J","non-dropping-particle":"","parse-names":false,"suffix":""},{"dropping-particle":"","family":"Mujica-Lopez","given":"K I","non-dropping-particle":"","parse-names":false,"suffix":""},{"dropping-particle":"","family":"Vargas-Ancona","given":"L","non-dropping-particle":"","parse-names":false,"suffix":""},{"dropping-particle":"","family":"Laviada-Molina","given":"H A","non-dropping-particle":"","parse-names":false,"suffix":""},{"dropping-particle":"","family":"ez","given":"V","non-dropping-particle":"","parse-names":false,"suffix":""},{"dropping-particle":"","family":"Pardio","given":"J","non-dropping-particle":"","parse-names":false,"suffix":""},{"dropping-particle":"","family":"Arroyo","given":"P","non-dropping-particle":"","parse-names":false,"suffix":""},{"dropping-particle":"","family":"Barrera","given":"H","non-dropping-particle":"","parse-names":false,"suffix":""},{"dropping-particle":"","family":"Hanson","given":"R L","non-dropping-particle":"","parse-names":false,"suffix":""}],"container-title":"Diabetes research and clinical practice","id":"ITEM-1","issue":"1","issued":{"date-parts":[["2004"]]},"page":"47-55","title":"Polymorphisms in candidate genes for type 2 diabetes mellitus in a Mexican population with metabolic syndrome findings","type":"article-journal","volume":"63"},"uris":["http://www.mendeley.com/documents/?uuid=ca601e84-1ecb-45c9-85b6-51e9b40b62ed"]}],"mendeley":{"formattedCitation":"&lt;sup&gt;130&lt;/sup&gt;","plainTextFormattedCitation":"130","previouslyFormattedCitation":"&lt;sup&gt;130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130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22F668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98" w:type="pct"/>
            <w:tcBorders>
              <w:top w:val="nil"/>
              <w:left w:val="nil"/>
              <w:bottom w:val="single" w:sz="4" w:space="0" w:color="auto"/>
              <w:right w:val="single" w:sz="4" w:space="0" w:color="auto"/>
            </w:tcBorders>
            <w:shd w:val="clear" w:color="auto" w:fill="auto"/>
            <w:noWrap/>
            <w:vAlign w:val="bottom"/>
            <w:hideMark/>
          </w:tcPr>
          <w:p w14:paraId="4F7C464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6DA1868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163</w:t>
            </w:r>
          </w:p>
        </w:tc>
        <w:tc>
          <w:tcPr>
            <w:tcW w:w="399" w:type="pct"/>
            <w:tcBorders>
              <w:top w:val="nil"/>
              <w:left w:val="nil"/>
              <w:bottom w:val="single" w:sz="4" w:space="0" w:color="auto"/>
              <w:right w:val="single" w:sz="4" w:space="0" w:color="auto"/>
            </w:tcBorders>
            <w:shd w:val="clear" w:color="auto" w:fill="auto"/>
            <w:noWrap/>
            <w:vAlign w:val="bottom"/>
            <w:hideMark/>
          </w:tcPr>
          <w:p w14:paraId="68B20C3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41.1</w:t>
            </w:r>
          </w:p>
        </w:tc>
        <w:tc>
          <w:tcPr>
            <w:tcW w:w="449" w:type="pct"/>
            <w:tcBorders>
              <w:top w:val="nil"/>
              <w:left w:val="nil"/>
              <w:bottom w:val="single" w:sz="4" w:space="0" w:color="auto"/>
              <w:right w:val="single" w:sz="4" w:space="0" w:color="auto"/>
            </w:tcBorders>
            <w:shd w:val="clear" w:color="auto" w:fill="auto"/>
            <w:noWrap/>
            <w:vAlign w:val="bottom"/>
            <w:hideMark/>
          </w:tcPr>
          <w:p w14:paraId="118B252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31.7</w:t>
            </w:r>
          </w:p>
        </w:tc>
        <w:tc>
          <w:tcPr>
            <w:tcW w:w="498" w:type="pct"/>
            <w:tcBorders>
              <w:top w:val="nil"/>
              <w:left w:val="nil"/>
              <w:bottom w:val="single" w:sz="4" w:space="0" w:color="auto"/>
              <w:right w:val="single" w:sz="4" w:space="0" w:color="auto"/>
            </w:tcBorders>
            <w:shd w:val="clear" w:color="auto" w:fill="auto"/>
            <w:noWrap/>
            <w:vAlign w:val="bottom"/>
            <w:hideMark/>
          </w:tcPr>
          <w:p w14:paraId="221CD8C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7B4358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2A9AE77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25401B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1BD1FAA9"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Aguilar-Salinas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{"citationItems":[{"id":"ITEM-1","itemData":{"author":[{"dropping-particle":"","family":"Aguilar-Salinas","given":"Carlos A","non-dropping-particle":"","parse-names":false,"suffix":""},{"dropping-particle":"","family":"Rojas","given":"Rosalba","non-dropping-particle":"","parse-names":false,"suffix":""},{"dropping-particle":"","family":"Gómez-Pérez","given":"Francisco J","non-dropping-particle":"","parse-names":false,"suffix":""}],"container-title":"The American Journal of Medicine","id":"ITEM-1","issue":"02","issued":{"date-parts":[["2002"]]},"page":"569-574","title":"Prevalence and Characteristics of Early-Onset Type 2 Diabetes in Mexico","type":"article-journal","volume":"113"},"uris":["http://www.mendeley.com/documents/?uuid=a294eae9-69e5-4a56-80ee-dcfb18f7ff2d"]}],"mendeley":{"formattedCitation":"&lt;sup&gt;131&lt;/sup&gt;","plainTextFormattedCitation":"131","previouslyFormattedCitation":"&lt;sup&gt;131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131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189D59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2002</w:t>
            </w:r>
          </w:p>
        </w:tc>
        <w:tc>
          <w:tcPr>
            <w:tcW w:w="598" w:type="pct"/>
            <w:tcBorders>
              <w:top w:val="nil"/>
              <w:left w:val="nil"/>
              <w:bottom w:val="single" w:sz="4" w:space="0" w:color="auto"/>
              <w:right w:val="single" w:sz="4" w:space="0" w:color="auto"/>
            </w:tcBorders>
            <w:shd w:val="clear" w:color="auto" w:fill="auto"/>
            <w:noWrap/>
            <w:vAlign w:val="bottom"/>
            <w:hideMark/>
          </w:tcPr>
          <w:p w14:paraId="7FD33A5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1993</w:t>
            </w:r>
          </w:p>
        </w:tc>
        <w:tc>
          <w:tcPr>
            <w:tcW w:w="548" w:type="pct"/>
            <w:tcBorders>
              <w:top w:val="nil"/>
              <w:left w:val="nil"/>
              <w:bottom w:val="single" w:sz="4" w:space="0" w:color="auto"/>
              <w:right w:val="single" w:sz="4" w:space="0" w:color="auto"/>
            </w:tcBorders>
            <w:shd w:val="clear" w:color="auto" w:fill="auto"/>
            <w:noWrap/>
            <w:vAlign w:val="bottom"/>
            <w:hideMark/>
          </w:tcPr>
          <w:p w14:paraId="657343C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14069</w:t>
            </w:r>
          </w:p>
        </w:tc>
        <w:tc>
          <w:tcPr>
            <w:tcW w:w="399" w:type="pct"/>
            <w:tcBorders>
              <w:top w:val="nil"/>
              <w:left w:val="nil"/>
              <w:bottom w:val="single" w:sz="4" w:space="0" w:color="auto"/>
              <w:right w:val="single" w:sz="4" w:space="0" w:color="auto"/>
            </w:tcBorders>
            <w:shd w:val="clear" w:color="auto" w:fill="auto"/>
            <w:noWrap/>
            <w:vAlign w:val="bottom"/>
            <w:hideMark/>
          </w:tcPr>
          <w:p w14:paraId="11FBE71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40.64</w:t>
            </w:r>
          </w:p>
        </w:tc>
        <w:tc>
          <w:tcPr>
            <w:tcW w:w="449" w:type="pct"/>
            <w:tcBorders>
              <w:top w:val="nil"/>
              <w:left w:val="nil"/>
              <w:bottom w:val="single" w:sz="4" w:space="0" w:color="auto"/>
              <w:right w:val="single" w:sz="4" w:space="0" w:color="auto"/>
            </w:tcBorders>
            <w:shd w:val="clear" w:color="auto" w:fill="auto"/>
            <w:noWrap/>
            <w:vAlign w:val="bottom"/>
            <w:hideMark/>
          </w:tcPr>
          <w:p w14:paraId="07DDF16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30.37</w:t>
            </w:r>
          </w:p>
        </w:tc>
        <w:tc>
          <w:tcPr>
            <w:tcW w:w="498" w:type="pct"/>
            <w:tcBorders>
              <w:top w:val="nil"/>
              <w:left w:val="nil"/>
              <w:bottom w:val="single" w:sz="4" w:space="0" w:color="auto"/>
              <w:right w:val="single" w:sz="4" w:space="0" w:color="auto"/>
            </w:tcBorders>
            <w:shd w:val="clear" w:color="auto" w:fill="auto"/>
            <w:noWrap/>
            <w:vAlign w:val="bottom"/>
            <w:hideMark/>
          </w:tcPr>
          <w:p w14:paraId="6882697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6E14AF6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0BAD750"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3AE148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18571CA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Aguilar-Salinas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{"citationItems":[{"id":"ITEM-1","itemData":{"DOI":"10.1016/j.atherosclerosis.2010.10.049","abstract":"Objective: To search for an association between the non-synonymous Arg230Cys variant (R230C) of the ATP-binding cassette transporter A1 and low HDL cholesterol levels in a Mexican, population-based nation wide survey. Methods: The 2000 National Health Survey is a cross sectional study that included individuals from 400 cities. All individuals who had a 9-12-h fasted blood sample and a DNA sample were selected (n= 1729). These cases were randomly distributed; no bias was detected for sex, education, region or socioeconomic status. The R230C variant was genotyped using TaqMan assays. Results: In individuals with the R230C/C230C genotypes (39.03. mg/dl (36.63-41.43)) lower HDL-C levels (p&lt; 0.001) were observed compared to those with the R230R genotype (44.7. mg/dl (43.31-46.24)). The difference remained significant after adjusting for gender, body mass index and waist circumference; the mean difference in HDL cholesterol levels between alleles was 5.73 ± 1.4. mg/dl. The magnitude of the effect was significantly greater in males. The C230 allele of ABCA1 was associated with an increased risk for hypoalphalipoproteinemia (OR 1.66 (95%CI 1.08-2.54), p&lt; 0.05). The population attributable risk (PAR) for having hypoalphalipoproteinemia of the C230 allele of the ABCA1, after considering the confounding effect of waist circumference and gender, was 12.2% (95%CI 1.4-24.2%). Conclusion: The non-synonymous Arg230Cys variant of ABCA1 is associated with low levels of HDL cholesterol levels in Mexican adults. The HDL cholesterol lowering effect of the variant is greater in males. The size of the effect is greater compared to that reported for other ABCA1 variants. © 2011 Elsevier Ireland Ltd.","author":[{"dropping-particle":"","family":"Aguilar-Salinas","given":"Carlos A","non-dropping-particle":"","parse-names":false,"suffix":""},{"dropping-particle":"","family":"Canizales-Quinteros","given":"Samuel","non-dropping-particle":"","parse-names":false,"suffix":""},{"dropping-particle":"","family":"Rojas-Martínez","given":"Rosalba","non-dropping-particle":"","parse-names":false,"suffix":""},{"dropping-particle":"","family":"Mehta","given":"Roopa","non-dropping-particle":"","parse-names":false,"suffix":""},{"dropping-particle":"","family":"Rodriguez-Guillén","given":"Rosario","non-dropping-particle":"","parse-names":false,"suffix":""},{"dropping-particle":"","family":"Ordoñez-Sanchez","given":"María Luisa","non-dropping-particle":"","parse-names":false,"suffix":""},{"dropping-particle":"","family":"Riba","given":"Laura","non-dropping-particle":"","parse-names":false,"suffix":""},{"dropping-particle":"","family":"Tusié-Luna","given":"María Teresa","non-dropping-particle":"","parse-names":false,"suffix":""}],"container-title":"Atherosclerosis","id":"ITEM-1","issue":"1","issued":{"date-parts":[["2011"]]},"page":"146-150","title":"The non-synonymous Arg230Cys variant (R230C) of the ATP-binding cassette transporter A1 is associated with low HDL cholesterol concentrations in Mexican adults: A population based nation wide study","type":"article-journal","volume":"216"},"uris":["http://www.mendeley.com/documents/?uuid=3ff731d4-325d-41aa-81b4-d1260820823c"]}],"mendeley":{"formattedCitation":"&lt;sup&gt;132&lt;/sup&gt;","plainTextFormattedCitation":"132","previouslyFormattedCitation":"&lt;sup&gt;132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132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0F3B5D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009404A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2000</w:t>
            </w:r>
          </w:p>
        </w:tc>
        <w:tc>
          <w:tcPr>
            <w:tcW w:w="548" w:type="pct"/>
            <w:tcBorders>
              <w:top w:val="nil"/>
              <w:left w:val="nil"/>
              <w:bottom w:val="single" w:sz="4" w:space="0" w:color="auto"/>
              <w:right w:val="single" w:sz="4" w:space="0" w:color="auto"/>
            </w:tcBorders>
            <w:shd w:val="clear" w:color="auto" w:fill="auto"/>
            <w:noWrap/>
            <w:vAlign w:val="bottom"/>
            <w:hideMark/>
          </w:tcPr>
          <w:p w14:paraId="498229D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1729</w:t>
            </w:r>
          </w:p>
        </w:tc>
        <w:tc>
          <w:tcPr>
            <w:tcW w:w="399" w:type="pct"/>
            <w:tcBorders>
              <w:top w:val="nil"/>
              <w:left w:val="nil"/>
              <w:bottom w:val="single" w:sz="4" w:space="0" w:color="auto"/>
              <w:right w:val="single" w:sz="4" w:space="0" w:color="auto"/>
            </w:tcBorders>
            <w:shd w:val="clear" w:color="auto" w:fill="auto"/>
            <w:noWrap/>
            <w:vAlign w:val="bottom"/>
            <w:hideMark/>
          </w:tcPr>
          <w:p w14:paraId="218C146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15F72C3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36.8</w:t>
            </w:r>
          </w:p>
        </w:tc>
        <w:tc>
          <w:tcPr>
            <w:tcW w:w="498" w:type="pct"/>
            <w:tcBorders>
              <w:top w:val="nil"/>
              <w:left w:val="nil"/>
              <w:bottom w:val="single" w:sz="4" w:space="0" w:color="auto"/>
              <w:right w:val="single" w:sz="4" w:space="0" w:color="auto"/>
            </w:tcBorders>
            <w:shd w:val="clear" w:color="auto" w:fill="auto"/>
            <w:noWrap/>
            <w:vAlign w:val="bottom"/>
            <w:hideMark/>
          </w:tcPr>
          <w:p w14:paraId="4668762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3088874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5BB7D0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AE2B8B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06D5BF45"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Escobedo de la Peña</w:t>
            </w:r>
            <w:r w:rsidRPr="009E0769">
              <w:rPr>
                <w:rFonts w:ascii="Arial" w:eastAsia="Times New Roman" w:hAnsi="Arial" w:cs="Arial"/>
                <w:color w:val="000000"/>
                <w:sz w:val="16"/>
                <w:szCs w:val="16"/>
                <w:lang w:val="es-PE"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{"citationItems":[{"id":"ITEM-1","itemData":{"abstract":"Objective: To estimate the prevalence of dyslipidemias in Mexico city and its relation to other cardiovascular risk factors. Methods: A cross sectional study was conducted to measure cardiovascular risk factors in Mexico City. All subjects were interviewed and anthropometric measures performed, as well as cholesterol, high-density lipoproteins (HDL-C) and triglycerides. Low-density lipoprotein (LDL-C) values were calculated. Means- as well as dyslipidemia-weighted prevalence were measured, with 95% confidence intervals. Results: 833 males and 889 females were studied. The prevalence of cholesterol ≥ 240 mg/dl was 16.4% (95% CI: 14.2-18.7), and 34.1% (95% CI: 3 1.6-36.5) had values between 200 and 240 mg/dl. Very high values of triglycerides were seen in 2.6% of studied subjects and 29.9% (95% CI: 26.9-32.8) had high values. The prevalence of hypertriglyceridemia was higher in males (43.3%) than females (23%). Mean values of assessed parameters were in general higher in those with other cardiovascular risk factors. Conclusions: Lipid values in the population of Mexico City are high and so is the prevalence of dyslipidemias. There is an urgent need to implement health policies directed to diminish cardiovascular risk factors, mainly dyslipidemias.","author":[{"dropping-particle":"","family":"Escobedo-de la Peña","given":"Jorge","non-dropping-particle":"","parse-names":false,"suffix":""},{"dropping-particle":"","family":"Jesús-Pérez","given":"Ramón","non-dropping-particle":"de","parse-names":false,"suffix":""},{"dropping-particle":"","family":"Schargrodsky","given":"Herman","non-dropping-particle":"","parse-names":false,"suffix":""},{"dropping-particle":"","family":"Champagne","given":"Beatriz","non-dropping-particle":"","parse-names":false,"suffix":""}],"container-title":"Gaceta Medica de Mexico","id":"ITEM-1","issue":"2","issued":{"date-parts":[["2014"]]},"page":"128-136","title":"Prevalencia de dislipidemias en la ciudad de México y su asociación con otros factores de riesgo cardiovascular. Resultados del estudio CARMELA","type":"article-journal","volume":"150"},"uris":["http://www.mendeley.com/documents/?uuid=d3af705b-1a7d-409c-8642-f0567265d883"]}],"mendeley":{"formattedCitation":"&lt;sup&gt;133&lt;/sup&gt;","plainTextFormattedCitation":"133","previouslyFormattedCitation":"&lt;sup&gt;133&lt;/sup&gt;"},"properties":{"noteIndex":0},"schema":"https://github.com/citation-style-language/schema/raw/master/csl-citation.json"}</w:instrText>
            </w:r>
            <w:r w:rsidRPr="009E0769">
              <w:rPr>
                <w:rFonts w:ascii="Arial" w:eastAsia="Times New Roman" w:hAnsi="Arial" w:cs="Arial"/>
                <w:color w:val="000000"/>
                <w:sz w:val="16"/>
                <w:szCs w:val="16"/>
                <w:lang w:val="es-PE" w:eastAsia="en-GB"/>
              </w:rPr>
              <w:fldChar w:fldCharType="separate"/>
            </w:r>
            <w:r w:rsidRPr="009E0769">
              <w:rPr>
                <w:rFonts w:ascii="Arial" w:eastAsia="Times New Roman" w:hAnsi="Arial" w:cs="Arial"/>
                <w:noProof/>
                <w:color w:val="000000"/>
                <w:sz w:val="16"/>
                <w:szCs w:val="16"/>
                <w:vertAlign w:val="superscript"/>
                <w:lang w:val="es-PE" w:eastAsia="en-GB"/>
              </w:rPr>
              <w:t>133</w:t>
            </w:r>
            <w:r w:rsidRPr="009E0769">
              <w:rPr>
                <w:rFonts w:ascii="Arial" w:eastAsia="Times New Roman" w:hAnsi="Arial" w:cs="Arial"/>
                <w:color w:val="000000"/>
                <w:sz w:val="16"/>
                <w:szCs w:val="16"/>
                <w:lang w:val="es-PE"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117772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2014</w:t>
            </w:r>
          </w:p>
        </w:tc>
        <w:tc>
          <w:tcPr>
            <w:tcW w:w="598" w:type="pct"/>
            <w:tcBorders>
              <w:top w:val="nil"/>
              <w:left w:val="nil"/>
              <w:bottom w:val="single" w:sz="4" w:space="0" w:color="auto"/>
              <w:right w:val="single" w:sz="4" w:space="0" w:color="auto"/>
            </w:tcBorders>
            <w:shd w:val="clear" w:color="auto" w:fill="auto"/>
            <w:noWrap/>
            <w:vAlign w:val="bottom"/>
            <w:hideMark/>
          </w:tcPr>
          <w:p w14:paraId="0C439E8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48" w:type="pct"/>
            <w:tcBorders>
              <w:top w:val="nil"/>
              <w:left w:val="nil"/>
              <w:bottom w:val="single" w:sz="4" w:space="0" w:color="auto"/>
              <w:right w:val="single" w:sz="4" w:space="0" w:color="auto"/>
            </w:tcBorders>
            <w:shd w:val="clear" w:color="auto" w:fill="auto"/>
            <w:noWrap/>
            <w:vAlign w:val="bottom"/>
            <w:hideMark/>
          </w:tcPr>
          <w:p w14:paraId="1926550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1722</w:t>
            </w:r>
          </w:p>
        </w:tc>
        <w:tc>
          <w:tcPr>
            <w:tcW w:w="399" w:type="pct"/>
            <w:tcBorders>
              <w:top w:val="nil"/>
              <w:left w:val="nil"/>
              <w:bottom w:val="single" w:sz="4" w:space="0" w:color="auto"/>
              <w:right w:val="single" w:sz="4" w:space="0" w:color="auto"/>
            </w:tcBorders>
            <w:shd w:val="clear" w:color="auto" w:fill="auto"/>
            <w:noWrap/>
            <w:vAlign w:val="bottom"/>
            <w:hideMark/>
          </w:tcPr>
          <w:p w14:paraId="6E97A94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48.37</w:t>
            </w:r>
          </w:p>
        </w:tc>
        <w:tc>
          <w:tcPr>
            <w:tcW w:w="449" w:type="pct"/>
            <w:tcBorders>
              <w:top w:val="nil"/>
              <w:left w:val="nil"/>
              <w:bottom w:val="single" w:sz="4" w:space="0" w:color="auto"/>
              <w:right w:val="single" w:sz="4" w:space="0" w:color="auto"/>
            </w:tcBorders>
            <w:shd w:val="clear" w:color="auto" w:fill="auto"/>
            <w:noWrap/>
            <w:vAlign w:val="bottom"/>
            <w:hideMark/>
          </w:tcPr>
          <w:p w14:paraId="4B46FA0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CF3304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188F8A5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16BC58C"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4B869A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01BB26E2"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Echevarri</w:t>
            </w:r>
            <w:r w:rsidRPr="009E0769">
              <w:rPr>
                <w:rFonts w:ascii="Arial" w:eastAsia="Times New Roman" w:hAnsi="Arial" w:cs="Arial"/>
                <w:color w:val="000000"/>
                <w:sz w:val="16"/>
                <w:szCs w:val="16"/>
                <w:lang w:val="es-PE" w:eastAsia="en-GB"/>
              </w:rPr>
              <w:softHyphen/>
              <w:t>a-Pinto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uthor":[{"dropping-particle":"","family":"Echavarría-Pinto","given":"Mauro","non-dropping-particle":"","parse-names":false,"suffix":""},{"dropping-particle":"","family":"Hernández-Lomelí","given":"Adrián","non-dropping-particle":"","parse-names":false,"suffix":""}],"container-title":"Rev Med Inst Mex Seguro","id":"ITEM-1","issue":"4","issued":{"date-parts":[["2006"]]},"page":"329-335","title":"Síndrome metabólico en adultos de 20 a 40 años en comunidad rural mexicana","type":"article-journal","volume":"44"},"uris":["http://www.mendeley.com/documents/?uuid=4ce3e50b-2089-401a-b0c6-4f4ec26fc8df"]}],"mendeley":{"formattedCitation":"&lt;sup&gt;134&lt;/sup&gt;","plainTextFormattedCitation":"134","previouslyFormattedCitation":"&lt;sup&gt;134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134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3CF6A7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98" w:type="pct"/>
            <w:tcBorders>
              <w:top w:val="nil"/>
              <w:left w:val="nil"/>
              <w:bottom w:val="single" w:sz="4" w:space="0" w:color="auto"/>
              <w:right w:val="single" w:sz="4" w:space="0" w:color="auto"/>
            </w:tcBorders>
            <w:shd w:val="clear" w:color="auto" w:fill="auto"/>
            <w:noWrap/>
            <w:vAlign w:val="bottom"/>
            <w:hideMark/>
          </w:tcPr>
          <w:p w14:paraId="47334FB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1684ED3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73</w:t>
            </w:r>
          </w:p>
        </w:tc>
        <w:tc>
          <w:tcPr>
            <w:tcW w:w="399" w:type="pct"/>
            <w:tcBorders>
              <w:top w:val="nil"/>
              <w:left w:val="nil"/>
              <w:bottom w:val="single" w:sz="4" w:space="0" w:color="auto"/>
              <w:right w:val="single" w:sz="4" w:space="0" w:color="auto"/>
            </w:tcBorders>
            <w:shd w:val="clear" w:color="auto" w:fill="auto"/>
            <w:noWrap/>
            <w:vAlign w:val="bottom"/>
            <w:hideMark/>
          </w:tcPr>
          <w:p w14:paraId="048D432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42.46</w:t>
            </w:r>
          </w:p>
        </w:tc>
        <w:tc>
          <w:tcPr>
            <w:tcW w:w="449" w:type="pct"/>
            <w:tcBorders>
              <w:top w:val="nil"/>
              <w:left w:val="nil"/>
              <w:bottom w:val="single" w:sz="4" w:space="0" w:color="auto"/>
              <w:right w:val="single" w:sz="4" w:space="0" w:color="auto"/>
            </w:tcBorders>
            <w:shd w:val="clear" w:color="auto" w:fill="auto"/>
            <w:noWrap/>
            <w:vAlign w:val="bottom"/>
            <w:hideMark/>
          </w:tcPr>
          <w:p w14:paraId="3A56FA4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35CC42F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832016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EAC707C"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E86678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553D529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Salas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Little is known of the epidemiology of diabetes among older people in low and middle income countries. We aimed to study and compare prevalence, social patterning, correlates, detection, treatment and control of diabetes among older people in Latin America, India, China and Nigeria. Methods: Cross-sectional surveys in 13 catchment area sites in nine countries. Diagnosed diabetes was assessed in all sites through self-reported diagnosis. Undiagnosed diabetes was assessed in seven Latin American sites through fasting blood samples (glucose &gt; = 7mmol/L). Results: Total diabetes prevalence in catchment sites in Cuba (prevalence 24.2%, SMR 116), Puerto Rico (43.4%, 197), and urban (27.0%, 125), and rural Mexico (23.7%, 111) already exceeds that in the USA, while that in Venezuela (20.9%, 100) is similar. Diagnosed diabetes prevalence varied very widely, between low prevalences in sites in rural China (0.9%), rural India (6.6%) and Nigeria (6.0%). and 32.1% in Puerto Rico, explained mainly by access to health services. Treatment coverage varied substantially between sites. Diabetes control (40 to 61% of those diagnosed) was modest in the Latin American sites where this was studied. Diabetes was independently associated with less education, but more assets. Hypertension, central obesity and hypertriglyceridaemia, but not hypercholesterolaemia were consistently associated with total diabetes. Conclusions: Diabetes prevalence is already high in most sites. Identifying undiagnosed cases is essential to quantify population burden, particularly in least developed settings where diagnosis is uncommon. Metabolic risk factors and associated lifestyles may play an important part in aetiology, but this requires confirmation with longitudinal data. Given the high prevalence among older people, more population research is indicated to quantify the impact of diabetes, and to monitor the effect of prevention and health system strengthening on prevalence, treatment and control. © 2016 Salas et al. This is an open access article distributed under the terms of the Creative Commons Attribution License, which permits unrestricted use, distribution, and reproduction in any medium, provided the original author and source are credited.","author":[{"dropping-particle":"","family":"Salas","given":"A","non-dropping-particle":"","parse-names":false,"suffix":""},{"dropping-particle":"","family":"Acosta","given":"D","non-dropping-particle":"","parse-names":false,"suffix":""},{"dropping-particle":"","family":"Ferri","given":"C P","non-dropping-particle":"","parse-names":false,"suffix":""},{"dropping-particle":"","family":"Guerra","given":"M","non-dropping-particle":"","parse-names":false,"suffix":""},{"dropping-particle":"","family":"Huang","given":"Y","non-dropping-particle":"","parse-names":false,"suffix":""},{"dropping-particle":"","family":"Jacob","given":"K S","non-dropping-particle":"","parse-names":false,"suffix":""},{"dropping-particle":"","family":"Jimenez-Velazquez","given":"I Z","non-dropping-particle":"","parse-names":false,"suffix":""},{"dropping-particle":"","family":"Llibre Rodriguez","given":"J J","non-dropping-particle":"","parse-names":false,"suffix":""},{"dropping-particle":"","family":"Sosa","given":"A L","non-dropping-particle":"","parse-names":false,"suffix":""},{"dropping-particle":"","family":"Uwakwe","given":"R","non-dropping-particle":"","parse-names":false,"suffix":""},{"dropping-particle":"","family":"Williams","given":"J D","non-dropping-particle":"","parse-names":false,"suffix":""},{"dropping-particle":"","family":"Jotheeswaran","given":"A T","non-dropping-particle":"","parse-names":false,"suffix":""},{"dropping-particle":"","family":"Liu","given":"Z","non-dropping-particle":"","parse-names":false,"suffix":""},{"dropping-particle":"","family":"Lopez Medina","given":"A M","non-dropping-particle":"","parse-names":false,"suffix":""},{"dropping-particle":"","family":"Salinas-Contreras","given":"R M","non-dropping-particle":"","parse-names":false,"suffix":""},{"dropping-particle":"","family":"Prince","given":"M J","non-dropping-particle":"","parse-names":false,"suffix":""}],"container-title":"PLoS ONE","id":"ITEM-1","issue":"2","issued":{"date-parts":[["2016"]]},"title":"The prevalence, correlates, detection and control of diabetes among older people in low and middle income countries. A 10/66 dementia research group population-based survey","type":"article-journal","volume":"11"},"uris":["http://www.mendeley.com/documents/?uuid=96518829-d630-4e18-9544-a9dfb421d147"]}],"mendeley":{"formattedCitation":"&lt;sup&gt;107&lt;/sup&gt;","plainTextFormattedCitation":"107","previouslyFormattedCitation":"&lt;sup&gt;107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C967AC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23F194F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48" w:type="pct"/>
            <w:tcBorders>
              <w:top w:val="nil"/>
              <w:left w:val="nil"/>
              <w:bottom w:val="single" w:sz="4" w:space="0" w:color="auto"/>
              <w:right w:val="single" w:sz="4" w:space="0" w:color="auto"/>
            </w:tcBorders>
            <w:shd w:val="clear" w:color="auto" w:fill="auto"/>
            <w:noWrap/>
            <w:vAlign w:val="bottom"/>
            <w:hideMark/>
          </w:tcPr>
          <w:p w14:paraId="05EC8BB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2003</w:t>
            </w:r>
          </w:p>
        </w:tc>
        <w:tc>
          <w:tcPr>
            <w:tcW w:w="399" w:type="pct"/>
            <w:tcBorders>
              <w:top w:val="nil"/>
              <w:left w:val="nil"/>
              <w:bottom w:val="single" w:sz="4" w:space="0" w:color="auto"/>
              <w:right w:val="single" w:sz="4" w:space="0" w:color="auto"/>
            </w:tcBorders>
            <w:shd w:val="clear" w:color="auto" w:fill="auto"/>
            <w:noWrap/>
            <w:vAlign w:val="bottom"/>
            <w:hideMark/>
          </w:tcPr>
          <w:p w14:paraId="5EB7D57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36.69</w:t>
            </w:r>
          </w:p>
        </w:tc>
        <w:tc>
          <w:tcPr>
            <w:tcW w:w="449" w:type="pct"/>
            <w:tcBorders>
              <w:top w:val="nil"/>
              <w:left w:val="nil"/>
              <w:bottom w:val="single" w:sz="4" w:space="0" w:color="auto"/>
              <w:right w:val="single" w:sz="4" w:space="0" w:color="auto"/>
            </w:tcBorders>
            <w:shd w:val="clear" w:color="auto" w:fill="auto"/>
            <w:noWrap/>
            <w:vAlign w:val="bottom"/>
            <w:hideMark/>
          </w:tcPr>
          <w:p w14:paraId="4D856A6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74.77</w:t>
            </w:r>
          </w:p>
        </w:tc>
        <w:tc>
          <w:tcPr>
            <w:tcW w:w="498" w:type="pct"/>
            <w:tcBorders>
              <w:top w:val="nil"/>
              <w:left w:val="nil"/>
              <w:bottom w:val="single" w:sz="4" w:space="0" w:color="auto"/>
              <w:right w:val="single" w:sz="4" w:space="0" w:color="auto"/>
            </w:tcBorders>
            <w:shd w:val="clear" w:color="auto" w:fill="auto"/>
            <w:noWrap/>
            <w:vAlign w:val="bottom"/>
            <w:hideMark/>
          </w:tcPr>
          <w:p w14:paraId="1250F83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7504D2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7C3F9E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864426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69543EE9"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Rodriguez-Moran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{"citationItems":[{"id":"ITEM-1","itemData":{"abstract":"Studies on the role of parental history on the risk of developing metabolic syndrome (MS) show inconsistent data that may depend on misclassification of the parental history. Confirming carefully the parental phenotype (PF) of type 2 diabetes mellitus (DM) and essential hypertension (EH) of participants' parents, we determined the relationship between PF of either DM or EH and the risk of developing MS in Mexican individuals. A case-control study of 210 subjects randomly recruited from Durango, Mexico was carried out. Subjects with MS (cases) were compared with a control group of subjects without MS matched by age and gender. MS was defined by the presence of two or more of the following: fasting glucose &gt; or =7.0 mmol/l; blood pressure &gt; or =160/90 mmHg; fasting triglycerides &gt; or =1.7 mmol/l and/or HDL-cholesterol &lt;1.0 mmol/l; and obesity (body mass index &gt; or =30 kg/m2 and/or waist-to-hip ratio &gt; or =0.85). The PF of DM and EH was confirmed by direct clinical examination and/or review of certificates of death of each of the participants' parents. Incomplete or unclear data about PH were exclusion criteria. Multivariate analysis showed that PF of DM without EH (odds ratio (OR) 2.6; 95% CI, 1.3-7.8, p=0.044) and PF of both DM and EH (OR, 3.1; 95% CI, 1.5-9.1, p=0.0001), but not the PF of EH without DM are independent predictors for developing MS in Mexican individuals. In the offspring generation of Mexican subjects, the PF of DM seems to increase the risk of developing MS, whereas PF of EH does not.","author":[{"dropping-particle":"","family":"Rodriguez-Moran","given":"M","non-dropping-particle":"","parse-names":false,"suffix":""},{"dropping-particle":"","family":"Guerrero-Romero","given":"F","non-dropping-particle":"","parse-names":false,"suffix":""}],"container-title":"Acta diabetologica","id":"ITEM-1","issue":"2","issued":{"date-parts":[["2001"]]},"page":"87-91","title":"The parental phenotype of diabetes, but not of essential hypertension, is linked to the development of metabolic syndrome in Mexican individuals","type":"article-journal","volume":"38"},"uris":["http://www.mendeley.com/documents/?uuid=0ae6b67c-348b-4955-9329-60ca024a4bfe"]}],"mendeley":{"formattedCitation":"&lt;sup&gt;135&lt;/sup&gt;","plainTextFormattedCitation":"135","previouslyFormattedCitation":"&lt;sup&gt;135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135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FFE542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2001</w:t>
            </w:r>
          </w:p>
        </w:tc>
        <w:tc>
          <w:tcPr>
            <w:tcW w:w="598" w:type="pct"/>
            <w:tcBorders>
              <w:top w:val="nil"/>
              <w:left w:val="nil"/>
              <w:bottom w:val="single" w:sz="4" w:space="0" w:color="auto"/>
              <w:right w:val="single" w:sz="4" w:space="0" w:color="auto"/>
            </w:tcBorders>
            <w:shd w:val="clear" w:color="auto" w:fill="auto"/>
            <w:noWrap/>
            <w:vAlign w:val="bottom"/>
            <w:hideMark/>
          </w:tcPr>
          <w:p w14:paraId="3AEF180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0179F02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210</w:t>
            </w:r>
          </w:p>
        </w:tc>
        <w:tc>
          <w:tcPr>
            <w:tcW w:w="399" w:type="pct"/>
            <w:tcBorders>
              <w:top w:val="nil"/>
              <w:left w:val="nil"/>
              <w:bottom w:val="single" w:sz="4" w:space="0" w:color="auto"/>
              <w:right w:val="single" w:sz="4" w:space="0" w:color="auto"/>
            </w:tcBorders>
            <w:shd w:val="clear" w:color="auto" w:fill="auto"/>
            <w:noWrap/>
            <w:vAlign w:val="bottom"/>
            <w:hideMark/>
          </w:tcPr>
          <w:p w14:paraId="3DFDFA2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34.76</w:t>
            </w:r>
          </w:p>
        </w:tc>
        <w:tc>
          <w:tcPr>
            <w:tcW w:w="449" w:type="pct"/>
            <w:tcBorders>
              <w:top w:val="nil"/>
              <w:left w:val="nil"/>
              <w:bottom w:val="single" w:sz="4" w:space="0" w:color="auto"/>
              <w:right w:val="single" w:sz="4" w:space="0" w:color="auto"/>
            </w:tcBorders>
            <w:shd w:val="clear" w:color="auto" w:fill="auto"/>
            <w:noWrap/>
            <w:vAlign w:val="bottom"/>
            <w:hideMark/>
          </w:tcPr>
          <w:p w14:paraId="5373888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40.5</w:t>
            </w:r>
          </w:p>
        </w:tc>
        <w:tc>
          <w:tcPr>
            <w:tcW w:w="498" w:type="pct"/>
            <w:tcBorders>
              <w:top w:val="nil"/>
              <w:left w:val="nil"/>
              <w:bottom w:val="single" w:sz="4" w:space="0" w:color="auto"/>
              <w:right w:val="single" w:sz="4" w:space="0" w:color="auto"/>
            </w:tcBorders>
            <w:shd w:val="clear" w:color="auto" w:fill="auto"/>
            <w:noWrap/>
            <w:vAlign w:val="bottom"/>
            <w:hideMark/>
          </w:tcPr>
          <w:p w14:paraId="1249BC3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1C5AE7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27C499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457F75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3DB9140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Rodriguez-Ramirez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Prehypertension (preHTN) increases the risk of developing hypertension. The objectives of this study were to estimate the prevalence of preHTN in the Mexican adult population and evaluate the association between hypomagnesemia and preHTN., METHODS: This study was a 2-phase, population-based study. In the first phase, 4,272 Mexican adults (aged 20-65 years) were enrolled to determine the prevalence of preHTN. In the second phase, a cross-sectional analysis was performed to evaluate the association between hypomagnesemia and preHTN. The exclusion criteria were chronic diarrhea, malignancy, hepatic and renal diseases, chronic inflammatory disease, and the intake of magnesium supplements. PreHTN was defined as a systolic blood pressure (BP) of 120-139 mm Hg and/or diastolic BP of 80-89 mm Hg, and hypomagnesemia was defined as a serum magnesium concentration &lt;1.8 mg/dl., RESULTS: The prevalence of preHTN was 37.5% (95% confidence interval (CI): 36.0-39.0): 46.7% were men (95% CI: 44.1-49.4) and 33.2% (95% CI: 31.5-5.0) were women. The serum magnesium data were available for 921 participants. Hypomagnesemia was identified in 276 (30.0%; 95% CI: 27.1-33.0) subjects; of them, 176 (63.8%; 95% CI: 58.3-69.6) had preHTN. Individuals with preHTN exhibited lower magnesium levels than individuals without preHTN (1.78+/-0.36 vs. 1.95+/-0.37, P &lt; 0.0005). A multiple logistic regression analysis (adjusted for age, sex, smoking, body mass index, waist circumference, fasting glucose, total cholesterol, high-density lipoprotein cholesterol, and triglycerides levels) indicated a significant association between hypomagnesemia and preHTN (odds ratio = 1.78; 95% CI: 1.5-4.0, P &lt; 0.0005)., CONCLUSIONS: The prevalence of preHTN in the Mexican population is 37.5%, and hypomagnesemia is strongly associated with preHTN.Copyright © American Journal of Hypertension, Ltd 2015. All rights reserved. For Permissions, please email: journals.permissions@oup.com.","author":[{"dropping-particle":"","family":"Rodriguez-Ramirez","given":"Mariana","non-dropping-particle":"","parse-names":false,"suffix":""},{"dropping-particle":"","family":"Simental-Mendia","given":"Luis E","non-dropping-particle":"","parse-names":false,"suffix":""},{"dropping-particle":"","family":"Gonzalez-Ortiz","given":"Manuel","non-dropping-particle":"","parse-names":false,"suffix":""},{"dropping-particle":"","family":"Martinez-Abundis","given":"Esperanza","non-dropping-particle":"","parse-names":false,"suffix":""},{"dropping-particle":"","family":"Madero","given":"Agustin","non-dropping-particle":"","parse-names":false,"suffix":""},{"dropping-particle":"","family":"Brito-Zurita","given":"Olga","non-dropping-particle":"","parse-names":false,"suffix":""},{"dropping-particle":"","family":"Perez-Fuentes","given":"Ricardo","non-dropping-particle":"","parse-names":false,"suffix":""},{"dropping-particle":"","family":"Revilla-Monsalve","given":"Cristina","non-dropping-particle":"","parse-names":false,"suffix":""},{"dropping-particle":"","family":"Islas-Andrade","given":"Sergio","non-dropping-particle":"","parse-names":false,"suffix":""},{"dropping-particle":"","family":"Rodriguez-Moran","given":"Martha","non-dropping-particle":"","parse-names":false,"suffix":""},{"dropping-particle":"","family":"Guerrero-Romero","given":"Fern","non-dropping-particle":"","parse-names":false,"suffix":""}],"container-title":"American journal of hypertension","id":"ITEM-1","issue":"8","issued":{"date-parts":[["2015"]]},"page":"1024-1030","title":"Prevalence of Prehypertension in Mexico and Its Association With Hypomagnesemia","type":"article-journal","volume":"28"},"uris":["http://www.mendeley.com/documents/?uuid=74536507-780f-4896-b3e0-6731c17c73a8"]}],"mendeley":{"formattedCitation":"&lt;sup&gt;136&lt;/sup&gt;","plainTextFormattedCitation":"136","previouslyFormattedCitation":"&lt;sup&gt;136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136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041622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67601CD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6D3EF1F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4272</w:t>
            </w:r>
          </w:p>
        </w:tc>
        <w:tc>
          <w:tcPr>
            <w:tcW w:w="399" w:type="pct"/>
            <w:tcBorders>
              <w:top w:val="nil"/>
              <w:left w:val="nil"/>
              <w:bottom w:val="single" w:sz="4" w:space="0" w:color="auto"/>
              <w:right w:val="single" w:sz="4" w:space="0" w:color="auto"/>
            </w:tcBorders>
            <w:shd w:val="clear" w:color="auto" w:fill="auto"/>
            <w:noWrap/>
            <w:vAlign w:val="bottom"/>
            <w:hideMark/>
          </w:tcPr>
          <w:p w14:paraId="22D5901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31.6</w:t>
            </w:r>
          </w:p>
        </w:tc>
        <w:tc>
          <w:tcPr>
            <w:tcW w:w="449" w:type="pct"/>
            <w:tcBorders>
              <w:top w:val="nil"/>
              <w:left w:val="nil"/>
              <w:bottom w:val="single" w:sz="4" w:space="0" w:color="auto"/>
              <w:right w:val="single" w:sz="4" w:space="0" w:color="auto"/>
            </w:tcBorders>
            <w:shd w:val="clear" w:color="auto" w:fill="auto"/>
            <w:noWrap/>
            <w:vAlign w:val="bottom"/>
            <w:hideMark/>
          </w:tcPr>
          <w:p w14:paraId="760653E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43.9</w:t>
            </w:r>
          </w:p>
        </w:tc>
        <w:tc>
          <w:tcPr>
            <w:tcW w:w="498" w:type="pct"/>
            <w:tcBorders>
              <w:top w:val="nil"/>
              <w:left w:val="nil"/>
              <w:bottom w:val="single" w:sz="4" w:space="0" w:color="auto"/>
              <w:right w:val="single" w:sz="4" w:space="0" w:color="auto"/>
            </w:tcBorders>
            <w:shd w:val="clear" w:color="auto" w:fill="auto"/>
            <w:noWrap/>
            <w:vAlign w:val="bottom"/>
            <w:hideMark/>
          </w:tcPr>
          <w:p w14:paraId="6BCE3EB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6249563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B2121F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51F79F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0396283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Posadas-Romero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{"citationItems":[{"id":"ITEM-1","itemData":{"abstract":"In Mexico, the incidence and prevalence of coronary heart disease (CHD) has increased over the past three decades and has become the leading cause of death in the country. Hypercholesterolemia is a major risk factor for coronary atherosclerosis and most developed countries currently have public health strategies that attempt to reduce the level of cholesterol. In order to determine the mean total cholesterol values and the prevalence of hypercholesterolemia, an epidemiologic survey was carried out in a representative national population sample that included men and women aged 1 to 98 years. In this report, we present the findings in all individuals older than 20 years (n = 33,558). Considering the country as a whole, the mean serum total cholesterol (TC) was 4.80 +/- 1.16 mmol/l, the prevalence of borderline hypercholesterolemia (TC between 5.17 and 6.20 mmol/l) was 22.8% and the prevalence of high risk hypercholesterolemia (TC &gt; or = 6.20 mmol/l) was 10.6%. This cross sectional study demonstrated the existence of significant geographic differences in serum TC, with mean state values ranging from 4.43 +/- 1.05 mmol/l in the south to 5.48 +/- 1.36 mmol/l in the north. The prevalence of high risk hypercholesterolemia was as high as 24.8% in Baja California Norte and as low as 4.0% in the state of Guerrero. These large differences in mean TC values are probably diet related and reinforce the need to carry out prospective and intervention trials related to CHD and its risk factors.","author":[{"dropping-particle":"","family":"Posadas-Romero","given":"C","non-dropping-particle":"","parse-names":false,"suffix":""},{"dropping-particle":"","family":"Tapia-Conyer","given":"R","non-dropping-particle":"","parse-names":false,"suffix":""},{"dropping-particle":"","family":"Lerman-Garber","given":"I","non-dropping-particle":"","parse-names":false,"suffix":""},{"dropping-particle":"","family":"Zamora-Gonzalez","given":"J","non-dropping-particle":"","parse-names":false,"suffix":""},{"dropping-particle":"","family":"Cardoso-Saldana","given":"G","non-dropping-particle":"","parse-names":false,"suffix":""},{"dropping-particle":"","family":"Salvatierra-Izaba","given":"B","non-dropping-particle":"","parse-names":false,"suffix":""},{"dropping-particle":"","family":"Sepulveda-Amor","given":"J A","non-dropping-particle":"","parse-names":false,"suffix":""}],"container-title":"Atherosclerosis","id":"ITEM-1","issue":"2","issued":{"date-parts":[["1995"]]},"page":"275-284","title":"Cholesterol levels and prevalence of hypercholesterolemia in a Mexican adult population","type":"article-journal","volume":"118"},"uris":["http://www.mendeley.com/documents/?uuid=371550fe-e311-4983-8140-bbf1d3ee898d"]}],"mendeley":{"formattedCitation":"&lt;sup&gt;137&lt;/sup&gt;","plainTextFormattedCitation":"137","previouslyFormattedCitation":"&lt;sup&gt;137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137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29062C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1995</w:t>
            </w:r>
          </w:p>
        </w:tc>
        <w:tc>
          <w:tcPr>
            <w:tcW w:w="598" w:type="pct"/>
            <w:tcBorders>
              <w:top w:val="nil"/>
              <w:left w:val="nil"/>
              <w:bottom w:val="single" w:sz="4" w:space="0" w:color="auto"/>
              <w:right w:val="single" w:sz="4" w:space="0" w:color="auto"/>
            </w:tcBorders>
            <w:shd w:val="clear" w:color="auto" w:fill="auto"/>
            <w:noWrap/>
            <w:vAlign w:val="bottom"/>
            <w:hideMark/>
          </w:tcPr>
          <w:p w14:paraId="682B102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1987</w:t>
            </w:r>
          </w:p>
        </w:tc>
        <w:tc>
          <w:tcPr>
            <w:tcW w:w="548" w:type="pct"/>
            <w:tcBorders>
              <w:top w:val="nil"/>
              <w:left w:val="nil"/>
              <w:bottom w:val="single" w:sz="4" w:space="0" w:color="auto"/>
              <w:right w:val="single" w:sz="4" w:space="0" w:color="auto"/>
            </w:tcBorders>
            <w:shd w:val="clear" w:color="auto" w:fill="auto"/>
            <w:noWrap/>
            <w:vAlign w:val="bottom"/>
            <w:hideMark/>
          </w:tcPr>
          <w:p w14:paraId="5716FB5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33558</w:t>
            </w:r>
          </w:p>
        </w:tc>
        <w:tc>
          <w:tcPr>
            <w:tcW w:w="399" w:type="pct"/>
            <w:tcBorders>
              <w:top w:val="nil"/>
              <w:left w:val="nil"/>
              <w:bottom w:val="single" w:sz="4" w:space="0" w:color="auto"/>
              <w:right w:val="single" w:sz="4" w:space="0" w:color="auto"/>
            </w:tcBorders>
            <w:shd w:val="clear" w:color="auto" w:fill="auto"/>
            <w:noWrap/>
            <w:vAlign w:val="bottom"/>
            <w:hideMark/>
          </w:tcPr>
          <w:p w14:paraId="27B5E0C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35.88</w:t>
            </w:r>
          </w:p>
        </w:tc>
        <w:tc>
          <w:tcPr>
            <w:tcW w:w="449" w:type="pct"/>
            <w:tcBorders>
              <w:top w:val="nil"/>
              <w:left w:val="nil"/>
              <w:bottom w:val="single" w:sz="4" w:space="0" w:color="auto"/>
              <w:right w:val="single" w:sz="4" w:space="0" w:color="auto"/>
            </w:tcBorders>
            <w:shd w:val="clear" w:color="auto" w:fill="auto"/>
            <w:noWrap/>
            <w:vAlign w:val="bottom"/>
            <w:hideMark/>
          </w:tcPr>
          <w:p w14:paraId="077DCCE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002B594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1A0C764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No</w:t>
            </w:r>
          </w:p>
        </w:tc>
      </w:tr>
      <w:tr w:rsidR="00665066" w:rsidRPr="009E0769" w14:paraId="36F7C0A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121933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301ACE0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Valdez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{"citationItems":[{"id":"ITEM-1","itemData":{"ISSN":"1071-7323","abstract":"To search for genetic and environmental determinants of obesity, we compared the prevalences and the impact of obesity in three populations from two cities: Mexican Americans (n = 820) and non-Hispanic whites (n = 1112) from San Antonio, Texas, and Mexicans from Mexico City (n = 1878). In the age range examined, 35-64 years, only Mexican men and women showed a significant increase in the prevalence of obesity with age. On the other hand, genetic ancestry, especially in women, made significant differences in the rates of obesity. Mexican Americans showed relatively high, and non-Hispanic whites low, rates of obesity. To discriminate between genetic and environmental influences mediating the impact of obesity on a set of hemodynamic and metabolic variables, we compared this impact between Mexican Americans and both non-Hispanic whites (same macro-environment, different gene pools), and Mexicans (same gene pool, different environments). We found that obesity always worsens the hemodynamic and metabolic profiles of individuals, but the magnitude of the effects may be variable. We showed that the levels of insulin concentrations for a given level of obesity were similar in Mexicans and Mexican Americans, suggesting that genetic influences predominate in determining insulin levels; the levels of triglycerides and HDL for a given level of obesity were similar in Mexican Americans and non-Hispanic whites, suggesting predominant environmental influences on lipid levels. On the other hand, the levels of glucose and systolic blood pressure for a given level of obesity were usually different between Mexican Americans and either of the other two populations, suggesting that these levels may result from genotype-by-environment interactions.","author":[{"dropping-particle":"","family":"Valdez","given":"R","non-dropping-particle":"","parse-names":false,"suffix":""},{"dropping-particle":"","family":"o","given":"C","non-dropping-particle":"","parse-names":false,"suffix":""},{"dropping-particle":"","family":"Mitchell","given":"B D","non-dropping-particle":"","parse-names":false,"suffix":""},{"dropping-particle":"","family":"Haffner","given":"S M","non-dropping-particle":"","parse-names":false,"suffix":""},{"dropping-particle":"","family":"Stern","given":"M P","non-dropping-particle":"","parse-names":false,"suffix":""}],"container-title":"Obesity research","id":"ITEM-1","issued":{"date-parts":[["1995"]]},"page":"223s-232s","title":"Differential impact of obesity in related populations","type":"article-journal","volume":"3"},"uris":["http://www.mendeley.com/documents/?uuid=98e154b1-6289-4370-854a-5bae8a1c9ef2"]}],"mendeley":{"formattedCitation":"&lt;sup&gt;138&lt;/sup&gt;","plainTextFormattedCitation":"138","previouslyFormattedCitation":"&lt;sup&gt;138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138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F5F8D6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1995</w:t>
            </w:r>
          </w:p>
        </w:tc>
        <w:tc>
          <w:tcPr>
            <w:tcW w:w="598" w:type="pct"/>
            <w:tcBorders>
              <w:top w:val="nil"/>
              <w:left w:val="nil"/>
              <w:bottom w:val="single" w:sz="4" w:space="0" w:color="auto"/>
              <w:right w:val="single" w:sz="4" w:space="0" w:color="auto"/>
            </w:tcBorders>
            <w:shd w:val="clear" w:color="auto" w:fill="auto"/>
            <w:noWrap/>
            <w:vAlign w:val="bottom"/>
            <w:hideMark/>
          </w:tcPr>
          <w:p w14:paraId="5FC1A47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1991</w:t>
            </w:r>
          </w:p>
        </w:tc>
        <w:tc>
          <w:tcPr>
            <w:tcW w:w="548" w:type="pct"/>
            <w:tcBorders>
              <w:top w:val="nil"/>
              <w:left w:val="nil"/>
              <w:bottom w:val="single" w:sz="4" w:space="0" w:color="auto"/>
              <w:right w:val="single" w:sz="4" w:space="0" w:color="auto"/>
            </w:tcBorders>
            <w:shd w:val="clear" w:color="auto" w:fill="auto"/>
            <w:noWrap/>
            <w:vAlign w:val="bottom"/>
            <w:hideMark/>
          </w:tcPr>
          <w:p w14:paraId="22CEDAC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1878</w:t>
            </w:r>
          </w:p>
        </w:tc>
        <w:tc>
          <w:tcPr>
            <w:tcW w:w="399" w:type="pct"/>
            <w:tcBorders>
              <w:top w:val="nil"/>
              <w:left w:val="nil"/>
              <w:bottom w:val="single" w:sz="4" w:space="0" w:color="auto"/>
              <w:right w:val="single" w:sz="4" w:space="0" w:color="auto"/>
            </w:tcBorders>
            <w:shd w:val="clear" w:color="auto" w:fill="auto"/>
            <w:noWrap/>
            <w:vAlign w:val="bottom"/>
            <w:hideMark/>
          </w:tcPr>
          <w:p w14:paraId="74AB8F3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40.73</w:t>
            </w:r>
          </w:p>
        </w:tc>
        <w:tc>
          <w:tcPr>
            <w:tcW w:w="449" w:type="pct"/>
            <w:tcBorders>
              <w:top w:val="nil"/>
              <w:left w:val="nil"/>
              <w:bottom w:val="single" w:sz="4" w:space="0" w:color="auto"/>
              <w:right w:val="single" w:sz="4" w:space="0" w:color="auto"/>
            </w:tcBorders>
            <w:shd w:val="clear" w:color="auto" w:fill="auto"/>
            <w:noWrap/>
            <w:vAlign w:val="bottom"/>
            <w:hideMark/>
          </w:tcPr>
          <w:p w14:paraId="74A2B83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46.42</w:t>
            </w:r>
          </w:p>
        </w:tc>
        <w:tc>
          <w:tcPr>
            <w:tcW w:w="498" w:type="pct"/>
            <w:tcBorders>
              <w:top w:val="nil"/>
              <w:left w:val="nil"/>
              <w:bottom w:val="single" w:sz="4" w:space="0" w:color="auto"/>
              <w:right w:val="single" w:sz="4" w:space="0" w:color="auto"/>
            </w:tcBorders>
            <w:shd w:val="clear" w:color="auto" w:fill="auto"/>
            <w:noWrap/>
            <w:vAlign w:val="bottom"/>
            <w:hideMark/>
          </w:tcPr>
          <w:p w14:paraId="218180C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0361CB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BF0A430"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9A7181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7A542CE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Kumar</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{"citationItems":[{"id":"ITEM-1","itemData":{"ISSN":"1873-2585","abstract":"PURPOSE: The purpose of the study was to examine the prevalence and determinants of prediabetes, undiagnosed diabetes, and diabetes among Mexican adults from a subsample of the Mexican Health and Aging Study., METHODS: We examined 2012 participants from a subsample of the Mexican Health and Aging Study. Measures included sociodemographic characteristics, body mass index, central obesity, medical conditions, cholesterol, high-density lipoprotein cholesterol, hemoglobin A1c, and vitamin D. Logistic regression was performed to identify factors associated with prediabetes, undiagnosed diabetes, and self-reported diabetes., RESULTS: Prevalence of prediabetes, undiagnosed, and self-reported diabetes in this cohort was 44.2%, 18.0%, and 21.4%, respectively. Participants with high waist-hip ratio (1.61, 95% confidence interval [CI] = 1.05-2.45) and high cholesterol (1.85, 95% CI = 1.36-2.51) had higher odds of prediabetes. Overweight (1.68, 95% CI = 1.07-2.64), obesity (2.38, 95% CI = 1.41-4.02), and high waist circumference (1.60, 95% CI = 1.06-2.40) were significantly associated with higher odds of having undiagnosed diabetes. Those residing in a Mexican state with high U.S. migration had lower odds of prediabetes (0.61, 95% CI = 0.45-0.82) and undiagnosed diabetes (0.53, 95% CI = 0.41-0.70). Those engaged in regular physical activity had lower odds of undiagnosed diabetes (0.74, 95% CI = 0.57-0.97)., CONCLUSIONS: There is a high prevalence of prediabetes and undiagnosed diabetes among Mexican adults in this subsample. Findings suggest the need for resources to prevent, identify, and treat persons with prediabetes and undiagnosed diabetes.Copyright © 2016 Elsevier Inc. All rights reserved.","author":[{"dropping-particle":"","family":"Kumar","given":"Amit","non-dropping-particle":"","parse-names":false,"suffix":""},{"dropping-particle":"","family":"Wong","given":"Rebeca","non-dropping-particle":"","parse-names":false,"suffix":""},{"dropping-particle":"","family":"Ottenbacher","given":"Kenneth J","non-dropping-particle":"","parse-names":false,"suffix":""},{"dropping-particle":"","family":"Snih","given":"Soham","non-dropping-particle":"Al","parse-names":false,"suffix":""}],"container-title":"Annals of epidemiology","id":"ITEM-1","issue":"3","issued":{"date-parts":[["2016"]]},"page":"163-170","title":"Prediabetes, undiagnosed diabetes, and diabetes among Mexican adults: findings from the Mexican Health and Aging Study","type":"article-journal","volume":"26"},"uris":["http://www.mendeley.com/documents/?uuid=5a4ce104-2f4d-4817-9ac5-be261d81fe5c"]}],"mendeley":{"formattedCitation":"&lt;sup&gt;139&lt;/sup&gt;","plainTextFormattedCitation":"139","previouslyFormattedCitation":"&lt;sup&gt;139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139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A4A9D9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6B8D5CD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2001</w:t>
            </w:r>
          </w:p>
        </w:tc>
        <w:tc>
          <w:tcPr>
            <w:tcW w:w="548" w:type="pct"/>
            <w:tcBorders>
              <w:top w:val="nil"/>
              <w:left w:val="nil"/>
              <w:bottom w:val="single" w:sz="4" w:space="0" w:color="auto"/>
              <w:right w:val="single" w:sz="4" w:space="0" w:color="auto"/>
            </w:tcBorders>
            <w:shd w:val="clear" w:color="auto" w:fill="auto"/>
            <w:noWrap/>
            <w:vAlign w:val="bottom"/>
            <w:hideMark/>
          </w:tcPr>
          <w:p w14:paraId="292F5E8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2086</w:t>
            </w:r>
          </w:p>
        </w:tc>
        <w:tc>
          <w:tcPr>
            <w:tcW w:w="399" w:type="pct"/>
            <w:tcBorders>
              <w:top w:val="nil"/>
              <w:left w:val="nil"/>
              <w:bottom w:val="single" w:sz="4" w:space="0" w:color="auto"/>
              <w:right w:val="single" w:sz="4" w:space="0" w:color="auto"/>
            </w:tcBorders>
            <w:shd w:val="clear" w:color="auto" w:fill="auto"/>
            <w:noWrap/>
            <w:vAlign w:val="bottom"/>
            <w:hideMark/>
          </w:tcPr>
          <w:p w14:paraId="194B14C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40.03</w:t>
            </w:r>
          </w:p>
        </w:tc>
        <w:tc>
          <w:tcPr>
            <w:tcW w:w="449" w:type="pct"/>
            <w:tcBorders>
              <w:top w:val="nil"/>
              <w:left w:val="nil"/>
              <w:bottom w:val="single" w:sz="4" w:space="0" w:color="auto"/>
              <w:right w:val="single" w:sz="4" w:space="0" w:color="auto"/>
            </w:tcBorders>
            <w:shd w:val="clear" w:color="auto" w:fill="auto"/>
            <w:noWrap/>
            <w:vAlign w:val="bottom"/>
            <w:hideMark/>
          </w:tcPr>
          <w:p w14:paraId="7068C9B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62.06</w:t>
            </w:r>
          </w:p>
        </w:tc>
        <w:tc>
          <w:tcPr>
            <w:tcW w:w="498" w:type="pct"/>
            <w:tcBorders>
              <w:top w:val="nil"/>
              <w:left w:val="nil"/>
              <w:bottom w:val="single" w:sz="4" w:space="0" w:color="auto"/>
              <w:right w:val="single" w:sz="4" w:space="0" w:color="auto"/>
            </w:tcBorders>
            <w:shd w:val="clear" w:color="auto" w:fill="auto"/>
            <w:noWrap/>
            <w:vAlign w:val="bottom"/>
            <w:hideMark/>
          </w:tcPr>
          <w:p w14:paraId="7F0E7C5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69C5FFB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96FF0C9"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9D7BDE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349DE39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Hernandez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{"citationItems":[{"id":"ITEM-1","itemData":{"ISSN":"1557-8682","abstract":"Hernandez-Hernandez, Magda Elena, Jaime Morales-Romero, Clara Luz Sampieri, Diego Jesus Luna Lozano, Isidra del Carmen Valencia Lezama, Monica Janett Munoz Contreras, and Arturo Rodriguez Hernandez. Association of urinary activity of MMP-2 with microalbuminuria in an isolated sample of subjects living in high altitude rural locations in Mexico. High Alt Med Biol. 18:209-218, 2017.-Matrix metalloproteinases (MMP) are implicated in remodeling of the renal extracellular matrix. In a cross-sectional study we evaluated renal impairment in general population of high-altitude rural locations in Mexico. Multivariable analysis was performed to identify the association between MMP-2 and MMP-9 and microalbuminuria. Twenty-eight (20.9%) subjects with renal impairment (WRI) and 106 (79.1%) without renal impairment were included. No differences were found relating to sex, location, marital status, current habits, weight, height, body mass index, waist size in males, creatinine in males, and uric acid. In contrast, differences were found among age, level of education, waist size in general and in females, creatinine in general and in females, urinary albumin, urea, glucose, total cholesterol, and triglycerides. Proportions of hypertension, type 2 diabetes mellitus, central abdominal obesity, hypertriglyceridemia, and hypercholesterolemia were greater in the group WRI. Presence of urinary MMP-2 or of both urinary gelatinases and arbitrary unit (AU) values &gt;=P90 were associated with microalbuminuria. We conclude that AU values &gt;=P90 of urinary MMP-2 (OR=20.1, p=0.002) is associated with microalbuminuria.","author":[{"dropping-particle":"","family":"Hern","given":"","non-dropping-particle":"","parse-names":false,"suffix":""},{"dropping-particle":"","family":"ez","given":"Magda Elena","non-dropping-particle":"","parse-names":false,"suffix":""},{"dropping-particle":"","family":"Morales-Romero","given":"Jaime","non-dropping-particle":"","parse-names":false,"suffix":""},{"dropping-particle":"","family":"Sampieri","given":"Clara Luz","non-dropping-particle":"","parse-names":false,"suffix":""},{"dropping-particle":"","family":"Luna Lozano","given":"Diego Jesus","non-dropping-particle":"","parse-names":false,"suffix":""},{"dropping-particle":"","family":"Valencia Lezama","given":"Isidra Del Carmen","non-dropping-particle":"","parse-names":false,"suffix":""},{"dropping-particle":"","family":"Munoz Contreras","given":"Monica Janett","non-dropping-particle":"","parse-names":false,"suffix":""},{"dropping-particle":"","family":"Hern","given":"Rodriguez","non-dropping-particle":"","parse-names":false,"suffix":""},{"dropping-particle":"","family":"ez","given":"Arturo","non-dropping-particle":"","parse-names":false,"suffix":""}],"container-title":"High altitude medicine &amp; biology","id":"ITEM-1","issue":"3","issued":{"date-parts":[["2017"]]},"page":"209-218","title":"Association of Urinary Activity of MMP-2 with Microalbuminuria in an Isolated Sample of Subjects Living in High Altitude Rural Locations in Mexico","type":"article-journal","volume":"18"},"uris":["http://www.mendeley.com/documents/?uuid=5e776b5b-88e1-4303-af14-efa554debdb9"]}],"mendeley":{"formattedCitation":"&lt;sup&gt;140&lt;/sup&gt;","plainTextFormattedCitation":"140","previouslyFormattedCitation":"&lt;sup&gt;140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140</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 xml:space="preserve"> </w:t>
            </w:r>
          </w:p>
        </w:tc>
        <w:tc>
          <w:tcPr>
            <w:tcW w:w="648" w:type="pct"/>
            <w:tcBorders>
              <w:top w:val="nil"/>
              <w:left w:val="nil"/>
              <w:bottom w:val="single" w:sz="4" w:space="0" w:color="auto"/>
              <w:right w:val="single" w:sz="4" w:space="0" w:color="auto"/>
            </w:tcBorders>
            <w:shd w:val="clear" w:color="auto" w:fill="auto"/>
            <w:noWrap/>
            <w:vAlign w:val="bottom"/>
            <w:hideMark/>
          </w:tcPr>
          <w:p w14:paraId="283033E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5C43F2E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2012</w:t>
            </w:r>
          </w:p>
        </w:tc>
        <w:tc>
          <w:tcPr>
            <w:tcW w:w="548" w:type="pct"/>
            <w:tcBorders>
              <w:top w:val="nil"/>
              <w:left w:val="nil"/>
              <w:bottom w:val="single" w:sz="4" w:space="0" w:color="auto"/>
              <w:right w:val="single" w:sz="4" w:space="0" w:color="auto"/>
            </w:tcBorders>
            <w:shd w:val="clear" w:color="auto" w:fill="auto"/>
            <w:noWrap/>
            <w:vAlign w:val="bottom"/>
            <w:hideMark/>
          </w:tcPr>
          <w:p w14:paraId="35CAFE9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194</w:t>
            </w:r>
          </w:p>
        </w:tc>
        <w:tc>
          <w:tcPr>
            <w:tcW w:w="399" w:type="pct"/>
            <w:tcBorders>
              <w:top w:val="nil"/>
              <w:left w:val="nil"/>
              <w:bottom w:val="single" w:sz="4" w:space="0" w:color="auto"/>
              <w:right w:val="single" w:sz="4" w:space="0" w:color="auto"/>
            </w:tcBorders>
            <w:shd w:val="clear" w:color="auto" w:fill="auto"/>
            <w:noWrap/>
            <w:vAlign w:val="bottom"/>
            <w:hideMark/>
          </w:tcPr>
          <w:p w14:paraId="4795727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22.4</w:t>
            </w:r>
          </w:p>
        </w:tc>
        <w:tc>
          <w:tcPr>
            <w:tcW w:w="449" w:type="pct"/>
            <w:tcBorders>
              <w:top w:val="nil"/>
              <w:left w:val="nil"/>
              <w:bottom w:val="single" w:sz="4" w:space="0" w:color="auto"/>
              <w:right w:val="single" w:sz="4" w:space="0" w:color="auto"/>
            </w:tcBorders>
            <w:shd w:val="clear" w:color="auto" w:fill="auto"/>
            <w:noWrap/>
            <w:vAlign w:val="bottom"/>
            <w:hideMark/>
          </w:tcPr>
          <w:p w14:paraId="4B55455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44.2</w:t>
            </w:r>
          </w:p>
        </w:tc>
        <w:tc>
          <w:tcPr>
            <w:tcW w:w="498" w:type="pct"/>
            <w:tcBorders>
              <w:top w:val="nil"/>
              <w:left w:val="nil"/>
              <w:bottom w:val="single" w:sz="4" w:space="0" w:color="auto"/>
              <w:right w:val="single" w:sz="4" w:space="0" w:color="auto"/>
            </w:tcBorders>
            <w:shd w:val="clear" w:color="auto" w:fill="auto"/>
            <w:noWrap/>
            <w:vAlign w:val="bottom"/>
            <w:hideMark/>
          </w:tcPr>
          <w:p w14:paraId="21526CC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223FB6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0D6A38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675378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59E0B83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Posadas-Romero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{"citationItems":[{"id":"ITEM-1","itemData":{"ISSN":"0149-5992","abstract":"OBJECTIVE: To determine the prevalence of diabetes and associated coronary risk factors in the Mexico City population., RESEARCH DESIGN AND METHODS: A sample of 805 adults was selected from Mexico City. The participants, 20-90 years of age and living in the city, were selected by the method of multistage cluster sampling with proportional allocation. Diabetes was diagnosed by previous history or if fasting blood glucose was &gt; or = 7.8 mmol/l ( &gt; or = 7.8 mmol/l ( &gt; or = 140 mg/dl)., RESULTS: The crude rate prevalence of NIDDM was 8.7%, with an age-adjusted rate of 10.6% for women and 6.0% for men. Age strongly influenced diabetes prevalence, with a chi 2 of risk tendency of 39.1 (P &lt; 0.00005). A significant proportion (5.9%) of younger individuals (35-44 years of age) was affected by the disease. Diabetes was associated with advanced age, had a greater impact in the low-income group, and showed increased odds ratio for hypertension, dyslipidemias, and myocardial infarction in men and women and for obesity only in women., CONCLUSION: There is a high prevalence of NIDDM in Mexico City that also strikes a significant group of younger individuals. Associated coronary risk factors are also common and more prevalent in diabetic individuals. Current epidemiological data in Mexico and Mexican-Americans in the U.S. suggest that we may be on the ascending limb for diabetes and cardiovascular disease. There is a critical need for resources to be allocated to programs for primary and secondary prevention, which must be well structured and organized so that proper standards of care are followed to prevent progression of the disease.","author":[{"dropping-particle":"","family":"Posadas-Romero","given":"C","non-dropping-particle":"","parse-names":false,"suffix":""},{"dropping-particle":"","family":"Yamamoto-Kimura","given":"L","non-dropping-particle":"","parse-names":false,"suffix":""},{"dropping-particle":"","family":"Lerman-Garber","given":"I","non-dropping-particle":"","parse-names":false,"suffix":""},{"dropping-particle":"","family":"Zamora-Gonzalez","given":"J","non-dropping-particle":"","parse-names":false,"suffix":""},{"dropping-particle":"","family":"Fajardo-Gutierrez","given":"A","non-dropping-particle":"","parse-names":false,"suffix":""},{"dropping-particle":"","family":"Velazquez","given":"L","non-dropping-particle":"","parse-names":false,"suffix":""},{"dropping-particle":"","family":"Cardoso-Saldaana","given":"G","non-dropping-particle":"","parse-names":false,"suffix":""}],"container-title":"Diabetes care","id":"ITEM-1","issue":"12","issued":{"date-parts":[["1994"]]},"page":"1441-1448","title":"The prevalence of NIDDM and associated coronary risk factors in Mexico City","type":"article-journal","volume":"17"},"uris":["http://www.mendeley.com/documents/?uuid=2c15e282-c3a3-4586-8bda-00b945668657"]}],"mendeley":{"formattedCitation":"&lt;sup&gt;141&lt;/sup&gt;","plainTextFormattedCitation":"141","previouslyFormattedCitation":"&lt;sup&gt;141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141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D09202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1994</w:t>
            </w:r>
          </w:p>
        </w:tc>
        <w:tc>
          <w:tcPr>
            <w:tcW w:w="598" w:type="pct"/>
            <w:tcBorders>
              <w:top w:val="nil"/>
              <w:left w:val="nil"/>
              <w:bottom w:val="single" w:sz="4" w:space="0" w:color="auto"/>
              <w:right w:val="single" w:sz="4" w:space="0" w:color="auto"/>
            </w:tcBorders>
            <w:shd w:val="clear" w:color="auto" w:fill="auto"/>
            <w:noWrap/>
            <w:vAlign w:val="bottom"/>
            <w:hideMark/>
          </w:tcPr>
          <w:p w14:paraId="02244FA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1991</w:t>
            </w:r>
          </w:p>
        </w:tc>
        <w:tc>
          <w:tcPr>
            <w:tcW w:w="548" w:type="pct"/>
            <w:tcBorders>
              <w:top w:val="nil"/>
              <w:left w:val="nil"/>
              <w:bottom w:val="single" w:sz="4" w:space="0" w:color="auto"/>
              <w:right w:val="single" w:sz="4" w:space="0" w:color="auto"/>
            </w:tcBorders>
            <w:shd w:val="clear" w:color="auto" w:fill="auto"/>
            <w:noWrap/>
            <w:vAlign w:val="bottom"/>
            <w:hideMark/>
          </w:tcPr>
          <w:p w14:paraId="461012A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805</w:t>
            </w:r>
          </w:p>
        </w:tc>
        <w:tc>
          <w:tcPr>
            <w:tcW w:w="399" w:type="pct"/>
            <w:tcBorders>
              <w:top w:val="nil"/>
              <w:left w:val="nil"/>
              <w:bottom w:val="single" w:sz="4" w:space="0" w:color="auto"/>
              <w:right w:val="single" w:sz="4" w:space="0" w:color="auto"/>
            </w:tcBorders>
            <w:shd w:val="clear" w:color="auto" w:fill="auto"/>
            <w:noWrap/>
            <w:vAlign w:val="bottom"/>
            <w:hideMark/>
          </w:tcPr>
          <w:p w14:paraId="71A7925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53.42</w:t>
            </w:r>
          </w:p>
        </w:tc>
        <w:tc>
          <w:tcPr>
            <w:tcW w:w="449" w:type="pct"/>
            <w:tcBorders>
              <w:top w:val="nil"/>
              <w:left w:val="nil"/>
              <w:bottom w:val="single" w:sz="4" w:space="0" w:color="auto"/>
              <w:right w:val="single" w:sz="4" w:space="0" w:color="auto"/>
            </w:tcBorders>
            <w:shd w:val="clear" w:color="auto" w:fill="auto"/>
            <w:noWrap/>
            <w:vAlign w:val="bottom"/>
            <w:hideMark/>
          </w:tcPr>
          <w:p w14:paraId="44A5FB0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40.9</w:t>
            </w:r>
          </w:p>
        </w:tc>
        <w:tc>
          <w:tcPr>
            <w:tcW w:w="498" w:type="pct"/>
            <w:tcBorders>
              <w:top w:val="nil"/>
              <w:left w:val="nil"/>
              <w:bottom w:val="single" w:sz="4" w:space="0" w:color="auto"/>
              <w:right w:val="single" w:sz="4" w:space="0" w:color="auto"/>
            </w:tcBorders>
            <w:shd w:val="clear" w:color="auto" w:fill="auto"/>
            <w:noWrap/>
            <w:vAlign w:val="bottom"/>
            <w:hideMark/>
          </w:tcPr>
          <w:p w14:paraId="2E9B48A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1640039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AC4053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54C4C8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4B21CD9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Aguilar</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{"citationItems":[{"id":"ITEM-1","itemData":{"DOI":"10.1016/S0021-9150(98)00251-2","abstract":"The apolipoprotein E4 allele is associated in industrialized countries with an elevated LDL cholesterol concentration and an increased cardiovascular risk. Our purpose in this study was to assess the influence of the genetic variation at the APOE gene locus on the lipid profile of a Native American rural population. We examined plasma lipid levels and the common apo E alleles in 142 healthy randomly selected adults living in their native communities in western Mexico. Their age was 38 ± 17 years and the BMI 25.7 ± 4.5 kg/m2. Plasma cholesterol, triglycerides, LDL C and HDL C were 165 ± 29.6, 126 ± 83, 98 ± 26 and 42 ± 12.7 mg/dl respectively. Ninety-one per cent of the subjects had Lp(a) concentrations below 20 mg/dl and 30% had levels lower than 2 mg/dl. The most common APOE genotype was E3/3 (63%), followed by E3/4 (30.1%). The prevalence of the E2 allele was very low (2.3%). No difference was observed in LDL C concentrations between the E3/E3 and E3/E4 subjects; however carriers of the E2/3 genotype had lower LDL C levels. Similar results were obtained for cholesterol and apo B levels. In summary, the increased LDL C levels associated with the E4 allele in previous studies were not observed in a population with non-westernized habits. Environmental factors, such as diet and lifestyle, could outweigh the hypercholesterolemic predisposition resulting from the presence of the apo E4 allele.","author":[{"dropping-particle":"","family":"Aguilar","given":"Carlos A","non-dropping-particle":"","parse-names":false,"suffix":""},{"dropping-particle":"","family":"Talavera","given":"Guadalupe","non-dropping-particle":"","parse-names":false,"suffix":""},{"dropping-particle":"","family":"Ordovas","given":"Jose M","non-dropping-particle":"","parse-names":false,"suffix":""},{"dropping-particle":"","family":"Barriguete","given":"Jorge A","non-dropping-particle":"","parse-names":false,"suffix":""},{"dropping-particle":"","family":"Guillén","given":"Luz E","non-dropping-particle":"","parse-names":false,"suffix":""},{"dropping-particle":"","family":"Leco","given":"Marta E","non-dropping-particle":"","parse-names":false,"suffix":""},{"dropping-particle":"","family":"Pedro-Botet","given":"Juan","non-dropping-particle":"","parse-names":false,"suffix":""},{"dropping-particle":"","family":"Gonzalez-Barranco","given":"Jorge","non-dropping-particle":"","parse-names":false,"suffix":""},{"dropping-particle":"","family":"Gómez-Pérez","given":"Francisco J","non-dropping-particle":"","parse-names":false,"suffix":""},{"dropping-particle":"","family":"Rull","given":"Juan A","non-dropping-particle":"","parse-names":false,"suffix":""}],"container-title":"Atherosclerosis","id":"ITEM-1","issue":"2","issued":{"date-parts":[["1999"]]},"page":"409-414","title":"The apolipoprotein E4 allele is not associated with an abnormal lipid profile in a Native American population following its traditional lifestyle","type":"article-journal","volume":"142"},"uris":["http://www.mendeley.com/documents/?uuid=aab4936d-4c60-46a5-b0fc-ecef4ac57893"]}],"mendeley":{"formattedCitation":"&lt;sup&gt;142&lt;/sup&gt;","plainTextFormattedCitation":"142","previouslyFormattedCitation":"&lt;sup&gt;142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142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AD9B45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1999</w:t>
            </w:r>
          </w:p>
        </w:tc>
        <w:tc>
          <w:tcPr>
            <w:tcW w:w="598" w:type="pct"/>
            <w:tcBorders>
              <w:top w:val="nil"/>
              <w:left w:val="nil"/>
              <w:bottom w:val="single" w:sz="4" w:space="0" w:color="auto"/>
              <w:right w:val="single" w:sz="4" w:space="0" w:color="auto"/>
            </w:tcBorders>
            <w:shd w:val="clear" w:color="auto" w:fill="auto"/>
            <w:noWrap/>
            <w:vAlign w:val="bottom"/>
            <w:hideMark/>
          </w:tcPr>
          <w:p w14:paraId="3CE818D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2F0DC29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142</w:t>
            </w:r>
          </w:p>
        </w:tc>
        <w:tc>
          <w:tcPr>
            <w:tcW w:w="399" w:type="pct"/>
            <w:tcBorders>
              <w:top w:val="nil"/>
              <w:left w:val="nil"/>
              <w:bottom w:val="single" w:sz="4" w:space="0" w:color="auto"/>
              <w:right w:val="single" w:sz="4" w:space="0" w:color="auto"/>
            </w:tcBorders>
            <w:shd w:val="clear" w:color="auto" w:fill="auto"/>
            <w:noWrap/>
            <w:vAlign w:val="bottom"/>
            <w:hideMark/>
          </w:tcPr>
          <w:p w14:paraId="3DEF674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30.28</w:t>
            </w:r>
          </w:p>
        </w:tc>
        <w:tc>
          <w:tcPr>
            <w:tcW w:w="449" w:type="pct"/>
            <w:tcBorders>
              <w:top w:val="nil"/>
              <w:left w:val="nil"/>
              <w:bottom w:val="single" w:sz="4" w:space="0" w:color="auto"/>
              <w:right w:val="single" w:sz="4" w:space="0" w:color="auto"/>
            </w:tcBorders>
            <w:shd w:val="clear" w:color="auto" w:fill="auto"/>
            <w:noWrap/>
            <w:vAlign w:val="bottom"/>
            <w:hideMark/>
          </w:tcPr>
          <w:p w14:paraId="24593C9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w:t>
            </w:r>
          </w:p>
        </w:tc>
        <w:tc>
          <w:tcPr>
            <w:tcW w:w="498" w:type="pct"/>
            <w:tcBorders>
              <w:top w:val="nil"/>
              <w:left w:val="nil"/>
              <w:bottom w:val="single" w:sz="4" w:space="0" w:color="auto"/>
              <w:right w:val="single" w:sz="4" w:space="0" w:color="auto"/>
            </w:tcBorders>
            <w:shd w:val="clear" w:color="auto" w:fill="auto"/>
            <w:noWrap/>
            <w:vAlign w:val="bottom"/>
            <w:hideMark/>
          </w:tcPr>
          <w:p w14:paraId="0E76897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484191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CE050D0"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D08D1B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766339C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Ferrannini</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{"citationItems":[{"id":"ITEM-1","itemData":{"DOI":"10.1007/s00125-009-1289-8","abstract":"Aims/hypothesis: The value of diagnostic categories of glucose intolerance for predicting type 2 diabetes is much debated. We therefore sought to estimate relative and population-attributable risk of different definitions based on fasting (impaired fasting glucose [IFG]) or 2 h plasma glucose concentrations (impaired glucose tolerance [IGT]) and to describe the associated clinical phenotypes. Methods: We prospectively observed a population-based cohort of 1,963 non-diabetic participants (mean age 47 years), in whom an OGTT was performed at baseline and 7 years later. Results: IGT was fivefold more prevalent (13.5%) than IFG. In both categories, participants were older, heavier, hyperinsulinaemic, hyperproinsulinaemic and dyslipidaemic compared with participants with normal glucose tolerance. Relative risk of incident diabetes was similar for IFG and IGT categories (3.73 [95% CI: 2.18-6.39] and 4.01 [95% CI: 3.12-5.14], respectively), but the population-attributable risk was fivefold higher for IGT (29% [95% CI: 26-32]) than for IFG (6% [95% CI: 5-7]). Isolated IFG carried no increase in risk. Lowering the threshold to 5.6 mmol/l raised the population-attributable risk of IFG to 23% (95% CI: 20-25); its contribution to diabetes progression, however, was largely due to co-existent IGT. In multivariate analysis adjusting for sex, age, familial diabetes and BMI, fasting and 2 h glucose were independent predictors. Conclusions/interpretation: Fasting and 2 h glucose values are independent predictors of incident diabetes. Isolated IFG is not a high-risk condition; lowering the diagnostic threshold increases the population-attributable risk of IFG fourfold, but performing an OGTT captures additional diabetes progressors compared with the number identified by IFG. © 2009 Springer-Verlag.","author":[{"dropping-particle":"","family":"Ferrannini","given":"E","non-dropping-particle":"","parse-names":false,"suffix":""},{"dropping-particle":"","family":"Massari","given":"M","non-dropping-particle":"","parse-names":false,"suffix":""},{"dropping-particle":"","family":"Nannipieri","given":"M","non-dropping-particle":"","parse-names":false,"suffix":""},{"dropping-particle":"","family":"Natali","given":"A","non-dropping-particle":"","parse-names":false,"suffix":""},{"dropping-particle":"","family":"Lopez Ridaura","given":"R","non-dropping-particle":"","parse-names":false,"suffix":""},{"dropping-particle":"","family":"Gonzales-Villalpando","given":"C","non-dropping-particle":"","parse-names":false,"suffix":""}],"container-title":"Diabetologia","id":"ITEM-1","issue":"5","issued":{"date-parts":[["2009"]]},"page":"818-824","title":"Plasma glucose levels as predictors of diabetes: The Mexico City diabetes study","type":"article-journal","volume":"52"},"uris":["http://www.mendeley.com/documents/?uuid=b5e9a87e-7626-4a9d-be56-7000bc33d188"]}],"mendeley":{"formattedCitation":"&lt;sup&gt;143&lt;/sup&gt;","plainTextFormattedCitation":"143","previouslyFormattedCitation":"&lt;sup&gt;143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143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7ACFD6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98" w:type="pct"/>
            <w:tcBorders>
              <w:top w:val="nil"/>
              <w:left w:val="nil"/>
              <w:bottom w:val="single" w:sz="4" w:space="0" w:color="auto"/>
              <w:right w:val="single" w:sz="4" w:space="0" w:color="auto"/>
            </w:tcBorders>
            <w:shd w:val="clear" w:color="auto" w:fill="auto"/>
            <w:noWrap/>
            <w:vAlign w:val="bottom"/>
            <w:hideMark/>
          </w:tcPr>
          <w:p w14:paraId="2283595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2406A25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1941</w:t>
            </w:r>
          </w:p>
        </w:tc>
        <w:tc>
          <w:tcPr>
            <w:tcW w:w="399" w:type="pct"/>
            <w:tcBorders>
              <w:top w:val="nil"/>
              <w:left w:val="nil"/>
              <w:bottom w:val="single" w:sz="4" w:space="0" w:color="auto"/>
              <w:right w:val="single" w:sz="4" w:space="0" w:color="auto"/>
            </w:tcBorders>
            <w:shd w:val="clear" w:color="auto" w:fill="auto"/>
            <w:noWrap/>
            <w:vAlign w:val="bottom"/>
            <w:hideMark/>
          </w:tcPr>
          <w:p w14:paraId="2D8FA22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41.58</w:t>
            </w:r>
          </w:p>
        </w:tc>
        <w:tc>
          <w:tcPr>
            <w:tcW w:w="449" w:type="pct"/>
            <w:tcBorders>
              <w:top w:val="nil"/>
              <w:left w:val="nil"/>
              <w:bottom w:val="single" w:sz="4" w:space="0" w:color="auto"/>
              <w:right w:val="single" w:sz="4" w:space="0" w:color="auto"/>
            </w:tcBorders>
            <w:shd w:val="clear" w:color="auto" w:fill="auto"/>
            <w:noWrap/>
            <w:vAlign w:val="bottom"/>
            <w:hideMark/>
          </w:tcPr>
          <w:p w14:paraId="7A4B856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w:t>
            </w:r>
          </w:p>
        </w:tc>
        <w:tc>
          <w:tcPr>
            <w:tcW w:w="498" w:type="pct"/>
            <w:tcBorders>
              <w:top w:val="nil"/>
              <w:left w:val="nil"/>
              <w:bottom w:val="single" w:sz="4" w:space="0" w:color="auto"/>
              <w:right w:val="single" w:sz="4" w:space="0" w:color="auto"/>
            </w:tcBorders>
            <w:shd w:val="clear" w:color="auto" w:fill="auto"/>
            <w:noWrap/>
            <w:vAlign w:val="bottom"/>
            <w:hideMark/>
          </w:tcPr>
          <w:p w14:paraId="3E48DFB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CBA29C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44499E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4891FE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3B994FFC"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Aguilar-Salinas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{"citationItems":[{"id":"ITEM-1","itemData":{"DOI":"10.1590/s0036-36342010000700008","abstract":"OBJECTIVE To describe the prevalence of lipid abnormalities found in the Mexican National Health and Nutrition Survey 2006 (ENSANut 2006). MATERIAL AND METHODS Information was obtained from 4 040 subjects aged 20 to 69 years, studied after a 9- to 12-hour fast. RESULTS Median lipid concentrations were: cholesterol 198.5 mg/dl, triglycerides 139.6 mg/dl, HDL-cholesterol 39.0 mg/dl, non-HDL-cholesterol 159.5 mg/dl and LDL-cholesterol 131.5 mg/dl. The most frequent abnormality was HDL-cholesterol below 40 mg/dl with a prevalence of 60.5% (95%CI 58.2-62.8%). Hypercholesterolemia (&gt; 200 mg/dl) had a frequency of abnormality of 43.6% (95%CI 41.4-46.0%). Only 8.6% of the hypercholesterolemic subjects knew their diagnosis. Hypertriglyceridemia (&gt;or= 150 mg/dl) was observed in 31.5% (IC 95% 29.3-33.9%) of the population. CONCLUSIONS The ENSANUT 2006 data confirm that the prevalence of hypoalphalipoproteinemia and other forms of dyslipidemia in Mexican adults is very high.","author":[{"dropping-particle":"","family":"Aguilar-Salinas","given":"Carlos A","non-dropping-particle":"","parse-names":false,"suffix":""},{"dropping-particle":"","family":"Gómez-Pérez","given":"Francisco J","non-dropping-particle":"","parse-names":false,"suffix":""},{"dropping-particle":"","family":"Rull","given":"Juan","non-dropping-particle":"","parse-names":false,"suffix":""},{"dropping-particle":"","family":"Villalpando","given":"Salvador","non-dropping-particle":"","parse-names":false,"suffix":""},{"dropping-particle":"","family":"Barquera","given":"Simón","non-dropping-particle":"","parse-names":false,"suffix":""},{"dropping-particle":"","family":"Rojas","given":"Rosalba","non-dropping-particle":"","parse-names":false,"suffix":""}],"container-title":"Salud Pública de México","id":"ITEM-1","issue":"2","issued":{"date-parts":[["2010"]]},"page":"S44-S53","title":"Prevalence of dyslipidemias in the Mexican National Health and Nutrition Survey 2006","type":"article-journal","volume":"52"},"uris":["http://www.mendeley.com/documents/?uuid=579aa19c-1bc0-4663-b477-9878df4ae776"]}],"mendeley":{"formattedCitation":"&lt;sup&gt;144&lt;/sup&gt;","plainTextFormattedCitation":"144","previouslyFormattedCitation":"&lt;sup&gt;144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144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39E4E7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6B33FAF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48" w:type="pct"/>
            <w:tcBorders>
              <w:top w:val="nil"/>
              <w:left w:val="nil"/>
              <w:bottom w:val="single" w:sz="4" w:space="0" w:color="auto"/>
              <w:right w:val="single" w:sz="4" w:space="0" w:color="auto"/>
            </w:tcBorders>
            <w:shd w:val="clear" w:color="auto" w:fill="auto"/>
            <w:noWrap/>
            <w:vAlign w:val="bottom"/>
            <w:hideMark/>
          </w:tcPr>
          <w:p w14:paraId="4431007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4040</w:t>
            </w:r>
          </w:p>
        </w:tc>
        <w:tc>
          <w:tcPr>
            <w:tcW w:w="399" w:type="pct"/>
            <w:tcBorders>
              <w:top w:val="nil"/>
              <w:left w:val="nil"/>
              <w:bottom w:val="single" w:sz="4" w:space="0" w:color="auto"/>
              <w:right w:val="single" w:sz="4" w:space="0" w:color="auto"/>
            </w:tcBorders>
            <w:shd w:val="clear" w:color="auto" w:fill="auto"/>
            <w:noWrap/>
            <w:vAlign w:val="bottom"/>
            <w:hideMark/>
          </w:tcPr>
          <w:p w14:paraId="26EB005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46.31</w:t>
            </w:r>
          </w:p>
        </w:tc>
        <w:tc>
          <w:tcPr>
            <w:tcW w:w="449" w:type="pct"/>
            <w:tcBorders>
              <w:top w:val="nil"/>
              <w:left w:val="nil"/>
              <w:bottom w:val="single" w:sz="4" w:space="0" w:color="auto"/>
              <w:right w:val="single" w:sz="4" w:space="0" w:color="auto"/>
            </w:tcBorders>
            <w:shd w:val="clear" w:color="auto" w:fill="auto"/>
            <w:noWrap/>
            <w:vAlign w:val="bottom"/>
            <w:hideMark/>
          </w:tcPr>
          <w:p w14:paraId="2078C4C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40.3</w:t>
            </w:r>
          </w:p>
        </w:tc>
        <w:tc>
          <w:tcPr>
            <w:tcW w:w="498" w:type="pct"/>
            <w:tcBorders>
              <w:top w:val="nil"/>
              <w:left w:val="nil"/>
              <w:bottom w:val="single" w:sz="4" w:space="0" w:color="auto"/>
              <w:right w:val="single" w:sz="4" w:space="0" w:color="auto"/>
            </w:tcBorders>
            <w:shd w:val="clear" w:color="auto" w:fill="auto"/>
            <w:noWrap/>
            <w:vAlign w:val="bottom"/>
            <w:hideMark/>
          </w:tcPr>
          <w:p w14:paraId="5422B2F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52391E1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AAA9659"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6D0C6D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Mexico</w:t>
            </w:r>
          </w:p>
        </w:tc>
        <w:tc>
          <w:tcPr>
            <w:tcW w:w="1053" w:type="pct"/>
            <w:tcBorders>
              <w:top w:val="nil"/>
              <w:left w:val="nil"/>
              <w:bottom w:val="single" w:sz="4" w:space="0" w:color="auto"/>
              <w:right w:val="single" w:sz="4" w:space="0" w:color="auto"/>
            </w:tcBorders>
            <w:shd w:val="clear" w:color="auto" w:fill="auto"/>
            <w:noWrap/>
            <w:vAlign w:val="bottom"/>
            <w:hideMark/>
          </w:tcPr>
          <w:p w14:paraId="126958F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Gonzales-Villalpando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Hypertension in Mexico represents a challenging public health problem. The National Survey on Chronic Diseases published in 1993 reported that hypertension affects more than 10 million Mexicans. No information has been published regarding the prevalence of hypertension in Mexico using the new diagnostic criteria established by the Sixth Report of the Joint National Committee on Prevention. Detection, Evaluation and Treatment of High Blood Pressure (JNC VI). Methods: The Mexico City Diabetes Study is a prospective study designed to estimate the prevalence and incidence of cardiovascular risk factors in a low-income area. The survey included 941 men and 1341 non-pregnant women aged 35-64 years, Blood pressure measurements were performed using a random zero sphygmomanometer. The diagnostic criteria for hypertension were those recommended by the JNC VI. Results: The crude prevalence of hypertension was 17.2% and 18.1% in men and women, respectively. We found significant associations between hypertension and obesity, body fat distribution, very-low-density lipoprotein cholesterol, fasting and 2-h post-glucose in both sexes, and between hypertension and total cholesterol, low-density lipoprotein cholesterol and triglycerides levels in women, n 40% of hypertensive men and 23% of women, hypertension was undiagnosed and untreated. Of the previously diagnosed hypertensive individuals 38% of men and 30% of women reported not taking antihypertensive medicine. The prevalence of associated risk factors in this population is 12.3% for tobacco consumption, 22.4% for diabetes, 49.8% for hypertriglyceridemia and 40.9% for hypercholesterolemia. Conclusions: Hypertension occurs in 18% of this population. There is a high prevalence of undiagnosed and untreated cases. Associated cardiovascular risk factors are highly prevalent.","author":[{"dropping-particle":"","family":"González-Villalp","given":"","non-dropping-particle":"","parse-names":false,"suffix":""},{"dropping-particle":"","family":"o","given":"C","non-dropping-particle":"","parse-names":false,"suffix":""},{"dropping-particle":"","family":"Stern","given":"M P","non-dropping-particle":"","parse-names":false,"suffix":""},{"dropping-particle":"","family":"Haffner","given":"S M","non-dropping-particle":"","parse-names":false,"suffix":""},{"dropping-particle":"","family":"Villap","given":"González","non-dropping-particle":"","parse-names":false,"suffix":""},{"dropping-particle":"","family":"o","given":"M E","non-dropping-particle":"","parse-names":false,"suffix":""},{"dropping-particle":"","family":"Gaskill","given":"S","non-dropping-particle":"","parse-names":false,"suffix":""},{"dropping-particle":"","family":"Martínez","given":"D R","non-dropping-particle":"","parse-names":false,"suffix":""}],"container-title":"Journal of Cardiovascular Risk","id":"ITEM-1","issue":"3","issued":{"date-parts":[["1999"]]},"page":"177-181","title":"Prevalence of hypertension in a Mexican population according to the Sixth Report of the Joint National Committee on Prevention, Detection, Evaluation and Treatment of High Blood Pressure","type":"article-journal","volume":"6"},"uris":["http://www.mendeley.com/documents/?uuid=175ab930-bea3-41a1-b28d-5f04cb8c9e81"]}],"mendeley":{"formattedCitation":"&lt;sup&gt;145&lt;/sup&gt;","plainTextFormattedCitation":"145","previouslyFormattedCitation":"&lt;sup&gt;145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145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E869EF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1999</w:t>
            </w:r>
          </w:p>
        </w:tc>
        <w:tc>
          <w:tcPr>
            <w:tcW w:w="598" w:type="pct"/>
            <w:tcBorders>
              <w:top w:val="nil"/>
              <w:left w:val="nil"/>
              <w:bottom w:val="single" w:sz="4" w:space="0" w:color="auto"/>
              <w:right w:val="single" w:sz="4" w:space="0" w:color="auto"/>
            </w:tcBorders>
            <w:shd w:val="clear" w:color="auto" w:fill="auto"/>
            <w:noWrap/>
            <w:vAlign w:val="bottom"/>
            <w:hideMark/>
          </w:tcPr>
          <w:p w14:paraId="3D8C91F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54C97C4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2279</w:t>
            </w:r>
          </w:p>
        </w:tc>
        <w:tc>
          <w:tcPr>
            <w:tcW w:w="399" w:type="pct"/>
            <w:tcBorders>
              <w:top w:val="nil"/>
              <w:left w:val="nil"/>
              <w:bottom w:val="single" w:sz="4" w:space="0" w:color="auto"/>
              <w:right w:val="single" w:sz="4" w:space="0" w:color="auto"/>
            </w:tcBorders>
            <w:shd w:val="clear" w:color="auto" w:fill="auto"/>
            <w:noWrap/>
            <w:vAlign w:val="bottom"/>
            <w:hideMark/>
          </w:tcPr>
          <w:p w14:paraId="50B1F38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41.2</w:t>
            </w:r>
          </w:p>
        </w:tc>
        <w:tc>
          <w:tcPr>
            <w:tcW w:w="449" w:type="pct"/>
            <w:tcBorders>
              <w:top w:val="nil"/>
              <w:left w:val="nil"/>
              <w:bottom w:val="single" w:sz="4" w:space="0" w:color="auto"/>
              <w:right w:val="single" w:sz="4" w:space="0" w:color="auto"/>
            </w:tcBorders>
            <w:shd w:val="clear" w:color="auto" w:fill="auto"/>
            <w:noWrap/>
            <w:vAlign w:val="bottom"/>
            <w:hideMark/>
          </w:tcPr>
          <w:p w14:paraId="55D786C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46.9</w:t>
            </w:r>
          </w:p>
        </w:tc>
        <w:tc>
          <w:tcPr>
            <w:tcW w:w="498" w:type="pct"/>
            <w:tcBorders>
              <w:top w:val="nil"/>
              <w:left w:val="nil"/>
              <w:bottom w:val="single" w:sz="4" w:space="0" w:color="auto"/>
              <w:right w:val="single" w:sz="4" w:space="0" w:color="auto"/>
            </w:tcBorders>
            <w:shd w:val="clear" w:color="auto" w:fill="auto"/>
            <w:noWrap/>
            <w:vAlign w:val="bottom"/>
            <w:hideMark/>
          </w:tcPr>
          <w:p w14:paraId="485AAE9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9E82A4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73E17E6"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D56A2C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Nicaragua</w:t>
            </w:r>
          </w:p>
        </w:tc>
        <w:tc>
          <w:tcPr>
            <w:tcW w:w="1053" w:type="pct"/>
            <w:tcBorders>
              <w:top w:val="nil"/>
              <w:left w:val="nil"/>
              <w:bottom w:val="single" w:sz="4" w:space="0" w:color="auto"/>
              <w:right w:val="single" w:sz="4" w:space="0" w:color="auto"/>
            </w:tcBorders>
            <w:shd w:val="clear" w:color="auto" w:fill="auto"/>
            <w:noWrap/>
            <w:vAlign w:val="bottom"/>
            <w:hideMark/>
          </w:tcPr>
          <w:p w14:paraId="3FAFB35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Wong-McClure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{"citationItems":[{"id":"ITEM-1","itemData":{"ISSN":"1020-4989 (Print) 1020-4989","abstract":"OBJECTIVE: To report the prevalence of metabolic syndrome (MetS) as found by the Central American Diabetes Initiative (CAMDI) study for five major Central American populations: Belize (national); Costa Rica (San José); Guatemala (Guatemala City); Honduras (Tegucigalpa); and Nicaragua (Managua). METHODS: Study data on 6 185 adults aged 20 years or older with anthropometric and laboratory determination of MetS from population-based surveys were analyzed. Overall, the survey response rate was 82.0%. MetS prevalence was determined according to criteria from the Adult Treatment Panel III of the National Cholesterol Education Program. The study&amp;#039;s protocol was reviewed and approved by the bioethical committee of each country studied. RESULTS: The overall standardized prevalence of MetS in the Central American region was 30.3% (95% confidence interval (CI): 27.1-33.4). There was wide variability by gender and work conditions, with higher prevalence among females and unpaid workers. The standardized percentage of the population free of any component of MetS was lowest in Costa Rica (9.0%; CI: 6.5-11.4) and highest in Honduras (21.1%; CI: 16.4-25.9). CONCLUSIONS: Overall prevalence of MetS in Central America is high. Strengthening surveillance of chronic diseases and establishing effective programs for preventing cardiovascular diseases might reduce the risk of MetS in Central America. OBJETIVO: Notificar la prevalencia del síndrome metabólico (SMet) observada en el estudio de la Iniciativa Centroamericana de Diabetes (CAMDI) llevado a cabo en cinco importantes poblaciones centroamericanas: Belice (nacional); Costa Rica (San José); Guatemala (Ciudad de Guatemala); Honduras (Tegucigalpa); y Nicaragua (Managua). MÉTODOS: Se analizaron los datos de estudio obtenidos de las encuestas poblacionales dirigidas a 6 185 adultos de 20 años de edad o mayores con determinaciones antropométricas y de laboratorio relativas al SMet. En términos generales, la tasa de respuesta a las encuestas fue de 82,0%. Se determinó la prevalencia del SMet según los criterios del tercer informe del Grupo de Expertos en el Tratamiento de Adultos (Adult Treatment Panel III) del Programa Nacional de Educación sobre el Colesterol. El protocolo del estudio fue examinado y aprobado por el comité de bioética de cada uno de los países incluidos en el estudio. RESULTADOS: La prevalencia general estandarizada del SMet en Centroamérica fue de 30,3% (Intervalo de confianza de 95% (IC): 27,1-33,4). S…","author":[{"dropping-particle":"","family":"Wong-McClure","given":"Roy A","non-dropping-particle":"","parse-names":false,"suffix":""},{"dropping-particle":"","family":"Gregg","given":"Edward W","non-dropping-particle":"","parse-names":false,"suffix":""},{"dropping-particle":"","family":"Barceló","given":"Alberto","non-dropping-particle":"","parse-names":false,"suffix":""},{"dropping-particle":"","family":"Lee","given":"Kahye","non-dropping-particle":"","parse-names":false,"suffix":""},{"dropping-particle":"","family":"Abarca-Gómez","given":"Le","non-dropping-particle":"","parse-names":false,"suffix":""},{"dropping-particle":"","family":"Sanabria-López","given":"Laura","non-dropping-particle":"","parse-names":false,"suffix":""},{"dropping-particle":"","family":"Tortós-Guzmán","given":"Jaime","non-dropping-particle":"","parse-names":false,"suffix":""}],"container-title":"Rev Panam Salud Publica","id":"ITEM-1","issue":"3","issued":{"date-parts":[["2015"]]},"language":"en","page":"202-208","title":"Prevalence of metabolic syndrome in Central America: a cross-sectional population-based study","type":"article-journal","volume":"38"},"uris":["http://www.mendeley.com/documents/?uuid=466c808c-ecb8-4baf-b4d6-369197f44afe"]}],"mendeley":{"formattedCitation":"&lt;sup&gt;11&lt;/sup&gt;","plainTextFormattedCitation":"11","previouslyFormattedCitation":"&lt;sup&gt;11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27EEA0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69E563A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202C548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1587</w:t>
            </w:r>
          </w:p>
        </w:tc>
        <w:tc>
          <w:tcPr>
            <w:tcW w:w="399" w:type="pct"/>
            <w:tcBorders>
              <w:top w:val="nil"/>
              <w:left w:val="nil"/>
              <w:bottom w:val="single" w:sz="4" w:space="0" w:color="auto"/>
              <w:right w:val="single" w:sz="4" w:space="0" w:color="auto"/>
            </w:tcBorders>
            <w:shd w:val="clear" w:color="auto" w:fill="auto"/>
            <w:noWrap/>
            <w:vAlign w:val="bottom"/>
            <w:hideMark/>
          </w:tcPr>
          <w:p w14:paraId="5FB3C9F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37.2</w:t>
            </w:r>
          </w:p>
        </w:tc>
        <w:tc>
          <w:tcPr>
            <w:tcW w:w="449" w:type="pct"/>
            <w:tcBorders>
              <w:top w:val="nil"/>
              <w:left w:val="nil"/>
              <w:bottom w:val="single" w:sz="4" w:space="0" w:color="auto"/>
              <w:right w:val="single" w:sz="4" w:space="0" w:color="auto"/>
            </w:tcBorders>
            <w:shd w:val="clear" w:color="auto" w:fill="auto"/>
            <w:noWrap/>
            <w:vAlign w:val="bottom"/>
            <w:hideMark/>
          </w:tcPr>
          <w:p w14:paraId="0F57B31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327D5EB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EA6FCD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1B5B848"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427A5F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60163B7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Salas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Little is known of the epidemiology of diabetes among older people in low and middle income countries. We aimed to study and compare prevalence, social patterning, correlates, detection, treatment and control of diabetes among older people in Latin America, India, China and Nigeria. Methods: Cross-sectional surveys in 13 catchment area sites in nine countries. Diagnosed diabetes was assessed in all sites through self-reported diagnosis. Undiagnosed diabetes was assessed in seven Latin American sites through fasting blood samples (glucose &gt; = 7mmol/L). Results: Total diabetes prevalence in catchment sites in Cuba (prevalence 24.2%, SMR 116), Puerto Rico (43.4%, 197), and urban (27.0%, 125), and rural Mexico (23.7%, 111) already exceeds that in the USA, while that in Venezuela (20.9%, 100) is similar. Diagnosed diabetes prevalence varied very widely, between low prevalences in sites in rural China (0.9%), rural India (6.6%) and Nigeria (6.0%). and 32.1% in Puerto Rico, explained mainly by access to health services. Treatment coverage varied substantially between sites. Diabetes control (40 to 61% of those diagnosed) was modest in the Latin American sites where this was studied. Diabetes was independently associated with less education, but more assets. Hypertension, central obesity and hypertriglyceridaemia, but not hypercholesterolaemia were consistently associated with total diabetes. Conclusions: Diabetes prevalence is already high in most sites. Identifying undiagnosed cases is essential to quantify population burden, particularly in least developed settings where diagnosis is uncommon. Metabolic risk factors and associated lifestyles may play an important part in aetiology, but this requires confirmation with longitudinal data. Given the high prevalence among older people, more population research is indicated to quantify the impact of diabetes, and to monitor the effect of prevention and health system strengthening on prevalence, treatment and control. © 2016 Salas et al. This is an open access article distributed under the terms of the Creative Commons Attribution License, which permits unrestricted use, distribution, and reproduction in any medium, provided the original author and source are credited.","author":[{"dropping-particle":"","family":"Salas","given":"A","non-dropping-particle":"","parse-names":false,"suffix":""},{"dropping-particle":"","family":"Acosta","given":"D","non-dropping-particle":"","parse-names":false,"suffix":""},{"dropping-particle":"","family":"Ferri","given":"C P","non-dropping-particle":"","parse-names":false,"suffix":""},{"dropping-particle":"","family":"Guerra","given":"M","non-dropping-particle":"","parse-names":false,"suffix":""},{"dropping-particle":"","family":"Huang","given":"Y","non-dropping-particle":"","parse-names":false,"suffix":""},{"dropping-particle":"","family":"Jacob","given":"K S","non-dropping-particle":"","parse-names":false,"suffix":""},{"dropping-particle":"","family":"Jimenez-Velazquez","given":"I Z","non-dropping-particle":"","parse-names":false,"suffix":""},{"dropping-particle":"","family":"Llibre Rodriguez","given":"J J","non-dropping-particle":"","parse-names":false,"suffix":""},{"dropping-particle":"","family":"Sosa","given":"A L","non-dropping-particle":"","parse-names":false,"suffix":""},{"dropping-particle":"","family":"Uwakwe","given":"R","non-dropping-particle":"","parse-names":false,"suffix":""},{"dropping-particle":"","family":"Williams","given":"J D","non-dropping-particle":"","parse-names":false,"suffix":""},{"dropping-particle":"","family":"Jotheeswaran","given":"A T","non-dropping-particle":"","parse-names":false,"suffix":""},{"dropping-particle":"","family":"Liu","given":"Z","non-dropping-particle":"","parse-names":false,"suffix":""},{"dropping-particle":"","family":"Lopez Medina","given":"A M","non-dropping-particle":"","parse-names":false,"suffix":""},{"dropping-particle":"","family":"Salinas-Contreras","given":"R M","non-dropping-particle":"","parse-names":false,"suffix":""},{"dropping-particle":"","family":"Prince","given":"M J","non-dropping-particle":"","parse-names":false,"suffix":""}],"container-title":"PLoS ONE","id":"ITEM-1","issue":"2","issued":{"date-parts":[["2016"]]},"title":"The prevalence, correlates, detection and control of diabetes among older people in low and middle income countries. A 10/66 dementia research group population-based survey","type":"article-journal","volume":"11"},"uris":["http://www.mendeley.com/documents/?uuid=96518829-d630-4e18-9544-a9dfb421d147"]}],"mendeley":{"formattedCitation":"&lt;sup&gt;107&lt;/sup&gt;","plainTextFormattedCitation":"107","previouslyFormattedCitation":"&lt;sup&gt;107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FF4E69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013E902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48" w:type="pct"/>
            <w:tcBorders>
              <w:top w:val="nil"/>
              <w:left w:val="nil"/>
              <w:bottom w:val="single" w:sz="4" w:space="0" w:color="auto"/>
              <w:right w:val="single" w:sz="4" w:space="0" w:color="auto"/>
            </w:tcBorders>
            <w:shd w:val="clear" w:color="auto" w:fill="auto"/>
            <w:noWrap/>
            <w:vAlign w:val="bottom"/>
            <w:hideMark/>
          </w:tcPr>
          <w:p w14:paraId="582C566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1933</w:t>
            </w:r>
          </w:p>
        </w:tc>
        <w:tc>
          <w:tcPr>
            <w:tcW w:w="399" w:type="pct"/>
            <w:tcBorders>
              <w:top w:val="nil"/>
              <w:left w:val="nil"/>
              <w:bottom w:val="single" w:sz="4" w:space="0" w:color="auto"/>
              <w:right w:val="single" w:sz="4" w:space="0" w:color="auto"/>
            </w:tcBorders>
            <w:shd w:val="clear" w:color="auto" w:fill="auto"/>
            <w:noWrap/>
            <w:vAlign w:val="bottom"/>
            <w:hideMark/>
          </w:tcPr>
          <w:p w14:paraId="37FC408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38.81</w:t>
            </w:r>
          </w:p>
        </w:tc>
        <w:tc>
          <w:tcPr>
            <w:tcW w:w="449" w:type="pct"/>
            <w:tcBorders>
              <w:top w:val="nil"/>
              <w:left w:val="nil"/>
              <w:bottom w:val="single" w:sz="4" w:space="0" w:color="auto"/>
              <w:right w:val="single" w:sz="4" w:space="0" w:color="auto"/>
            </w:tcBorders>
            <w:shd w:val="clear" w:color="auto" w:fill="auto"/>
            <w:noWrap/>
            <w:vAlign w:val="bottom"/>
            <w:hideMark/>
          </w:tcPr>
          <w:p w14:paraId="63456C4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74.77</w:t>
            </w:r>
          </w:p>
        </w:tc>
        <w:tc>
          <w:tcPr>
            <w:tcW w:w="498" w:type="pct"/>
            <w:tcBorders>
              <w:top w:val="nil"/>
              <w:left w:val="nil"/>
              <w:bottom w:val="single" w:sz="4" w:space="0" w:color="auto"/>
              <w:right w:val="single" w:sz="4" w:space="0" w:color="auto"/>
            </w:tcBorders>
            <w:shd w:val="clear" w:color="auto" w:fill="auto"/>
            <w:noWrap/>
            <w:vAlign w:val="bottom"/>
            <w:hideMark/>
          </w:tcPr>
          <w:p w14:paraId="7958318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7707E9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6C31F72"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36B6FE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7BB1EC2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Seclen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{"citationItems":[{"id":"ITEM-1","itemData":{"ISSN":"1557-8518","abstract":"BACKGROUND: The metabolic syndrome (MS) has been shown to predict mortality due to cardiovascular disease. Currently, no population-based data on the prevalence of the MS is available in Peru. This study was aimed to assess the prevalence of the MS in urban Peruvian Mestizos, in the coastal districts of Lima, the capital of Peru., METHODS: A cross-sectional, epidemiological survey was undertaken, including 612 unrelated subjects aged 30-92 years (68.3% females). Prevalence of the MS was defined by the National Cholesterol Education Program Expert Panel on Detection Evaluation, and Treatment of High Blood Cholesterol in Adults (ATPIII) criteria. Insulin resistance was estimated by the homeostasis model assessment (HOMA)., RESULTS: Age and sex standardized prevalence of the MS was 14.9% (13.2% in males, 16.5% in females). The MS was significantly more prevalent in females aged 45-59 years old (20.2% vs. 6.7%, p = 0.019). In individuals with the MS, the prevalence of insulin resistance (IR) was 45% in males/42% in females. Abdominal obesity (80% in males/92.8% in females), and low HDL cholesterol (55% males/75.4% females), but neither hypertriglyceridemia (85% in males/81.2% females) nor high fasting glucose (55% in males/36.2 % females) were more common in females. Prevalence of arterial hypertension was similar in both sexes., CONCLUSIONS: In this Mestizo Peruvian population, prevalence of the MS is relatively low as compared to other ethnic groups; the higher prevalence in females is likely due to a higher prevalence of abdominal obesity. Overall, abdominal obesity and hypertriglyceridemia were the predominant combination of metabolic disorders in individuals fulfilling criteria for the diagnosis of the MS.","author":[{"dropping-particle":"","family":"Seclen","given":"Segundo","non-dropping-particle":"","parse-names":false,"suffix":""},{"dropping-particle":"","family":"Villena","given":"Arturo","non-dropping-particle":"","parse-names":false,"suffix":""},{"dropping-particle":"","family":"Larrad","given":"Maria Teresamartinez","non-dropping-particle":"","parse-names":false,"suffix":""},{"dropping-particle":"","family":"Gamarra","given":"Dante","non-dropping-particle":"","parse-names":false,"suffix":""},{"dropping-particle":"","family":"Herrera","given":"Bernabe","non-dropping-particle":"","parse-names":false,"suffix":""},{"dropping-particle":"","family":"Perez","given":"Cristina Fern","non-dropping-particle":"","parse-names":false,"suffix":""},{"dropping-particle":"","family":"Sanchez","given":"Jose Luis Gonzalez","non-dropping-particle":"","parse-names":false,"suffix":""},{"dropping-particle":"","family":"Rios","given":"Manuel Serrano","non-dropping-particle":"","parse-names":false,"suffix":""}],"container-title":"Metabolic syndrome and related disorders","id":"ITEM-1","issue":"1","issued":{"date-parts":[["2006"]]},"page":"1-6","title":"Prevalence of the metabolic syndrome in the mestizo population of peru","type":"article-journal","volume":"4"},"uris":["http://www.mendeley.com/documents/?uuid=693cc44c-c2eb-40d1-b69d-aca668d8de93"]}],"mendeley":{"formattedCitation":"&lt;sup&gt;146&lt;/sup&gt;","plainTextFormattedCitation":"146","previouslyFormattedCitation":"&lt;sup&gt;146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146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3BC92C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98" w:type="pct"/>
            <w:tcBorders>
              <w:top w:val="nil"/>
              <w:left w:val="nil"/>
              <w:bottom w:val="single" w:sz="4" w:space="0" w:color="auto"/>
              <w:right w:val="single" w:sz="4" w:space="0" w:color="auto"/>
            </w:tcBorders>
            <w:shd w:val="clear" w:color="auto" w:fill="auto"/>
            <w:noWrap/>
            <w:vAlign w:val="bottom"/>
            <w:hideMark/>
          </w:tcPr>
          <w:p w14:paraId="24574EE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2000</w:t>
            </w:r>
          </w:p>
        </w:tc>
        <w:tc>
          <w:tcPr>
            <w:tcW w:w="548" w:type="pct"/>
            <w:tcBorders>
              <w:top w:val="nil"/>
              <w:left w:val="nil"/>
              <w:bottom w:val="single" w:sz="4" w:space="0" w:color="auto"/>
              <w:right w:val="single" w:sz="4" w:space="0" w:color="auto"/>
            </w:tcBorders>
            <w:shd w:val="clear" w:color="auto" w:fill="auto"/>
            <w:noWrap/>
            <w:vAlign w:val="bottom"/>
            <w:hideMark/>
          </w:tcPr>
          <w:p w14:paraId="4479FA4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612</w:t>
            </w:r>
          </w:p>
        </w:tc>
        <w:tc>
          <w:tcPr>
            <w:tcW w:w="399" w:type="pct"/>
            <w:tcBorders>
              <w:top w:val="nil"/>
              <w:left w:val="nil"/>
              <w:bottom w:val="single" w:sz="4" w:space="0" w:color="auto"/>
              <w:right w:val="single" w:sz="4" w:space="0" w:color="auto"/>
            </w:tcBorders>
            <w:shd w:val="clear" w:color="auto" w:fill="auto"/>
            <w:noWrap/>
            <w:vAlign w:val="bottom"/>
            <w:hideMark/>
          </w:tcPr>
          <w:p w14:paraId="16848A1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31.7</w:t>
            </w:r>
          </w:p>
        </w:tc>
        <w:tc>
          <w:tcPr>
            <w:tcW w:w="449" w:type="pct"/>
            <w:tcBorders>
              <w:top w:val="nil"/>
              <w:left w:val="nil"/>
              <w:bottom w:val="single" w:sz="4" w:space="0" w:color="auto"/>
              <w:right w:val="single" w:sz="4" w:space="0" w:color="auto"/>
            </w:tcBorders>
            <w:shd w:val="clear" w:color="auto" w:fill="auto"/>
            <w:noWrap/>
            <w:vAlign w:val="bottom"/>
            <w:hideMark/>
          </w:tcPr>
          <w:p w14:paraId="75B30CB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0FCB42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9993CE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9146971"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69A3FF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5694C1C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Soto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{"citationItems":[{"id":"ITEM-1","itemData":{"ISSN":"1726-4634 %(Niveles de resistencia a quinolonas y otros antimicrobianos en cepas de Escherichia coli comensales en ninos de la zona periurbana de Lima, Peru.","abstract":"Objetivos: Determinar la prevalencia y factores de riesgo de síndrome metabólico en la población adulta del departamento de Lambayeque en el año 2004. Materiales y métodos: Estudio descriptivo, transversal y prospectivo, realizado en el departamento de Lambayeque; se incluyeron 1000 personas entre 30 y 70 años de edad mediante un muestreo probabilístico polietápico; se realizaron mediciones antropométricas y de presión arterial, así como análisis de glicemia, colesterol total, triglicéridos y HDL colesterol. Se usaron las definiciones de síndrome metabólico de la ATP III y de la Oficina Internacional de Información en Lípidos Latinoamérica (ILIBLA). Resultados: La prevalencia del síndrome metabólico según criterios ATP III es 28,3% (IC95: 25,4-37,1) y según ILIBLA es de 33,2% (IC95: 28,1-38,3), la prevalencia de hipertensión arterial es 17,8%, diabetes mellitus tipo 2 de 3,3%, hipercolesterolemia 47,3%, hipertrigliceridemia 43,4%, HDL bajo 56,3%. La prevalencia de obesidad (índice de masa corporal e¼ 30) es de 30,2%, la obesidad central según circunferencia abdominal (ATP III) es 44,4% y según índice cintura cadera (ILIBLA) 63,3%. No se encontró asociación entre el SM y el consumo de pescado, dieta hipercalórica, actividad física, tabaco, alcohol, ocupación, sólo con el sexo masculino y la edad &amp;gt; o = 50 años. Conclusiones: Más de uno de cada cuatro adultos en el departamento de Lambayeque presenta síndrome metabólico, la proporción se incrementa conforme avanza la edad y es predominante en el sexo masculino según criterios ATP III. Objectives: To determine the prevalence and risk factors for metabolic syndrome in adults in Lambayeque, Peru in 2004. Materials and methods: A descriptive, cross sectional, and descriptive study was performed in Lambayeque, including 1000 persons between 30 to 70 years of age, using a probabilistic multi-staged sampling procedure. Anthropometric and blood pressure measurements were performed, as well as glycemia, total cholesterol, triglycerides, and HDL cholesterol determinations were performed. ATPIII and Latin American Office for Information on Lipids definitions for metabolic syndrome were used. Results: The prevalence of metabolic syndrome according to ATPIII criteria is 28,3% (95% confidence interval [CI]: 25,4¨C37,1) and according to the Latin American Office it is 33,2% (95% IC: 28,1¨C38,3), prevalence figures for hypertension, type 2 diabetes mellitus, hypercholesterolemia, hypertriglyceridemia, and low HDL are 1…","author":[{"dropping-particle":"","family":"Soto C","given":"Victor","non-dropping-particle":"","parse-names":false,"suffix":""},{"dropping-particle":"","family":"Vergara W","given":"Eduardo","non-dropping-particle":"","parse-names":false,"suffix":""},{"dropping-particle":"","family":"Neciosup P","given":"Elizabeth","non-dropping-particle":"","parse-names":false,"suffix":""}],"container-title":"Rev Peru Med Exp Salud Publica","id":"ITEM-1","issue":"4","issued":{"date-parts":[["2005"]]},"language":"es","page":"254-261","title":"Prevalencia y factores de riesgo de sindrome metabolico en poblacion adulta del Departamento de Lambayeque, Peru - 2004","type":"article-journal","volume":"22"},"uris":["http://www.mendeley.com/documents/?uuid=274d0c11-df9a-4954-aee3-63104dff4618"]}],"mendeley":{"formattedCitation":"&lt;sup&gt;147&lt;/sup&gt;","plainTextFormattedCitation":"147","previouslyFormattedCitation":"&lt;sup&gt;147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147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3DA70A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98" w:type="pct"/>
            <w:tcBorders>
              <w:top w:val="nil"/>
              <w:left w:val="nil"/>
              <w:bottom w:val="single" w:sz="4" w:space="0" w:color="auto"/>
              <w:right w:val="single" w:sz="4" w:space="0" w:color="auto"/>
            </w:tcBorders>
            <w:shd w:val="clear" w:color="auto" w:fill="auto"/>
            <w:noWrap/>
            <w:vAlign w:val="bottom"/>
            <w:hideMark/>
          </w:tcPr>
          <w:p w14:paraId="0E2027C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48" w:type="pct"/>
            <w:tcBorders>
              <w:top w:val="nil"/>
              <w:left w:val="nil"/>
              <w:bottom w:val="single" w:sz="4" w:space="0" w:color="auto"/>
              <w:right w:val="single" w:sz="4" w:space="0" w:color="auto"/>
            </w:tcBorders>
            <w:shd w:val="clear" w:color="auto" w:fill="auto"/>
            <w:noWrap/>
            <w:vAlign w:val="bottom"/>
            <w:hideMark/>
          </w:tcPr>
          <w:p w14:paraId="02A211B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1000</w:t>
            </w:r>
          </w:p>
        </w:tc>
        <w:tc>
          <w:tcPr>
            <w:tcW w:w="399" w:type="pct"/>
            <w:tcBorders>
              <w:top w:val="nil"/>
              <w:left w:val="nil"/>
              <w:bottom w:val="single" w:sz="4" w:space="0" w:color="auto"/>
              <w:right w:val="single" w:sz="4" w:space="0" w:color="auto"/>
            </w:tcBorders>
            <w:shd w:val="clear" w:color="auto" w:fill="auto"/>
            <w:noWrap/>
            <w:vAlign w:val="bottom"/>
            <w:hideMark/>
          </w:tcPr>
          <w:p w14:paraId="1E8DB9C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24.2</w:t>
            </w:r>
          </w:p>
        </w:tc>
        <w:tc>
          <w:tcPr>
            <w:tcW w:w="449" w:type="pct"/>
            <w:tcBorders>
              <w:top w:val="nil"/>
              <w:left w:val="nil"/>
              <w:bottom w:val="single" w:sz="4" w:space="0" w:color="auto"/>
              <w:right w:val="single" w:sz="4" w:space="0" w:color="auto"/>
            </w:tcBorders>
            <w:shd w:val="clear" w:color="auto" w:fill="auto"/>
            <w:noWrap/>
            <w:vAlign w:val="bottom"/>
            <w:hideMark/>
          </w:tcPr>
          <w:p w14:paraId="3E1DA2A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11F68FF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AFE4E7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FF5D95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F1E01D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2D38B31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Vinueza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{"citationItems":[{"id":"ITEM-1","itemData":{"ISSN":"0091-7435","abstract":"Objective: The objective of this study was to describe the prevalence of dyslipidemia in the CARMELA study population. Methods: CARMELA was a cross-sectional study of cardiovascular risk conducted between September 2003 and August 2005 in adults (aged 25 to 64 years) living in Barquisimeto (n=1,824), Bogotá (n=1,511), Buenos Aires (n=1,412), Lima (n=1,628), Mexico City (n=1,677), Quito (n=1,620), and Santiago (n=1,605). Dyslipidemia was defined as the presence of one or more of the following conditions: triglycerides. ≥ 200 mg/dL, or total cholesterol (TC) ≥ 240 mg/dL, or HDL cholesterol. &lt; 40 mg/dL, or LDL cholesterol = not optimal, or currently taking antilipemic agents. Results: Prevalence rates of dyslipidemia in men and women were: 75.5% (CI: 71.9-79.1) and 48.7% (CI: 45.4-51.9) in Barquisimeto; 70% (CI: 66.2-73.8) and 47.7% (CI: 43.9-51.5) in Bogotá; 50.4% (CI: 46.8-54.0) and 24.1% (CI: 21.0-27.2) in Buenos Aires; 73.1% (CI: 69.3-76.8) and 62.8% (CI: 59.2-66.5) in Lima; 62.5% (CI: 58.5-66.5) and 37.5% (CI: 33.5-41.6) in Mexico City; 52.2% (CI: 47.9-56.5) and 38.1% (CI: 34.5-41.7) in Quito; and, 50.8% (CI: 47.1-54.4) and 32.8% (CI: 29.3-36.3) in Santiago. Conclusions: Dyslipidemia was disturbingly prevalent and varied across cities. The most frequent dyslipidemia was low HDL-C followed by high triglycerides. The high TC/HDL-C ratios and non-HDL-C levels suggest a high risk of cardiovascular disease. © 2009 Elsevier Inc.","author":[{"dropping-particle":"","family":"Vinueza","given":"R","non-dropping-particle":"","parse-names":false,"suffix":""},{"dropping-particle":"","family":"Boissonnet","given":"C P","non-dropping-particle":"","parse-names":false,"suffix":""},{"dropping-particle":"","family":"Acevedo","given":"M","non-dropping-particle":"","parse-names":false,"suffix":""},{"dropping-particle":"","family":"Uriza","given":"F","non-dropping-particle":"","parse-names":false,"suffix":""},{"dropping-particle":"","family":"Benitez","given":"F J","non-dropping-particle":"","parse-names":false,"suffix":""},{"dropping-particle":"","family":"Silva","given":"H","non-dropping-particle":"","parse-names":false,"suffix":""},{"dropping-particle":"","family":"Schargrodsky","given":"H","non-dropping-particle":"","parse-names":false,"suffix":""},{"dropping-particle":"","family":"Champagne","given":"B","non-dropping-particle":"","parse-names":false,"suffix":""},{"dropping-particle":"","family":"Wilson","given":"E","non-dropping-particle":"","parse-names":false,"suffix":""}],"container-title":"Preventive Medicine","id":"ITEM-1","issue":"3","issued":{"date-parts":[["2010"]]},"page":"106-111","title":"Dyslipidemia in seven Latin American cities: CARMELA study","type":"article-journal","volume":"50"},"uris":["http://www.mendeley.com/documents/?uuid=dec74194-a203-4dec-b7ae-764a9f731745"]}],"mendeley":{"formattedCitation":"&lt;sup&gt;1&lt;/sup&gt;","plainTextFormattedCitation":"1","previouslyFormattedCitation":"&lt;sup&gt;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33BAFC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53D456F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48" w:type="pct"/>
            <w:tcBorders>
              <w:top w:val="nil"/>
              <w:left w:val="nil"/>
              <w:bottom w:val="single" w:sz="4" w:space="0" w:color="auto"/>
              <w:right w:val="single" w:sz="4" w:space="0" w:color="auto"/>
            </w:tcBorders>
            <w:shd w:val="clear" w:color="auto" w:fill="auto"/>
            <w:noWrap/>
            <w:vAlign w:val="bottom"/>
            <w:hideMark/>
          </w:tcPr>
          <w:p w14:paraId="141A0A2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1628</w:t>
            </w:r>
          </w:p>
        </w:tc>
        <w:tc>
          <w:tcPr>
            <w:tcW w:w="399" w:type="pct"/>
            <w:tcBorders>
              <w:top w:val="nil"/>
              <w:left w:val="nil"/>
              <w:bottom w:val="single" w:sz="4" w:space="0" w:color="auto"/>
              <w:right w:val="single" w:sz="4" w:space="0" w:color="auto"/>
            </w:tcBorders>
            <w:shd w:val="clear" w:color="auto" w:fill="auto"/>
            <w:noWrap/>
            <w:vAlign w:val="bottom"/>
            <w:hideMark/>
          </w:tcPr>
          <w:p w14:paraId="4603E5F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1E99006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6EB05B0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7EA235C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D2BD9B3"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5A0253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6BC1834D" w14:textId="77777777" w:rsidR="00665066" w:rsidRPr="009E0769" w:rsidRDefault="00665066" w:rsidP="0054001C">
            <w:pPr>
              <w:spacing w:after="0" w:line="240" w:lineRule="auto"/>
              <w:rPr>
                <w:rFonts w:ascii="Arial" w:eastAsia="Times New Roman" w:hAnsi="Arial" w:cs="Arial"/>
                <w:color w:val="000000"/>
                <w:sz w:val="16"/>
                <w:szCs w:val="16"/>
                <w:highlight w:val="yellow"/>
                <w:lang w:eastAsia="en-GB"/>
              </w:rPr>
            </w:pPr>
            <w:r w:rsidRPr="009E0769">
              <w:rPr>
                <w:rFonts w:ascii="Arial" w:eastAsia="Times New Roman" w:hAnsi="Arial" w:cs="Arial"/>
                <w:color w:val="000000"/>
                <w:sz w:val="16"/>
                <w:szCs w:val="16"/>
                <w:lang w:eastAsia="en-GB"/>
              </w:rPr>
              <w:t>Benzinger</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{"citationItems":[{"id":"ITEM-1","itemData":{"DOI":"10.1136/heartjnl-2017-312255","abstract":"Background: The prevalence of and factors associated with ideal cardiovascular health (ICH) by sociodemographic characteristics in Peru is not well known. Methods: The American Heart Association's ICH score comprised 3 ideal health factors (blood pressure, untreated total cholesterol and glucose) and 4 ideal health behaviours (smoking, body mass index, high physical activity and fruit and vegetable consumption). ICH was having 5 to 7 of the ideal health metrics. Baseline data from the Center of Excellence in Chronic Diseases, a prospective cohort study in adults aged ≥35 years in 4 Peruvian settings, was used (n=3058). Results: No one met all 7 of ICH metrics while 322 (10.5%) had ≤1 metric. Fasting plasma glucose was the most prevalent health factor (72%). Overall, compared with ages 35-44 years, the 55-64 years age group was associated with a lower prevalence of ICH (prevalence ratio 0.54, 95% CI 0.40 to 0.74, P&lt;0.001). Compared with those in the lowest tertile of socioeconomic status, those in the middle and highest tertiles were less likely to have ICH after adjusting for sex, age and education (P&lt;0.001). Conclusion: There is a low prevalence of ICH. This is a benchmark for the prevalence of ICH factors and behaviours in a resource-poor setting.","author":[{"dropping-particle":"","family":"Benziger","given":"Catherine P","non-dropping-particle":"","parse-names":false,"suffix":""},{"dropping-particle":"","family":"Zavala-Loayza","given":"José Alfredo","non-dropping-particle":"","parse-names":false,"suffix":""},{"dropping-particle":"","family":"Bernabe-Ortiz","given":"Antonio","non-dropping-particle":"","parse-names":false,"suffix":""},{"dropping-particle":"","family":"Gilman","given":"Robert H","non-dropping-particle":"","parse-names":false,"suffix":""},{"dropping-particle":"","family":"Checkley","given":"William","non-dropping-particle":"","parse-names":false,"suffix":""},{"dropping-particle":"","family":"Smeeth","given":"Liam","non-dropping-particle":"","parse-names":false,"suffix":""},{"dropping-particle":"","family":"Malaga","given":"German","non-dropping-particle":"","parse-names":false,"suffix":""},{"dropping-particle":"","family":"Miranda","given":"Juan Jaime","non-dropping-particle":"","parse-names":false,"suffix":""}],"container-title":"Heart","id":"ITEM-1","issue":"15","issued":{"date-parts":[["2018"]]},"page":"1251-1256","title":"Low prevalence of ideal cardiovascular health in Peru","type":"article-journal","volume":"104"},"uris":["http://www.mendeley.com/documents/?uuid=9a99926e-99c5-406e-82bb-bd10e56f1878"]}],"mendeley":{"formattedCitation":"&lt;sup&gt;148&lt;/sup&gt;","plainTextFormattedCitation":"148","previouslyFormattedCitation":"&lt;sup&gt;148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148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9D7219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4D31CC5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0A782D8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1448</w:t>
            </w:r>
          </w:p>
        </w:tc>
        <w:tc>
          <w:tcPr>
            <w:tcW w:w="399" w:type="pct"/>
            <w:tcBorders>
              <w:top w:val="nil"/>
              <w:left w:val="nil"/>
              <w:bottom w:val="single" w:sz="4" w:space="0" w:color="auto"/>
              <w:right w:val="single" w:sz="4" w:space="0" w:color="auto"/>
            </w:tcBorders>
            <w:shd w:val="clear" w:color="auto" w:fill="auto"/>
            <w:noWrap/>
            <w:vAlign w:val="bottom"/>
            <w:hideMark/>
          </w:tcPr>
          <w:p w14:paraId="3F76347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47.44</w:t>
            </w:r>
          </w:p>
        </w:tc>
        <w:tc>
          <w:tcPr>
            <w:tcW w:w="449" w:type="pct"/>
            <w:tcBorders>
              <w:top w:val="nil"/>
              <w:left w:val="nil"/>
              <w:bottom w:val="single" w:sz="4" w:space="0" w:color="auto"/>
              <w:right w:val="single" w:sz="4" w:space="0" w:color="auto"/>
            </w:tcBorders>
            <w:shd w:val="clear" w:color="auto" w:fill="auto"/>
            <w:noWrap/>
            <w:vAlign w:val="bottom"/>
            <w:hideMark/>
          </w:tcPr>
          <w:p w14:paraId="34C745B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52.4</w:t>
            </w:r>
          </w:p>
        </w:tc>
        <w:tc>
          <w:tcPr>
            <w:tcW w:w="498" w:type="pct"/>
            <w:tcBorders>
              <w:top w:val="nil"/>
              <w:left w:val="nil"/>
              <w:bottom w:val="single" w:sz="4" w:space="0" w:color="auto"/>
              <w:right w:val="single" w:sz="4" w:space="0" w:color="auto"/>
            </w:tcBorders>
            <w:shd w:val="clear" w:color="auto" w:fill="auto"/>
            <w:noWrap/>
            <w:vAlign w:val="bottom"/>
            <w:hideMark/>
          </w:tcPr>
          <w:p w14:paraId="5BCB70A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6AE70D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49557F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64B699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761E9D3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Quispe</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{"citationItems":[{"id":"ITEM-1","itemData":{"ISSN":"2211-8160","abstract":"Background Variations in the distribution of cardiovascular disease and risk factors by socioeconomic status (SES) have been described in affluent societies, yet a better understanding of these patterns is needed for most low- and middle-income countries. Objective This study sought to describe the relationship between cardiovascular risk factors and SES using monthly family income, educational attainment, and assets index, in 4 Peruvian sites. Methods Baseline data from an age- and sex-stratified random sample of participants, ages ≥35 years, from 4 Peruvian sites (CRONICAS Cohort Study, 2010) were used. The SES indicators considered were monthly family income (n = 3,220), educational attainment (n = 3,598), and assets index (n = 3,601). Behavioral risk factors included current tobacco use, alcohol drinking, physical activity, daily intake of fruits and vegetables, and no control of salt intake. Cardiometabolic risk factors included obesity, elevated waist circumference, hypertension, insulin resistance, diabetes mellitus, low high-density lipoprotein cholesterol, and high triglyceride levels. Results In the overall population, 41.6% reported a monthly family income &lt;US$198, and 45.6% had none or primary education. Important differences were noted between the socioeconomic indicators: for example, higher income and higher scores on an asset index were associated with greater risk of obesity, whereas higher levels of education were associated with lower risk of obesity. In contrast, higher SES according to all 3 indicators was associated with higher levels of triglycerides. Conclusions The association between SES and cardiometabolic risk factors varies depending on the SES indicator used. These results highlight the need to contextualize risk factors by socioeconomic groups in Latin American settings. © 2016 World Heart Federation (Geneva).","author":[{"dropping-particle":"","family":"Quispe","given":"R","non-dropping-particle":"","parse-names":false,"suffix":""},{"dropping-particle":"","family":"Benziger","given":"C P","non-dropping-particle":"","parse-names":false,"suffix":""},{"dropping-particle":"","family":"Bazo-Alvarez","given":"J C","non-dropping-particle":"","parse-names":false,"suffix":""},{"dropping-particle":"","family":"Howe","given":"L D","non-dropping-particle":"","parse-names":false,"suffix":""},{"dropping-particle":"","family":"Checkley","given":"W","non-dropping-particle":"","parse-names":false,"suffix":""},{"dropping-particle":"","family":"Gilman","given":"R H","non-dropping-particle":"","parse-names":false,"suffix":""},{"dropping-particle":"","family":"Smeeth","given":"L","non-dropping-particle":"","parse-names":false,"suffix":""},{"dropping-particle":"","family":"Bernabé-Ortiz","given":"A","non-dropping-particle":"","parse-names":false,"suffix":""},{"dropping-particle":"","family":"a","given":"J J","non-dropping-particle":"","parse-names":false,"suffix":""}],"container-title":"Global Heart","id":"ITEM-1","issue":"1","issued":{"date-parts":[["2016"]]},"page":"121-130","publisher-place":"CRONICAS Center of Excellence in Chronic Diseases, Universidad Peruana Cayetano Heredia, Lima, Peru Division of Cardiology, University of Washington, Seattle, WA, United States MRC Integrative Epidemiology Unit, University of Bristol, School of Social and","title":"The Relationship between Socioeconomic Status and CV Risk Factors: The CRONICAS Cohort Study of Peruvian Adults","type":"article-journal","volume":"11"},"uris":["http://www.mendeley.com/documents/?uuid=57ba9093-f131-466f-9744-835bfa89df4c"]}],"mendeley":{"formattedCitation":"&lt;sup&gt;149&lt;/sup&gt;","plainTextFormattedCitation":"149","previouslyFormattedCitation":"&lt;sup&gt;149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149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F82659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1880B35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48" w:type="pct"/>
            <w:tcBorders>
              <w:top w:val="nil"/>
              <w:left w:val="nil"/>
              <w:bottom w:val="single" w:sz="4" w:space="0" w:color="auto"/>
              <w:right w:val="single" w:sz="4" w:space="0" w:color="auto"/>
            </w:tcBorders>
            <w:shd w:val="clear" w:color="auto" w:fill="auto"/>
            <w:noWrap/>
            <w:vAlign w:val="bottom"/>
            <w:hideMark/>
          </w:tcPr>
          <w:p w14:paraId="1C6BF34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3220</w:t>
            </w:r>
          </w:p>
        </w:tc>
        <w:tc>
          <w:tcPr>
            <w:tcW w:w="399" w:type="pct"/>
            <w:tcBorders>
              <w:top w:val="nil"/>
              <w:left w:val="nil"/>
              <w:bottom w:val="single" w:sz="4" w:space="0" w:color="auto"/>
              <w:right w:val="single" w:sz="4" w:space="0" w:color="auto"/>
            </w:tcBorders>
            <w:shd w:val="clear" w:color="auto" w:fill="auto"/>
            <w:noWrap/>
            <w:vAlign w:val="bottom"/>
            <w:hideMark/>
          </w:tcPr>
          <w:p w14:paraId="745FF3B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49.47</w:t>
            </w:r>
          </w:p>
        </w:tc>
        <w:tc>
          <w:tcPr>
            <w:tcW w:w="449" w:type="pct"/>
            <w:tcBorders>
              <w:top w:val="nil"/>
              <w:left w:val="nil"/>
              <w:bottom w:val="single" w:sz="4" w:space="0" w:color="auto"/>
              <w:right w:val="single" w:sz="4" w:space="0" w:color="auto"/>
            </w:tcBorders>
            <w:shd w:val="clear" w:color="auto" w:fill="auto"/>
            <w:noWrap/>
            <w:vAlign w:val="bottom"/>
            <w:hideMark/>
          </w:tcPr>
          <w:p w14:paraId="2016351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55.35</w:t>
            </w:r>
          </w:p>
        </w:tc>
        <w:tc>
          <w:tcPr>
            <w:tcW w:w="498" w:type="pct"/>
            <w:tcBorders>
              <w:top w:val="nil"/>
              <w:left w:val="nil"/>
              <w:bottom w:val="single" w:sz="4" w:space="0" w:color="auto"/>
              <w:right w:val="single" w:sz="4" w:space="0" w:color="auto"/>
            </w:tcBorders>
            <w:shd w:val="clear" w:color="auto" w:fill="auto"/>
            <w:noWrap/>
            <w:vAlign w:val="bottom"/>
            <w:hideMark/>
          </w:tcPr>
          <w:p w14:paraId="0EFF530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7421ED3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C9225FC"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05CF04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087BBC0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Baracco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10.1089/met.2005.0019","author":[{"dropping-particle":"","family":"Baracco","given":"Rossana","non-dropping-particle":"","parse-names":false,"suffix":""},{"dropping-particle":"","family":"Mohanna","given":"Salim","non-dropping-particle":"","parse-names":false,"suffix":""}],"container-title":"Metabolic Syndrome and Related Disorders","id":"ITEM-1","issue":"1","issued":{"date-parts":[["2007"]]},"title":"A Comparison of the Prevalence of Metabolic Syndrome and Its Components in High and Low Altitude Populations in Peru","type":"article-journal","volume":"5"},"uris":["http://www.mendeley.com/documents/?uuid=08640017-9de9-4d03-b852-ac818710417d"]}],"mendeley":{"formattedCitation":"&lt;sup&gt;150&lt;/sup&gt;","plainTextFormattedCitation":"150","previouslyFormattedCitation":"&lt;sup&gt;150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150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DE9FEC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64E058D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2002</w:t>
            </w:r>
          </w:p>
        </w:tc>
        <w:tc>
          <w:tcPr>
            <w:tcW w:w="548" w:type="pct"/>
            <w:tcBorders>
              <w:top w:val="nil"/>
              <w:left w:val="nil"/>
              <w:bottom w:val="single" w:sz="4" w:space="0" w:color="auto"/>
              <w:right w:val="single" w:sz="4" w:space="0" w:color="auto"/>
            </w:tcBorders>
            <w:shd w:val="clear" w:color="auto" w:fill="auto"/>
            <w:noWrap/>
            <w:vAlign w:val="bottom"/>
            <w:hideMark/>
          </w:tcPr>
          <w:p w14:paraId="0DBD66B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271</w:t>
            </w:r>
          </w:p>
        </w:tc>
        <w:tc>
          <w:tcPr>
            <w:tcW w:w="399" w:type="pct"/>
            <w:tcBorders>
              <w:top w:val="nil"/>
              <w:left w:val="nil"/>
              <w:bottom w:val="single" w:sz="4" w:space="0" w:color="auto"/>
              <w:right w:val="single" w:sz="4" w:space="0" w:color="auto"/>
            </w:tcBorders>
            <w:shd w:val="clear" w:color="auto" w:fill="auto"/>
            <w:noWrap/>
            <w:vAlign w:val="bottom"/>
            <w:hideMark/>
          </w:tcPr>
          <w:p w14:paraId="361B6A6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36.16</w:t>
            </w:r>
          </w:p>
        </w:tc>
        <w:tc>
          <w:tcPr>
            <w:tcW w:w="449" w:type="pct"/>
            <w:tcBorders>
              <w:top w:val="nil"/>
              <w:left w:val="nil"/>
              <w:bottom w:val="single" w:sz="4" w:space="0" w:color="auto"/>
              <w:right w:val="single" w:sz="4" w:space="0" w:color="auto"/>
            </w:tcBorders>
            <w:shd w:val="clear" w:color="auto" w:fill="auto"/>
            <w:noWrap/>
            <w:vAlign w:val="bottom"/>
            <w:hideMark/>
          </w:tcPr>
          <w:p w14:paraId="54CCDF8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47.37</w:t>
            </w:r>
          </w:p>
        </w:tc>
        <w:tc>
          <w:tcPr>
            <w:tcW w:w="498" w:type="pct"/>
            <w:tcBorders>
              <w:top w:val="nil"/>
              <w:left w:val="nil"/>
              <w:bottom w:val="single" w:sz="4" w:space="0" w:color="auto"/>
              <w:right w:val="single" w:sz="4" w:space="0" w:color="auto"/>
            </w:tcBorders>
            <w:shd w:val="clear" w:color="auto" w:fill="auto"/>
            <w:noWrap/>
            <w:vAlign w:val="bottom"/>
            <w:hideMark/>
          </w:tcPr>
          <w:p w14:paraId="52A84B8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D6591A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C4BAC8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DC81EB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314F617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Benziger</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{"citationItems":[{"id":"ITEM-1","itemData":{"DOI":"10.1136/heartjnl-2017-312255","abstract":"Background: The prevalence of and factors associated with ideal cardiovascular health (ICH) by sociodemographic characteristics in Peru is not well known. Methods: The American Heart Association's ICH score comprised 3 ideal health factors (blood pressure, untreated total cholesterol and glucose) and 4 ideal health behaviours (smoking, body mass index, high physical activity and fruit and vegetable consumption). ICH was having 5 to 7 of the ideal health metrics. Baseline data from the Center of Excellence in Chronic Diseases, a prospective cohort study in adults aged ≥35 years in 4 Peruvian settings, was used (n=3058). Results: No one met all 7 of ICH metrics while 322 (10.5%) had ≤1 metric. Fasting plasma glucose was the most prevalent health factor (72%). Overall, compared with ages 35-44 years, the 55-64 years age group was associated with a lower prevalence of ICH (prevalence ratio 0.54, 95% CI 0.40 to 0.74, P&lt;0.001). Compared with those in the lowest tertile of socioeconomic status, those in the middle and highest tertiles were less likely to have ICH after adjusting for sex, age and education (P&lt;0.001). Conclusion: There is a low prevalence of ICH. This is a benchmark for the prevalence of ICH factors and behaviours in a resource-poor setting.","author":[{"dropping-particle":"","family":"Benziger","given":"Catherine P","non-dropping-particle":"","parse-names":false,"suffix":""},{"dropping-particle":"","family":"Zavala-Loayza","given":"José Alfredo","non-dropping-particle":"","parse-names":false,"suffix":""},{"dropping-particle":"","family":"Bernabe-Ortiz","given":"Antonio","non-dropping-particle":"","parse-names":false,"suffix":""},{"dropping-particle":"","family":"Gilman","given":"Robert H","non-dropping-particle":"","parse-names":false,"suffix":""},{"dropping-particle":"","family":"Checkley","given":"William","non-dropping-particle":"","parse-names":false,"suffix":""},{"dropping-particle":"","family":"Smeeth","given":"Liam","non-dropping-particle":"","parse-names":false,"suffix":""},{"dropping-particle":"","family":"Malaga","given":"German","non-dropping-particle":"","parse-names":false,"suffix":""},{"dropping-particle":"","family":"Miranda","given":"Juan Jaime","non-dropping-particle":"","parse-names":false,"suffix":""}],"container-title":"Heart","id":"ITEM-1","issue":"15","issued":{"date-parts":[["2018"]]},"page":"1251-1256","title":"Low prevalence of ideal cardiovascular health in Peru","type":"article-journal","volume":"104"},"uris":["http://www.mendeley.com/documents/?uuid=9a99926e-99c5-406e-82bb-bd10e56f1878"]}],"mendeley":{"formattedCitation":"&lt;sup&gt;148&lt;/sup&gt;","plainTextFormattedCitation":"148","previouslyFormattedCitation":"&lt;sup&gt;148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148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D5A1BC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2018</w:t>
            </w:r>
          </w:p>
        </w:tc>
        <w:tc>
          <w:tcPr>
            <w:tcW w:w="598" w:type="pct"/>
            <w:tcBorders>
              <w:top w:val="nil"/>
              <w:left w:val="nil"/>
              <w:bottom w:val="single" w:sz="4" w:space="0" w:color="auto"/>
              <w:right w:val="single" w:sz="4" w:space="0" w:color="auto"/>
            </w:tcBorders>
            <w:shd w:val="clear" w:color="auto" w:fill="auto"/>
            <w:noWrap/>
            <w:vAlign w:val="bottom"/>
            <w:hideMark/>
          </w:tcPr>
          <w:p w14:paraId="14E827B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48" w:type="pct"/>
            <w:tcBorders>
              <w:top w:val="nil"/>
              <w:left w:val="nil"/>
              <w:bottom w:val="single" w:sz="4" w:space="0" w:color="auto"/>
              <w:right w:val="single" w:sz="4" w:space="0" w:color="auto"/>
            </w:tcBorders>
            <w:shd w:val="clear" w:color="auto" w:fill="auto"/>
            <w:noWrap/>
            <w:vAlign w:val="bottom"/>
            <w:hideMark/>
          </w:tcPr>
          <w:p w14:paraId="294948F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3057</w:t>
            </w:r>
          </w:p>
        </w:tc>
        <w:tc>
          <w:tcPr>
            <w:tcW w:w="399" w:type="pct"/>
            <w:tcBorders>
              <w:top w:val="nil"/>
              <w:left w:val="nil"/>
              <w:bottom w:val="single" w:sz="4" w:space="0" w:color="auto"/>
              <w:right w:val="single" w:sz="4" w:space="0" w:color="auto"/>
            </w:tcBorders>
            <w:shd w:val="clear" w:color="auto" w:fill="auto"/>
            <w:noWrap/>
            <w:vAlign w:val="bottom"/>
            <w:hideMark/>
          </w:tcPr>
          <w:p w14:paraId="7B80F44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48.7</w:t>
            </w:r>
          </w:p>
        </w:tc>
        <w:tc>
          <w:tcPr>
            <w:tcW w:w="449" w:type="pct"/>
            <w:tcBorders>
              <w:top w:val="nil"/>
              <w:left w:val="nil"/>
              <w:bottom w:val="single" w:sz="4" w:space="0" w:color="auto"/>
              <w:right w:val="single" w:sz="4" w:space="0" w:color="auto"/>
            </w:tcBorders>
            <w:shd w:val="clear" w:color="auto" w:fill="auto"/>
            <w:noWrap/>
            <w:vAlign w:val="bottom"/>
            <w:hideMark/>
          </w:tcPr>
          <w:p w14:paraId="1D27819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55.6</w:t>
            </w:r>
          </w:p>
        </w:tc>
        <w:tc>
          <w:tcPr>
            <w:tcW w:w="498" w:type="pct"/>
            <w:tcBorders>
              <w:top w:val="nil"/>
              <w:left w:val="nil"/>
              <w:bottom w:val="single" w:sz="4" w:space="0" w:color="auto"/>
              <w:right w:val="single" w:sz="4" w:space="0" w:color="auto"/>
            </w:tcBorders>
            <w:shd w:val="clear" w:color="auto" w:fill="auto"/>
            <w:noWrap/>
            <w:vAlign w:val="bottom"/>
            <w:hideMark/>
          </w:tcPr>
          <w:p w14:paraId="0FA329D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0188E87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356B5E2"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E2745F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43B4B2B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Benziger</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{"citationItems":[{"id":"ITEM-1","itemData":{"DOI":"10.1371/journal.pone.0138968","abstract":"Objective: We aimed to characterize metabolic status by body mass index (BMI) status. Methods: The CRONICAS longitudinal study was performed in an age-and-sex stratified random sample of participants aged 35 years or older in four Peruvian settings: Lima (Peru's capital, costal urban, highly urbanized), urban and rural Puno (both high-altitude), and Tumbes (costal semirural). Data from the baseline study, conducted in 2010, was used. Individuals were classified by BMI as normal weight (18.5-24.9 kg/m2), overweight (25.0-29.9 kg/m2), and obese (≥30 kg/m2), and as metabolically healthy (0-1 metabolic abnormality) or metabolically unhealthy (≥2 abnormalities). Abnormalities included individual components of the metabolic syndrome, high-sensitivity C-reactive protein, and insulin resistance. Results: A total of 3088 (age 55.6±12.6 years, 51.3%females) had all measurements. Of these, 890 (28.8%), 1361 (44.1%) and 837 (27.1%) were normal weight, overweight and obese, respectively. Overall, 19.0%of normal weight in contrast to 54.9%of overweight and 77.7%of obese individuals had ≥3 risk factors (p&lt;0.001). Among normal weight individuals, 43.1% were metabolically unhealthy, and age ≥65 years, female, and highest socioeconomic groups were more likely to have this pattern. In contrast, only 16.4%of overweight and 3.9% of obese individuals were metabolically healthy and, compared to Lima, the rural and urban sites in Puno were more likely to have a metabolically healthier profile. Conclusions: Most Peruvians with overweight and obesity have additional risk factors for cardiovascular disease, as well as a majority of those with a healthy weight. Prevention programs aimed at individuals with a normal BMI, and those who are overweight and obese, are urgently needed, such as screening for elevated fasting cholesterol and glucose.","author":[{"dropping-particle":"","family":"Benziger","given":"Catherine P","non-dropping-particle":"","parse-names":false,"suffix":""},{"dropping-particle":"","family":"Bernabé-Ortiz","given":"Antonio","non-dropping-particle":"","parse-names":false,"suffix":""},{"dropping-particle":"","family":"Gilman","given":"Robert H","non-dropping-particle":"","parse-names":false,"suffix":""},{"dropping-particle":"","family":"Checkley","given":"William","non-dropping-particle":"","parse-names":false,"suffix":""},{"dropping-particle":"","family":"Smeeth","given":"Liam","non-dropping-particle":"","parse-names":false,"suffix":""},{"dropping-particle":"","family":"Málaga","given":"Germán","non-dropping-particle":"","parse-names":false,"suffix":""},{"dropping-particle":"","family":"Miranda","given":"J Jaime","non-dropping-particle":"","parse-names":false,"suffix":""},{"dropping-particle":"","family":"Casas","given":"Juan P","non-dropping-particle":"","parse-names":false,"suffix":""},{"dropping-particle":"","family":"Smith","given":"George Davey","non-dropping-particle":"","parse-names":false,"suffix":""},{"dropping-particle":"","family":"Ebrahim","given":"Shah","non-dropping-particle":"","parse-names":false,"suffix":""},{"dropping-particle":"","family":"García","given":"Héctor H","non-dropping-particle":"","parse-names":false,"suffix":""},{"dropping-particle":"","family":"Huicho","given":"Luis","non-dropping-particle":"","parse-names":false,"suffix":""},{"dropping-particle":"","family":"Montori","given":"Víctor M","non-dropping-particle":"","parse-names":false,"suffix":""},{"dropping-particle":"","family":"Diette","given":"Gregory B","non-dropping-particle":"","parse-names":false,"suffix":""},{"dropping-particle":"","family":"León-Velarde","given":"Fabiola","non-dropping-particle":"","parse-names":false,"suffix":""},{"dropping-particle":"","family":"Rivera","given":"María","non-dropping-particle":"","parse-names":false,"suffix":""},{"dropping-particle":"","family":"Wise","given":"Robert A","non-dropping-particle":"","parse-names":false,"suffix":""}],"container-title":"PLoS ONE","id":"ITEM-1","issue":"11","issued":{"date-parts":[["2015"]]},"page":"1-15","title":"Metabolic abnormalities are common among South American hispanics subjects with normal weight or excess body weight: The CRONICAS cohort study","type":"article-journal","volume":"10"},"uris":["http://www.mendeley.com/documents/?uuid=aa1223d0-afd8-4875-888b-8674b4534e32"]}],"mendeley":{"formattedCitation":"&lt;sup&gt;151&lt;/sup&gt;","plainTextFormattedCitation":"151","previouslyFormattedCitation":"&lt;sup&gt;151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151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639963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6A446D2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48" w:type="pct"/>
            <w:tcBorders>
              <w:top w:val="nil"/>
              <w:left w:val="nil"/>
              <w:bottom w:val="single" w:sz="4" w:space="0" w:color="auto"/>
              <w:right w:val="single" w:sz="4" w:space="0" w:color="auto"/>
            </w:tcBorders>
            <w:shd w:val="clear" w:color="auto" w:fill="auto"/>
            <w:noWrap/>
            <w:vAlign w:val="bottom"/>
            <w:hideMark/>
          </w:tcPr>
          <w:p w14:paraId="5E1B912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3087</w:t>
            </w:r>
          </w:p>
        </w:tc>
        <w:tc>
          <w:tcPr>
            <w:tcW w:w="399" w:type="pct"/>
            <w:tcBorders>
              <w:top w:val="nil"/>
              <w:left w:val="nil"/>
              <w:bottom w:val="single" w:sz="4" w:space="0" w:color="auto"/>
              <w:right w:val="single" w:sz="4" w:space="0" w:color="auto"/>
            </w:tcBorders>
            <w:shd w:val="clear" w:color="auto" w:fill="auto"/>
            <w:noWrap/>
            <w:vAlign w:val="bottom"/>
            <w:hideMark/>
          </w:tcPr>
          <w:p w14:paraId="629D9E2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48.7</w:t>
            </w:r>
          </w:p>
        </w:tc>
        <w:tc>
          <w:tcPr>
            <w:tcW w:w="449" w:type="pct"/>
            <w:tcBorders>
              <w:top w:val="nil"/>
              <w:left w:val="nil"/>
              <w:bottom w:val="single" w:sz="4" w:space="0" w:color="auto"/>
              <w:right w:val="single" w:sz="4" w:space="0" w:color="auto"/>
            </w:tcBorders>
            <w:shd w:val="clear" w:color="auto" w:fill="auto"/>
            <w:noWrap/>
            <w:vAlign w:val="bottom"/>
            <w:hideMark/>
          </w:tcPr>
          <w:p w14:paraId="53C81A9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55.6</w:t>
            </w:r>
          </w:p>
        </w:tc>
        <w:tc>
          <w:tcPr>
            <w:tcW w:w="498" w:type="pct"/>
            <w:tcBorders>
              <w:top w:val="nil"/>
              <w:left w:val="nil"/>
              <w:bottom w:val="single" w:sz="4" w:space="0" w:color="auto"/>
              <w:right w:val="single" w:sz="4" w:space="0" w:color="auto"/>
            </w:tcBorders>
            <w:shd w:val="clear" w:color="auto" w:fill="auto"/>
            <w:noWrap/>
            <w:vAlign w:val="bottom"/>
            <w:hideMark/>
          </w:tcPr>
          <w:p w14:paraId="3EB14BC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32B4F63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47786FC"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08C7C6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788CC14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Chirinos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{"citationItems":[{"id":"ITEM-1","itemData":{"DOI":"10.1089/met.2013.0092","abstract":"Background: The question of whether the metabolic syndrome truly reflects a single disease entity with a common underlying pathology remains unclear. In this study, we assess whether metabolic syndrome represents an underlying disease construct in a large population-based sample of Andean Hispanic adults and examine its relationship to subclinical atherosclerosis. Methods: The study sample was comprised of 2513 participants. Confirmatory factor analysis (CFA) was used to identify a metabolic syndrome latent factor using waist circumference, systolic and diastolic blood pressure, high-density lipoprotein cholesterol (HDL-C), triglycerides (TGs), and glucose levels as indicators. The relationship with subclinical atherosclerosis, measured by carotid intima media thickness (cIMT), was assessed using structural equation modeling. Results: Results supported the proposed structure of the metabolic syndrome latent factor evidenced by adequate fit indexes. HDL-C did not significantly load on the metabolic syndrome latent factor (standardized factor loading=0.01, P=0.88). The metabolic syndrome latent factor was significantly associated with cIMT in women (B=0.007, P&lt;0.001) and men (B=0.008, P&lt;0.001) after controlling for age, low-density lipoprotein cholesterol and smoking. Conclusions: Our findings suggest that metabolic syndrome components, such as waist circumference, blood pressure, TGs, and glucose levels, but not HDL-C, share a common underlying pathophysiology that may contribute to the progression of atherosclerosis in Andean Hispanics. Its longitudinal association with cardiovascular disease should be the focus of future research. © Mary Ann Liebert, Inc.","author":[{"dropping-particle":"","family":"Chirinos","given":"Diana A","non-dropping-particle":"","parse-names":false,"suffix":""},{"dropping-particle":"","family":"Medina-Lezama","given":"Josefina","non-dropping-particle":"","parse-names":false,"suffix":""},{"dropping-particle":"","family":"Arguelles","given":"William","non-dropping-particle":"","parse-names":false,"suffix":""},{"dropping-particle":"","family":"Goldberg","given":"Ronald","non-dropping-particle":"","parse-names":false,"suffix":""},{"dropping-particle":"","family":"Schneiderman","given":"Neil","non-dropping-particle":"","parse-names":false,"suffix":""},{"dropping-particle":"","family":"Khan","given":"Zubair","non-dropping-particle":"","parse-names":false,"suffix":""},{"dropping-particle":"","family":"Morey","given":"Oscar O","non-dropping-particle":"","parse-names":false,"suffix":""},{"dropping-particle":"","family":"Raja","given":"Muhammad Waheed","non-dropping-particle":"","parse-names":false,"suffix":""},{"dropping-particle":"","family":"Paz","given":"Roberto","non-dropping-particle":"","parse-names":false,"suffix":""},{"dropping-particle":"","family":"Chirinos","given":"Julio A","non-dropping-particle":"","parse-names":false,"suffix":""},{"dropping-particle":"","family":"Llabre","given":"Maria M","non-dropping-particle":"","parse-names":false,"suffix":""}],"container-title":"Metabolic Syndrome and Related Disorders","id":"ITEM-1","issue":"1","issued":{"date-parts":[["2014"]]},"page":"49-55","title":"Metabolic syndrome as an underlying disease entity and its relationship to subclinical atherosclerosis in Andean hispanics","type":"article-journal","volume":"12"},"uris":["http://www.mendeley.com/documents/?uuid=3d5ab993-4cb0-4134-957a-45d67695077b"]}],"mendeley":{"formattedCitation":"&lt;sup&gt;152&lt;/sup&gt;","plainTextFormattedCitation":"152","previouslyFormattedCitation":"&lt;sup&gt;152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152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ADF761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2014</w:t>
            </w:r>
          </w:p>
        </w:tc>
        <w:tc>
          <w:tcPr>
            <w:tcW w:w="598" w:type="pct"/>
            <w:tcBorders>
              <w:top w:val="nil"/>
              <w:left w:val="nil"/>
              <w:bottom w:val="single" w:sz="4" w:space="0" w:color="auto"/>
              <w:right w:val="single" w:sz="4" w:space="0" w:color="auto"/>
            </w:tcBorders>
            <w:shd w:val="clear" w:color="auto" w:fill="auto"/>
            <w:noWrap/>
            <w:vAlign w:val="bottom"/>
            <w:hideMark/>
          </w:tcPr>
          <w:p w14:paraId="79C149B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0735954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2513</w:t>
            </w:r>
          </w:p>
        </w:tc>
        <w:tc>
          <w:tcPr>
            <w:tcW w:w="399" w:type="pct"/>
            <w:tcBorders>
              <w:top w:val="nil"/>
              <w:left w:val="nil"/>
              <w:bottom w:val="single" w:sz="4" w:space="0" w:color="auto"/>
              <w:right w:val="single" w:sz="4" w:space="0" w:color="auto"/>
            </w:tcBorders>
            <w:shd w:val="clear" w:color="auto" w:fill="auto"/>
            <w:noWrap/>
            <w:vAlign w:val="bottom"/>
            <w:hideMark/>
          </w:tcPr>
          <w:p w14:paraId="2DAD57D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45.4</w:t>
            </w:r>
          </w:p>
        </w:tc>
        <w:tc>
          <w:tcPr>
            <w:tcW w:w="449" w:type="pct"/>
            <w:tcBorders>
              <w:top w:val="nil"/>
              <w:left w:val="nil"/>
              <w:bottom w:val="single" w:sz="4" w:space="0" w:color="auto"/>
              <w:right w:val="single" w:sz="4" w:space="0" w:color="auto"/>
            </w:tcBorders>
            <w:shd w:val="clear" w:color="auto" w:fill="auto"/>
            <w:noWrap/>
            <w:vAlign w:val="bottom"/>
            <w:hideMark/>
          </w:tcPr>
          <w:p w14:paraId="6E103ED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51</w:t>
            </w:r>
          </w:p>
        </w:tc>
        <w:tc>
          <w:tcPr>
            <w:tcW w:w="498" w:type="pct"/>
            <w:tcBorders>
              <w:top w:val="nil"/>
              <w:left w:val="nil"/>
              <w:bottom w:val="single" w:sz="4" w:space="0" w:color="auto"/>
              <w:right w:val="single" w:sz="4" w:space="0" w:color="auto"/>
            </w:tcBorders>
            <w:shd w:val="clear" w:color="auto" w:fill="auto"/>
            <w:noWrap/>
            <w:vAlign w:val="bottom"/>
            <w:hideMark/>
          </w:tcPr>
          <w:p w14:paraId="004735C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6E75A1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88F35E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88251F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lastRenderedPageBreak/>
              <w:t>Peru</w:t>
            </w:r>
          </w:p>
        </w:tc>
        <w:tc>
          <w:tcPr>
            <w:tcW w:w="1053" w:type="pct"/>
            <w:tcBorders>
              <w:top w:val="nil"/>
              <w:left w:val="nil"/>
              <w:bottom w:val="single" w:sz="4" w:space="0" w:color="auto"/>
              <w:right w:val="single" w:sz="4" w:space="0" w:color="auto"/>
            </w:tcBorders>
            <w:shd w:val="clear" w:color="auto" w:fill="auto"/>
            <w:noWrap/>
            <w:vAlign w:val="bottom"/>
            <w:hideMark/>
          </w:tcPr>
          <w:p w14:paraId="6A8FDB4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Seclen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{"citationItems":[{"id":"ITEM-1","itemData":{"abstract":"La cardiopatía coronaria y el accidente cerebrovascular han sido señalados como causa principal de muerte en la población adulta del Perú, en relación directa con factores de riesgo como obesidad, diabetes (DM), hipertensión arterial (HTA), hipercolesterolemia y tabaquismo. El presente estudio reporta la prevalencia de estos factores en sujetos mayores de 18 años en 4 poblaciones urbanas; 2 de la costa, Castilla (Piura) y Urb. Ingeniería (Lima), de la selva, Tarapoto (San Martín) y 1 de la Sierra, Huaraz (Ancash) y 2 comunidades rurales de la selva, Waykuy Cuñumbuque (Lamas-San Martín). Las prevalencias más altas fueron observadas en Castilla y en segundo lugar en Urb. Ingeniería, y las más bajas en Waykuy y Cuñumbuque. Las prevalencias de obesidad fueron: 36.7 por ciento en Castilla, 22.8 por ciento en Urb. Ingeniería, 18.3 por ciento en Huaraz, 17 por ciento en Tarapoto, 0 por ciento en Waykuy y 11 por ciento en Cuñumbuque; las de DM 6.7 por ciento, 7.6 por ciento, 1.3 por ciento, 4.4 por ciento, 3.7 por ciento y 2 por ciento, respectivamente; a su vez las prevalencias de HTA fueron 33 por ciento en 47.2 por ciento en Castilla y Urb. Ingeniería, 19.5 por ciento en Huaraz, 21.8 por ciento en Tarapoto y 5 por ciento en Waykuy, y las correspondientes de hipercolesterolemia 47.2 por ciento, 22.7 por ciento, 10.6 por ciento, 20.4 por ciento en las cuatro primeras y ningún caso en Waykuy. Un 70 por ciento de la población es afectada por un solo factor de riesgo, 20 por ciento por dos y 7 por ciento por tres. En conclusión, la importante prevalencia de estos factores de riesgo demuestran su actual impacto epidemiológico y la necesidad de su búsqueda permanente para contrarrestar la alta tasa de mortalidad en la población adulta. Palabras clave: Factores de riesgo coronario, prevalencia, diabetes mellitus, hipertensión arterial, obesidad hipercolesterolemia.","author":[{"dropping-particle":"","family":"Seclen Santistebán","given":"Segundo","non-dropping-particle":"","parse-names":false,"suffix":""},{"dropping-particle":"","family":"Leey Casella","given":"Julio","non-dropping-particle":"","parse-names":false,"suffix":""},{"dropping-particle":"","family":"Villena Pacheco","given":"Arturo Eduardo","non-dropping-particle":"","parse-names":false,"suffix":""},{"dropping-particle":"","family":"M","given":"Herrera","non-dropping-particle":"","parse-names":false,"suffix":""},{"dropping-particle":"","family":"elli","given":"Bernabé Ramón","non-dropping-particle":"","parse-names":false,"suffix":""},{"dropping-particle":"","family":"Menacho","given":"Julio","non-dropping-particle":"","parse-names":false,"suffix":""},{"dropping-particle":"","family":"Carrasco","given":"Antonio","non-dropping-particle":"","parse-names":false,"suffix":""},{"dropping-particle":"","family":"Vargas","given":"Rol","non-dropping-particle":"","parse-names":false,"suffix":""}],"container-title":"Acta méd. peru","id":"ITEM-1","issue":"1","issued":{"date-parts":[["1999"]]},"language":"es","page":"8-12","title":"Prevalencia de Obesidad, Diabetes Mellitus, Hipertensión Arterial e Hipocolesterolemia como Factores de Riesgo Coronario y Cerebrovascular en Población Adulta de la Costa, Sierra y Selva del Perú","type":"article-journal","volume":"17"},"uris":["http://www.mendeley.com/documents/?uuid=e5ed2c78-22a6-4adb-873a-5d524ea4c6b2"]}],"mendeley":{"formattedCitation":"&lt;sup&gt;153&lt;/sup&gt;","plainTextFormattedCitation":"153","previouslyFormattedCitation":"&lt;sup&gt;153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153</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w:t>
            </w:r>
          </w:p>
        </w:tc>
        <w:tc>
          <w:tcPr>
            <w:tcW w:w="648" w:type="pct"/>
            <w:tcBorders>
              <w:top w:val="nil"/>
              <w:left w:val="nil"/>
              <w:bottom w:val="single" w:sz="4" w:space="0" w:color="auto"/>
              <w:right w:val="single" w:sz="4" w:space="0" w:color="auto"/>
            </w:tcBorders>
            <w:shd w:val="clear" w:color="auto" w:fill="auto"/>
            <w:noWrap/>
            <w:vAlign w:val="bottom"/>
            <w:hideMark/>
          </w:tcPr>
          <w:p w14:paraId="2BDB3AF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1999</w:t>
            </w:r>
          </w:p>
        </w:tc>
        <w:tc>
          <w:tcPr>
            <w:tcW w:w="598" w:type="pct"/>
            <w:tcBorders>
              <w:top w:val="nil"/>
              <w:left w:val="nil"/>
              <w:bottom w:val="single" w:sz="4" w:space="0" w:color="auto"/>
              <w:right w:val="single" w:sz="4" w:space="0" w:color="auto"/>
            </w:tcBorders>
            <w:shd w:val="clear" w:color="auto" w:fill="auto"/>
            <w:noWrap/>
            <w:vAlign w:val="bottom"/>
            <w:hideMark/>
          </w:tcPr>
          <w:p w14:paraId="14729E6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0C32B7F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598</w:t>
            </w:r>
          </w:p>
        </w:tc>
        <w:tc>
          <w:tcPr>
            <w:tcW w:w="399" w:type="pct"/>
            <w:tcBorders>
              <w:top w:val="nil"/>
              <w:left w:val="nil"/>
              <w:bottom w:val="single" w:sz="4" w:space="0" w:color="auto"/>
              <w:right w:val="single" w:sz="4" w:space="0" w:color="auto"/>
            </w:tcBorders>
            <w:shd w:val="clear" w:color="auto" w:fill="auto"/>
            <w:noWrap/>
            <w:vAlign w:val="bottom"/>
            <w:hideMark/>
          </w:tcPr>
          <w:p w14:paraId="10C9736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31.27</w:t>
            </w:r>
          </w:p>
        </w:tc>
        <w:tc>
          <w:tcPr>
            <w:tcW w:w="449" w:type="pct"/>
            <w:tcBorders>
              <w:top w:val="nil"/>
              <w:left w:val="nil"/>
              <w:bottom w:val="single" w:sz="4" w:space="0" w:color="auto"/>
              <w:right w:val="single" w:sz="4" w:space="0" w:color="auto"/>
            </w:tcBorders>
            <w:shd w:val="clear" w:color="auto" w:fill="auto"/>
            <w:noWrap/>
            <w:vAlign w:val="bottom"/>
            <w:hideMark/>
          </w:tcPr>
          <w:p w14:paraId="1B5DE28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40.4</w:t>
            </w:r>
          </w:p>
        </w:tc>
        <w:tc>
          <w:tcPr>
            <w:tcW w:w="498" w:type="pct"/>
            <w:tcBorders>
              <w:top w:val="nil"/>
              <w:left w:val="nil"/>
              <w:bottom w:val="single" w:sz="4" w:space="0" w:color="auto"/>
              <w:right w:val="single" w:sz="4" w:space="0" w:color="auto"/>
            </w:tcBorders>
            <w:shd w:val="clear" w:color="auto" w:fill="auto"/>
            <w:noWrap/>
            <w:vAlign w:val="bottom"/>
            <w:hideMark/>
          </w:tcPr>
          <w:p w14:paraId="7BC75AC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29F1B3E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F0A7C70"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914A7D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58783F7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Goldstein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{"citationItems":[{"id":"ITEM-1","itemData":{"ISSN":"1096-0260","abstract":"BACKGROUND: Rapid health and nutrition transitional changes are resulting in greater prominence of non-communicable disease (NCD) in Latin America, particularly among the poor., OBJECTIVE: The study aims to examine the extent to which NCD pxfsrevails in Peru and the socioeconomic status (SES) as a risk factor., DESIGN: Between 1998 and 2000, health surveys and clinical assessments were completed on 2337 adults in six cities, 18 to 60 years of age. Stratified by social class, multi-staged random sampling was used. Anthropometric data, blood pressure and serum samples were collected., RESULTS: Adjusting for age, hypertension, low HDL cholesterol, high total cholesterol and diabetes was found in 47%, 40%, 21% and 17% of women and in 44%, 38%, 27% and 19% of men, respectively. Over one quarter of the population exhibited multiple risk factors, not including overweight and obesity. Across all study sites, lowest SES revealed highest burden of NCD and appeared as an independent risk factor for associated NCD indicators., CONCLUSION: The high prevalence of NCD in urban areas of Peru is not only associated with excess body weight, but also with poverty itself. The greater burden of NCD in the poorest areas of society requires a better understanding of causal determinants and may have implications in terms of public health policies and interventions.","author":[{"dropping-particle":"","family":"Goldstein","given":"Juli","non-dropping-particle":"","parse-names":false,"suffix":""},{"dropping-particle":"","family":"Jacoby","given":"Enrique","non-dropping-particle":"","parse-names":false,"suffix":""},{"dropping-particle":"","family":"Aguila","given":"Roberto","non-dropping-particle":"del","parse-names":false,"suffix":""},{"dropping-particle":"","family":"Lopez","given":"Augusto","non-dropping-particle":"","parse-names":false,"suffix":""}],"container-title":"Preventive medicine","id":"ITEM-1","issue":"3","issued":{"date-parts":[["2005"]]},"page":"800-806","title":"Poverty is a predictor of non-communicable disease among adults in Peruvian cities","type":"article-journal","volume":"41"},"uris":["http://www.mendeley.com/documents/?uuid=659049fe-19ca-4c17-b150-364bf7b9cf81"]}],"mendeley":{"formattedCitation":"&lt;sup&gt;154&lt;/sup&gt;","plainTextFormattedCitation":"154","previouslyFormattedCitation":"&lt;sup&gt;154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154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827C04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98" w:type="pct"/>
            <w:tcBorders>
              <w:top w:val="nil"/>
              <w:left w:val="nil"/>
              <w:bottom w:val="single" w:sz="4" w:space="0" w:color="auto"/>
              <w:right w:val="single" w:sz="4" w:space="0" w:color="auto"/>
            </w:tcBorders>
            <w:shd w:val="clear" w:color="auto" w:fill="auto"/>
            <w:noWrap/>
            <w:vAlign w:val="bottom"/>
            <w:hideMark/>
          </w:tcPr>
          <w:p w14:paraId="48091E6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1999</w:t>
            </w:r>
          </w:p>
        </w:tc>
        <w:tc>
          <w:tcPr>
            <w:tcW w:w="548" w:type="pct"/>
            <w:tcBorders>
              <w:top w:val="nil"/>
              <w:left w:val="nil"/>
              <w:bottom w:val="single" w:sz="4" w:space="0" w:color="auto"/>
              <w:right w:val="single" w:sz="4" w:space="0" w:color="auto"/>
            </w:tcBorders>
            <w:shd w:val="clear" w:color="auto" w:fill="auto"/>
            <w:noWrap/>
            <w:vAlign w:val="bottom"/>
            <w:hideMark/>
          </w:tcPr>
          <w:p w14:paraId="20E0BD8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2237</w:t>
            </w:r>
          </w:p>
        </w:tc>
        <w:tc>
          <w:tcPr>
            <w:tcW w:w="399" w:type="pct"/>
            <w:tcBorders>
              <w:top w:val="nil"/>
              <w:left w:val="nil"/>
              <w:bottom w:val="single" w:sz="4" w:space="0" w:color="auto"/>
              <w:right w:val="single" w:sz="4" w:space="0" w:color="auto"/>
            </w:tcBorders>
            <w:shd w:val="clear" w:color="auto" w:fill="auto"/>
            <w:noWrap/>
            <w:vAlign w:val="bottom"/>
            <w:hideMark/>
          </w:tcPr>
          <w:p w14:paraId="68D4730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52.39</w:t>
            </w:r>
          </w:p>
        </w:tc>
        <w:tc>
          <w:tcPr>
            <w:tcW w:w="449" w:type="pct"/>
            <w:tcBorders>
              <w:top w:val="nil"/>
              <w:left w:val="nil"/>
              <w:bottom w:val="single" w:sz="4" w:space="0" w:color="auto"/>
              <w:right w:val="single" w:sz="4" w:space="0" w:color="auto"/>
            </w:tcBorders>
            <w:shd w:val="clear" w:color="auto" w:fill="auto"/>
            <w:noWrap/>
            <w:vAlign w:val="bottom"/>
            <w:hideMark/>
          </w:tcPr>
          <w:p w14:paraId="394EE01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40.6</w:t>
            </w:r>
          </w:p>
        </w:tc>
        <w:tc>
          <w:tcPr>
            <w:tcW w:w="498" w:type="pct"/>
            <w:tcBorders>
              <w:top w:val="nil"/>
              <w:left w:val="nil"/>
              <w:bottom w:val="single" w:sz="4" w:space="0" w:color="auto"/>
              <w:right w:val="single" w:sz="4" w:space="0" w:color="auto"/>
            </w:tcBorders>
            <w:shd w:val="clear" w:color="auto" w:fill="auto"/>
            <w:noWrap/>
            <w:vAlign w:val="bottom"/>
            <w:hideMark/>
          </w:tcPr>
          <w:p w14:paraId="21F6A8F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0EBC0B4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24E587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054AB0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3B3128C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Medina-Lezama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{"citationItems":[{"id":"ITEM-1","itemData":{"ISSN":"0168-8227","abstract":"Data regarding the prevalence of metabolic syndrome (MTS) in Andean populations are limited. We evaluated the prevalence of MTS according to American Heart Association/National Heart, Lung and Blood Institute criteria among 1878 subjects in the PREVENCION study in Peru. In women, the most common component was low HDL cholesterol (60.9%) followed by abdominal obesity (36.9%). In men, the most common component was elevated triglycerides (52.0%) followed by low HDL cholesterol (32.5%), whereas the prevalence of abdominal obesity was 14%. Abnormal fasting glucose was the least common component in men (5.4%) and women (5.0%). The prevalence of MTS was significantly higher in women compared to men (23.2% versus 14.3%) and increased steeply with age, particularly in women (p&lt;0.0001). Using body mass index (BMI&gt;or=30kg/m2) instead of waist circumference as a component of the MTS lead to equivalent prevalence estimates of MTS in men but significantly underestimated the prevalence in women. The MTS is highly prevalent among Peruvian Andeans, particularly in older women. The pattern of MTS components in this Andean population is characterized by a high prevalence of dyslipidemia and a relatively low prevalence of elevated fasting glucose. Further studies are required to characterize genetic and environmental determinants of these patterns.","author":[{"dropping-particle":"","family":"Medina-Lezama","given":"Josefina","non-dropping-particle":"","parse-names":false,"suffix":""},{"dropping-particle":"","family":"Zea-Diaz","given":"Humberto","non-dropping-particle":"","parse-names":false,"suffix":""},{"dropping-particle":"","family":"Morey-Vargas","given":"Oscar L","non-dropping-particle":"","parse-names":false,"suffix":""},{"dropping-particle":"","family":"Bolanos-Salazar","given":"Juan F","non-dropping-particle":"","parse-names":false,"suffix":""},{"dropping-particle":"","family":"Munoz-Atahualpa","given":"Edgar","non-dropping-particle":"","parse-names":false,"suffix":""},{"dropping-particle":"","family":"Postigo-MacDowall","given":"Mauricio","non-dropping-particle":"","parse-names":false,"suffix":""},{"dropping-particle":"","family":"Corrales-Medina","given":"Fern","non-dropping-particle":"","parse-names":false,"suffix":""},{"dropping-particle":"","family":"Valdivia-Ascuna","given":"Zoila","non-dropping-particle":"","parse-names":false,"suffix":""},{"dropping-particle":"","family":"Cuba-Bustinza","given":"Carolina","non-dropping-particle":"","parse-names":false,"suffix":""},{"dropping-particle":"","family":"Paredes-Diaz","given":"Sheyla","non-dropping-particle":"","parse-names":false,"suffix":""},{"dropping-particle":"","family":"Villalobos-Tapia","given":"Paola","non-dropping-particle":"","parse-names":false,"suffix":""},{"dropping-particle":"","family":"Chirinos-Pacheco","given":"Julio","non-dropping-particle":"","parse-names":false,"suffix":""},{"dropping-particle":"","family":"Goldberg","given":"Ronald B","non-dropping-particle":"","parse-names":false,"suffix":""},{"dropping-particle":"","family":"Chirinos","given":"Julio A","non-dropping-particle":"","parse-names":false,"suffix":""}],"container-title":"Diabetes research and clinical practice","id":"ITEM-1","issue":"2","issued":{"date-parts":[["2007"]]},"page":"270-281","title":"Prevalence of the metabolic syndrome in Peruvian Andean hispanics: the PREVENCION study","type":"article-journal","volume":"78"},"uris":["http://www.mendeley.com/documents/?uuid=e5a0ac85-ff42-4745-81be-9033d5135459"]}],"mendeley":{"formattedCitation":"&lt;sup&gt;155&lt;/sup&gt;","plainTextFormattedCitation":"155","previouslyFormattedCitation":"&lt;sup&gt;155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155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7F6CF0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98" w:type="pct"/>
            <w:tcBorders>
              <w:top w:val="nil"/>
              <w:left w:val="nil"/>
              <w:bottom w:val="single" w:sz="4" w:space="0" w:color="auto"/>
              <w:right w:val="single" w:sz="4" w:space="0" w:color="auto"/>
            </w:tcBorders>
            <w:shd w:val="clear" w:color="auto" w:fill="auto"/>
            <w:noWrap/>
            <w:vAlign w:val="bottom"/>
            <w:hideMark/>
          </w:tcPr>
          <w:p w14:paraId="027062B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2C87919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1878</w:t>
            </w:r>
          </w:p>
        </w:tc>
        <w:tc>
          <w:tcPr>
            <w:tcW w:w="399" w:type="pct"/>
            <w:tcBorders>
              <w:top w:val="nil"/>
              <w:left w:val="nil"/>
              <w:bottom w:val="single" w:sz="4" w:space="0" w:color="auto"/>
              <w:right w:val="single" w:sz="4" w:space="0" w:color="auto"/>
            </w:tcBorders>
            <w:shd w:val="clear" w:color="auto" w:fill="auto"/>
            <w:noWrap/>
            <w:vAlign w:val="bottom"/>
            <w:hideMark/>
          </w:tcPr>
          <w:p w14:paraId="67E8636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46.2</w:t>
            </w:r>
          </w:p>
        </w:tc>
        <w:tc>
          <w:tcPr>
            <w:tcW w:w="449" w:type="pct"/>
            <w:tcBorders>
              <w:top w:val="nil"/>
              <w:left w:val="nil"/>
              <w:bottom w:val="single" w:sz="4" w:space="0" w:color="auto"/>
              <w:right w:val="single" w:sz="4" w:space="0" w:color="auto"/>
            </w:tcBorders>
            <w:shd w:val="clear" w:color="auto" w:fill="auto"/>
            <w:noWrap/>
            <w:vAlign w:val="bottom"/>
            <w:hideMark/>
          </w:tcPr>
          <w:p w14:paraId="5939932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49.09</w:t>
            </w:r>
          </w:p>
        </w:tc>
        <w:tc>
          <w:tcPr>
            <w:tcW w:w="498" w:type="pct"/>
            <w:tcBorders>
              <w:top w:val="nil"/>
              <w:left w:val="nil"/>
              <w:bottom w:val="single" w:sz="4" w:space="0" w:color="auto"/>
              <w:right w:val="single" w:sz="4" w:space="0" w:color="auto"/>
            </w:tcBorders>
            <w:shd w:val="clear" w:color="auto" w:fill="auto"/>
            <w:noWrap/>
            <w:vAlign w:val="bottom"/>
            <w:hideMark/>
          </w:tcPr>
          <w:p w14:paraId="10CFE06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1E03B4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2C45C22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2A5F43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6396303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Miranda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{"citationItems":[{"id":"ITEM-1","itemData":{"abstract":"OBJECTIVES: To assess differences in cardiovascular risk profiles among rural-to-urban migrants and non-migrant groups., METHODS: Cross-sectional study in Ayacucho and Lima, Peru. Participants were: rural (n=201); rural-to-urban migrants (n=589); and urban (n=199). Cardiovascular risk factors were assessed according to migrant status (migrants vs non-migrants), age at first migration, length of residency in an urban area and lifetime exposure to an urban area., RESULTS: For most risk factors, the migrant group had intermediate levels of risk between those observed for the rural and urban groups. Prevalence for rural, migrant and urban groups was 3%, 20% and 33%, respectively, for obesity, and 0.8%, 3% and 6% for type-2 diabetes. This gradient of risk was not observed uniformly across all risk factors. Blood pressure did not show a clear gradient of difference between groups. The migrant group had similar systolic blood pressure but lower diastolic blood pressure than the rural group. The urban group had higher systolic blood pressure but similar diastolic blood pressure than rural group. Hypertension was more prevalent among the urban (29%) than both the rural and migrant groups (11% and 16%, respectively). For HbA(1c), although the urban group had higher levels, the migrant and rural groups were similar to each other. No differences were observed in triglycerides between the three groups. Within migrants, those who migrated when aged older than 12 years had higher odds of diabetes, impaired fasting glucose and metabolic syndrome compared to people who migrated at younger ages. Adjustment for age, sex and socioeconomic indicators had little impact on the patterns observed., CONCLUSIONS: The impact of rural-to-urban migration on cardiovascular risk profile is not uniform across different risk factors, and is further influenced by the age at which migration occurs. A gradient in levels was observed for some risk factors across study groups. This observation indicates that urbanisation is indeed detrimental to cardiovascular health.","author":[{"dropping-particle":"","family":"Jaime","given":"Miranda J","non-dropping-particle":"","parse-names":false,"suffix":""},{"dropping-particle":"","family":"Gilman","given":"Robert H","non-dropping-particle":"","parse-names":false,"suffix":""},{"dropping-particle":"","family":"Smeeth","given":"Liam","non-dropping-particle":"","parse-names":false,"suffix":""}],"container-title":"Heart (British Cardiac Society)","id":"ITEM-1","issue":"10","issued":{"date-parts":[["2011"]]},"page":"787-796","title":"Differences in cardiovascular risk factors in rural, urban and rural-to-urban migrants in Peru","type":"article-journal","volume":"97"},"uris":["http://www.mendeley.com/documents/?uuid=c7f4185b-1a27-48ca-abf7-c6e64235bd39"]}],"mendeley":{"formattedCitation":"&lt;sup&gt;156&lt;/sup&gt;","plainTextFormattedCitation":"156","previouslyFormattedCitation":"&lt;sup&gt;156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156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3C509E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0919747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48" w:type="pct"/>
            <w:tcBorders>
              <w:top w:val="nil"/>
              <w:left w:val="nil"/>
              <w:bottom w:val="single" w:sz="4" w:space="0" w:color="auto"/>
              <w:right w:val="single" w:sz="4" w:space="0" w:color="auto"/>
            </w:tcBorders>
            <w:shd w:val="clear" w:color="auto" w:fill="auto"/>
            <w:noWrap/>
            <w:vAlign w:val="bottom"/>
            <w:hideMark/>
          </w:tcPr>
          <w:p w14:paraId="30954CF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1176</w:t>
            </w:r>
          </w:p>
        </w:tc>
        <w:tc>
          <w:tcPr>
            <w:tcW w:w="399" w:type="pct"/>
            <w:tcBorders>
              <w:top w:val="nil"/>
              <w:left w:val="nil"/>
              <w:bottom w:val="single" w:sz="4" w:space="0" w:color="auto"/>
              <w:right w:val="single" w:sz="4" w:space="0" w:color="auto"/>
            </w:tcBorders>
            <w:shd w:val="clear" w:color="auto" w:fill="auto"/>
            <w:noWrap/>
            <w:vAlign w:val="bottom"/>
            <w:hideMark/>
          </w:tcPr>
          <w:p w14:paraId="6AB5D2B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47.2</w:t>
            </w:r>
          </w:p>
        </w:tc>
        <w:tc>
          <w:tcPr>
            <w:tcW w:w="449" w:type="pct"/>
            <w:tcBorders>
              <w:top w:val="nil"/>
              <w:left w:val="nil"/>
              <w:bottom w:val="single" w:sz="4" w:space="0" w:color="auto"/>
              <w:right w:val="single" w:sz="4" w:space="0" w:color="auto"/>
            </w:tcBorders>
            <w:shd w:val="clear" w:color="auto" w:fill="auto"/>
            <w:noWrap/>
            <w:vAlign w:val="bottom"/>
            <w:hideMark/>
          </w:tcPr>
          <w:p w14:paraId="5C6127B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w:t>
            </w:r>
          </w:p>
        </w:tc>
        <w:tc>
          <w:tcPr>
            <w:tcW w:w="498" w:type="pct"/>
            <w:tcBorders>
              <w:top w:val="nil"/>
              <w:left w:val="nil"/>
              <w:bottom w:val="single" w:sz="4" w:space="0" w:color="auto"/>
              <w:right w:val="single" w:sz="4" w:space="0" w:color="auto"/>
            </w:tcBorders>
            <w:shd w:val="clear" w:color="auto" w:fill="auto"/>
            <w:noWrap/>
            <w:vAlign w:val="bottom"/>
            <w:hideMark/>
          </w:tcPr>
          <w:p w14:paraId="163DA00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52FF7E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6D8E06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B35B08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25C1EF88"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Malaga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{"citationItems":[{"id":"ITEM-1","itemData":{"ISSN":"1726-4642","PMID":"21308195","abstract":"We performed a cross sectional study in Lari (3600 m), a highland rural community from Arequipa, Peru. We evaluated a body mass index (BMI), glycemia and lipid profile in 74 over 18 year persons. The mean age was 51.7 18.0 years, 62.2% were women, mean of BMI was 25.6 3.7. Prevalence of hypercholesterolemia was 40.6%, \"low HDL\" in 77% of the population (93.5% in women vs 50% in men, p &lt;0.001) and elevated level of LDL was 71.7%. The prevalence of impaired fasting glycemia was 27%. In conclusion, we found high prevalence of impaired fasting glycemia, hypercholesterolemia and especially \"low HDL\" in high altitude rural natives. These findings must be considered to realize interventions in high altitude populations to avoid future cardiovascular complications.","author":[{"dropping-particle":"","family":"Málaga","given":"Germán","non-dropping-particle":"","parse-names":false,"suffix":""},{"dropping-particle":"","family":"Zevallos-Palacios","given":"Claudia","non-dropping-particle":"","parse-names":false,"suffix":""},{"dropping-particle":"","family":"Lazo","given":"María de los Ángeles","non-dropping-particle":"","parse-names":false,"suffix":""},{"dropping-particle":"","family":"Huayanay","given":"Carlos","non-dropping-particle":"","parse-names":false,"suffix":""}],"container-title":"Revista peruana de medicina experimental y salud pública","id":"ITEM-1","issue":"4","issued":{"date-parts":[["2010"]]},"page":"557-561","title":"High frequency of dyslipidemia and impaired fasting glycemia in a high altitude Peruvian population","type":"article-journal","volume":"27"},"uris":["http://www.mendeley.com/documents/?uuid=5a63cdbd-77de-3cb5-862a-8bdea7368305"]}],"mendeley":{"formattedCitation":"&lt;sup&gt;157&lt;/sup&gt;","plainTextFormattedCitation":"157","previouslyFormattedCitation":"&lt;sup&gt;157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157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1C0EE8A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02FF597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48" w:type="pct"/>
            <w:tcBorders>
              <w:top w:val="nil"/>
              <w:left w:val="nil"/>
              <w:bottom w:val="single" w:sz="4" w:space="0" w:color="auto"/>
              <w:right w:val="single" w:sz="4" w:space="0" w:color="auto"/>
            </w:tcBorders>
            <w:shd w:val="clear" w:color="auto" w:fill="auto"/>
            <w:noWrap/>
            <w:vAlign w:val="bottom"/>
            <w:hideMark/>
          </w:tcPr>
          <w:p w14:paraId="19189A3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74</w:t>
            </w:r>
          </w:p>
        </w:tc>
        <w:tc>
          <w:tcPr>
            <w:tcW w:w="399" w:type="pct"/>
            <w:tcBorders>
              <w:top w:val="nil"/>
              <w:left w:val="nil"/>
              <w:bottom w:val="single" w:sz="4" w:space="0" w:color="auto"/>
              <w:right w:val="single" w:sz="4" w:space="0" w:color="auto"/>
            </w:tcBorders>
            <w:shd w:val="clear" w:color="auto" w:fill="auto"/>
            <w:noWrap/>
            <w:vAlign w:val="bottom"/>
            <w:hideMark/>
          </w:tcPr>
          <w:p w14:paraId="5FE1750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37.8</w:t>
            </w:r>
          </w:p>
        </w:tc>
        <w:tc>
          <w:tcPr>
            <w:tcW w:w="449" w:type="pct"/>
            <w:tcBorders>
              <w:top w:val="nil"/>
              <w:left w:val="nil"/>
              <w:bottom w:val="single" w:sz="4" w:space="0" w:color="auto"/>
              <w:right w:val="single" w:sz="4" w:space="0" w:color="auto"/>
            </w:tcBorders>
            <w:shd w:val="clear" w:color="auto" w:fill="auto"/>
            <w:noWrap/>
            <w:vAlign w:val="bottom"/>
            <w:hideMark/>
          </w:tcPr>
          <w:p w14:paraId="67540CE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51.7</w:t>
            </w:r>
          </w:p>
        </w:tc>
        <w:tc>
          <w:tcPr>
            <w:tcW w:w="498" w:type="pct"/>
            <w:tcBorders>
              <w:top w:val="nil"/>
              <w:left w:val="nil"/>
              <w:bottom w:val="single" w:sz="4" w:space="0" w:color="auto"/>
              <w:right w:val="single" w:sz="4" w:space="0" w:color="auto"/>
            </w:tcBorders>
            <w:shd w:val="clear" w:color="auto" w:fill="auto"/>
            <w:noWrap/>
            <w:vAlign w:val="bottom"/>
            <w:hideMark/>
          </w:tcPr>
          <w:p w14:paraId="1E7FAE9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359CB4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787F6B5"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92689D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2681F71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Gaziano</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{"citationItems":[{"id":"ITEM-1","itemData":{"ISSN":"2211-8160","abstract":"BACKGROUND: Cost-effective primary prevention of cardiovascular disease (CVD) in low- and middle-income countries requires accurate risk assessment. Laboratory-based risk tools currently used in high-income countries are relatively expensive and impractical in many settings due to lack of facilities., OBJECTIVES: This study sought to assess the correlation between a non-laboratory-based risk tool and 4 commonly used, laboratory-based risk scores in 7 countries representing nearly one-half of the world's population., METHODS: We calculated 10-year CVD risk scores for 47,466 persons with cross-sectional data collected from 16 different cohorts in 9 countries. The performance of the non-laboratory-based risk score was compared with 4 laboratory-based risk scores: Pooled Cohort Risk Equations (ASCVD [Atherosclerotic Cardiovascular Disease]), Framingham, and SCORE (Systematic Coronary Risk Evaluation) for high- and low-risk countries. Rankings of each score were compared using Spearman rank correlations. Based on these correlations, we measured concordance between individual absolute CVD risk as measured by the Harvard NHANES (National Health and Nutrition Examination Survey) risk score, and the 4 laboratory-based risk scores, using both the conventional Framingham risk thresholds of &gt;20% and the recent ASCVD guideline threshold of &gt;7.5%., RESULTS: The aggregate Spearman rank correlations between the non-laboratory-based risk score and the laboratory-based scores ranged from 0.915 to 0.979 for women and from 0.923 to 0.970 for men. When applying the conventional Framingham risk threshold of &gt;20% over 10 years, 92.7% to 96.0% of women and 88.3% to 92.8% of men were equivalently characterized as \"high\" or \"low\" risk. Applying the recent ASCVD guidelines risk threshold of &gt;7.5% resulted in risk characterization agreement for women ranging from 88.1% to 94.4% and from 89.0% to 93.7% for men., CONCLUSIONS: The correlation between non-laboratory-based and laboratory-based risk scores is very high for both men and women. Potentially large numbers of high-risk individuals could be detected with relatively simple tools.Copyright © 2016 World Heart Federation (Geneva). Published by Elsevier B.V. All rights reserved.","author":[{"dropping-particle":"","family":"Gaziano","given":"Thomas A","non-dropping-particle":"","parse-names":false,"suffix":""},{"dropping-particle":"","family":"Abrahams-Gessel","given":"Shafika","non-dropping-particle":"","parse-names":false,"suffix":""},{"dropping-particle":"","family":"Alam","given":"Sartaj","non-dropping-particle":"","parse-names":false,"suffix":""},{"dropping-particle":"","family":"Alam","given":"Dewan","non-dropping-particle":"","parse-names":false,"suffix":""},{"dropping-particle":"","family":"Ali","given":"Mohammed","non-dropping-particle":"","parse-names":false,"suffix":""},{"dropping-particle":"","family":"Bloomfield","given":"Gerald","non-dropping-particle":"","parse-names":false,"suffix":""},{"dropping-particle":"","family":"Carrillo-Larco","given":"Rodrigo M","non-dropping-particle":"","parse-names":false,"suffix":""},{"dropping-particle":"","family":"Dorairaj","given":"Prabhakaran","non-dropping-particle":"","parse-names":false,"suffix":""},{"dropping-particle":"","family":"Gutierrez","given":"Laura","non-dropping-particle":"","parse-names":false,"suffix":""},{"dropping-particle":"","family":"Irazola","given":"Vilma","non-dropping-particle":"","parse-names":false,"suffix":""},{"dropping-particle":"","family":"Levitt","given":"Naomi S","non-dropping-particle":"","parse-names":false,"suffix":""},{"dropping-particle":"","family":"a","given":"J Jaime","non-dropping-particle":"","parse-names":false,"suffix":""},{"dropping-particle":"","family":"Bernabe-Ortiz","given":"Antonio","non-dropping-particle":"","parse-names":false,"suffix":""},{"dropping-particle":"","family":"ya","given":"Ankur","non-dropping-particle":"","parse-names":false,"suffix":""},{"dropping-particle":"","family":"Rubinstein","given":"Adolfo","non-dropping-particle":"","parse-names":false,"suffix":""},{"dropping-particle":"","family":"Steyn","given":"Krisela","non-dropping-particle":"","parse-names":false,"suffix":""},{"dropping-particle":"","family":"Xavier","given":"Denis","non-dropping-particle":"","parse-names":false,"suffix":""},{"dropping-particle":"","family":"Yan","given":"Lijing L","non-dropping-particle":"","parse-names":false,"suffix":""}],"container-title":"Global heart","id":"ITEM-1","issue":"1","issued":{"date-parts":[["2016"]]},"page":"37-46.e2","title":"Comparison of Nonblood-Based and Blood-Based Total CV Risk Scores in Global Populations","type":"article-journal","volume":"11"},"uris":["http://www.mendeley.com/documents/?uuid=fed471b8-1003-43b0-a8ee-87d3b1688322"]}],"mendeley":{"formattedCitation":"&lt;sup&gt;158&lt;/sup&gt;","plainTextFormattedCitation":"158","previouslyFormattedCitation":"&lt;sup&gt;158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158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2EFD60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25F2099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48" w:type="pct"/>
            <w:tcBorders>
              <w:top w:val="nil"/>
              <w:left w:val="nil"/>
              <w:bottom w:val="single" w:sz="4" w:space="0" w:color="auto"/>
              <w:right w:val="single" w:sz="4" w:space="0" w:color="auto"/>
            </w:tcBorders>
            <w:shd w:val="clear" w:color="auto" w:fill="auto"/>
            <w:noWrap/>
            <w:vAlign w:val="bottom"/>
            <w:hideMark/>
          </w:tcPr>
          <w:p w14:paraId="5166607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3601</w:t>
            </w:r>
          </w:p>
        </w:tc>
        <w:tc>
          <w:tcPr>
            <w:tcW w:w="399" w:type="pct"/>
            <w:tcBorders>
              <w:top w:val="nil"/>
              <w:left w:val="nil"/>
              <w:bottom w:val="single" w:sz="4" w:space="0" w:color="auto"/>
              <w:right w:val="single" w:sz="4" w:space="0" w:color="auto"/>
            </w:tcBorders>
            <w:shd w:val="clear" w:color="auto" w:fill="auto"/>
            <w:noWrap/>
            <w:vAlign w:val="bottom"/>
            <w:hideMark/>
          </w:tcPr>
          <w:p w14:paraId="5F8F65B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48.7</w:t>
            </w:r>
          </w:p>
        </w:tc>
        <w:tc>
          <w:tcPr>
            <w:tcW w:w="449" w:type="pct"/>
            <w:tcBorders>
              <w:top w:val="nil"/>
              <w:left w:val="nil"/>
              <w:bottom w:val="single" w:sz="4" w:space="0" w:color="auto"/>
              <w:right w:val="single" w:sz="4" w:space="0" w:color="auto"/>
            </w:tcBorders>
            <w:shd w:val="clear" w:color="auto" w:fill="auto"/>
            <w:noWrap/>
            <w:vAlign w:val="bottom"/>
            <w:hideMark/>
          </w:tcPr>
          <w:p w14:paraId="1B3DBE9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53.4</w:t>
            </w:r>
          </w:p>
        </w:tc>
        <w:tc>
          <w:tcPr>
            <w:tcW w:w="498" w:type="pct"/>
            <w:tcBorders>
              <w:top w:val="nil"/>
              <w:left w:val="nil"/>
              <w:bottom w:val="single" w:sz="4" w:space="0" w:color="auto"/>
              <w:right w:val="single" w:sz="4" w:space="0" w:color="auto"/>
            </w:tcBorders>
            <w:shd w:val="clear" w:color="auto" w:fill="auto"/>
            <w:noWrap/>
            <w:vAlign w:val="bottom"/>
            <w:hideMark/>
          </w:tcPr>
          <w:p w14:paraId="2AC5D85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030A270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B36FFE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6105C5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6CB262B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Gonzales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{"citationItems":[{"id":"ITEM-1","itemData":{"ISSN":"1579-2021 1575-0922","abstract":"BACKGROUND AND OBJECTIVES: At a same altitude, people with greater hypoxemia would have higher hemoglobin (Hb) levels than less hypoxemic patients. It is not known whether higher hypoxemia levels (as measured by higher Hb values) affect basal glucose and lipid profile at an altitude of 4,100mg (Carhuamayo and Junln)., MATERIALS AND METHODS: Glucose, lipid, and hemoglobin levels and body mass index (BMI) were assessed in 158 males and 348 females aged 35 to 75 years. Association of lipid and glucose levels with systolic and diastolic blood pressure (SBP and DBP) was also assessed. Results were analyzed using Student's t test, Chi-square test, analysis of variance, correlations, and linear multivariate analyses adjusted for age, sex, BMI, smoking, and education., RESULTS: Higher hemoglobin levels were directly associated to higher levels of total cholesterol (P&lt;0.001), low density lipoprotein cholesterol (P&lt;0.002), non-high density lipoprotein cholesterol (non-HDL) (P&lt;0.01), and triglycerides (P&lt;0.01). No association was found between hemoglobin and glucose (P&gt;0.05). Levels of total cholesterol, high density lipoprotein cholesterol, triglycerides, low density lipoprotein cholesterol, and blood glucose were directly associated to DBP., CONCLUSIONS: In people living at high altitude (4100m), the non-HDL cholesterol fraction and triglycerides are directly associated to hemoglobin value, and increases in them are in turn associated to higher DBP.Copyright © 2012 SEEN. Published by Elsevier Espana. All rights reserved.","author":[{"dropping-particle":"","family":"Gonzales","given":"Gustavo F","non-dropping-particle":"","parse-names":false,"suffix":""},{"dropping-particle":"","family":"Tapia","given":"Vilma","non-dropping-particle":"","parse-names":false,"suffix":""}],"container-title":"Asociacion de los diferentes niveles de hipoxemia en la altura con el perfil lipidico y la glucemia en varones y mujeres a 4.100m de altitud en los Andes Centrales del Peru","id":"ITEM-1","issue":"2","issued":{"date-parts":[["2013"]]},"page":"79-86","title":"[Association of high altitude-induced hypoxemia to lipid profile and glycemia in men and women living at 4,100m in the Peruvian Central Andes]","type":"article-journal","volume":"60"},"uris":["http://www.mendeley.com/documents/?uuid=1e70adee-523a-42a3-aae9-11cdec7a5cf2"]}],"mendeley":{"formattedCitation":"&lt;sup&gt;159&lt;/sup&gt;","plainTextFormattedCitation":"159","previouslyFormattedCitation":"&lt;sup&gt;159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159</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 xml:space="preserve"> </w:t>
            </w:r>
          </w:p>
        </w:tc>
        <w:tc>
          <w:tcPr>
            <w:tcW w:w="648" w:type="pct"/>
            <w:tcBorders>
              <w:top w:val="nil"/>
              <w:left w:val="nil"/>
              <w:bottom w:val="single" w:sz="4" w:space="0" w:color="auto"/>
              <w:right w:val="single" w:sz="4" w:space="0" w:color="auto"/>
            </w:tcBorders>
            <w:shd w:val="clear" w:color="auto" w:fill="auto"/>
            <w:noWrap/>
            <w:vAlign w:val="bottom"/>
            <w:hideMark/>
          </w:tcPr>
          <w:p w14:paraId="128312A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496E6AD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48" w:type="pct"/>
            <w:tcBorders>
              <w:top w:val="nil"/>
              <w:left w:val="nil"/>
              <w:bottom w:val="single" w:sz="4" w:space="0" w:color="auto"/>
              <w:right w:val="single" w:sz="4" w:space="0" w:color="auto"/>
            </w:tcBorders>
            <w:shd w:val="clear" w:color="auto" w:fill="auto"/>
            <w:noWrap/>
            <w:vAlign w:val="bottom"/>
            <w:hideMark/>
          </w:tcPr>
          <w:p w14:paraId="2C06082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506</w:t>
            </w:r>
          </w:p>
        </w:tc>
        <w:tc>
          <w:tcPr>
            <w:tcW w:w="399" w:type="pct"/>
            <w:tcBorders>
              <w:top w:val="nil"/>
              <w:left w:val="nil"/>
              <w:bottom w:val="single" w:sz="4" w:space="0" w:color="auto"/>
              <w:right w:val="single" w:sz="4" w:space="0" w:color="auto"/>
            </w:tcBorders>
            <w:shd w:val="clear" w:color="auto" w:fill="auto"/>
            <w:noWrap/>
            <w:vAlign w:val="bottom"/>
            <w:hideMark/>
          </w:tcPr>
          <w:p w14:paraId="7E73D3F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31.23</w:t>
            </w:r>
          </w:p>
        </w:tc>
        <w:tc>
          <w:tcPr>
            <w:tcW w:w="449" w:type="pct"/>
            <w:tcBorders>
              <w:top w:val="nil"/>
              <w:left w:val="nil"/>
              <w:bottom w:val="single" w:sz="4" w:space="0" w:color="auto"/>
              <w:right w:val="single" w:sz="4" w:space="0" w:color="auto"/>
            </w:tcBorders>
            <w:shd w:val="clear" w:color="auto" w:fill="auto"/>
            <w:noWrap/>
            <w:vAlign w:val="bottom"/>
            <w:hideMark/>
          </w:tcPr>
          <w:p w14:paraId="3C98EC4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51.81</w:t>
            </w:r>
          </w:p>
        </w:tc>
        <w:tc>
          <w:tcPr>
            <w:tcW w:w="498" w:type="pct"/>
            <w:tcBorders>
              <w:top w:val="nil"/>
              <w:left w:val="nil"/>
              <w:bottom w:val="single" w:sz="4" w:space="0" w:color="auto"/>
              <w:right w:val="single" w:sz="4" w:space="0" w:color="auto"/>
            </w:tcBorders>
            <w:shd w:val="clear" w:color="auto" w:fill="auto"/>
            <w:noWrap/>
            <w:vAlign w:val="bottom"/>
            <w:hideMark/>
          </w:tcPr>
          <w:p w14:paraId="51AE19D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F214A9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8B4D83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8054A7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Peru</w:t>
            </w:r>
          </w:p>
        </w:tc>
        <w:tc>
          <w:tcPr>
            <w:tcW w:w="1053" w:type="pct"/>
            <w:tcBorders>
              <w:top w:val="nil"/>
              <w:left w:val="nil"/>
              <w:bottom w:val="single" w:sz="4" w:space="0" w:color="auto"/>
              <w:right w:val="single" w:sz="4" w:space="0" w:color="auto"/>
            </w:tcBorders>
            <w:shd w:val="clear" w:color="auto" w:fill="auto"/>
            <w:noWrap/>
            <w:vAlign w:val="bottom"/>
            <w:hideMark/>
          </w:tcPr>
          <w:p w14:paraId="2E05A9FE"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Cardenas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{"citationItems":[{"id":"ITEM-1","itemData":{"DOI":"10.1590/s1135-57272009000200009","abstract":"Background: Cardiovascular diseases are the leading causes of mortality in Peruvian population. Metabolic syndrome contributes to this problem. This study aims to determine the prevalence metabolic syndrome (MS) in Peruvian adults. Methods: 4053 representative Peruvian adults were evaluated, 2037 women and 2016 men older than 20 years old. Data from socioeconomically issues, clinical and laboratory exam were registered. Blood samples for biochemical analysis were taken from fasted subjects. The economical conditions of subjects were characterized by the unmet basic needs (UBN) method. Worldwide definition from the International diabetes federation (IDF) was considered to determine MS. Results: The components of the MS on evaluated population was: 65.6% of abdominal obesity, 54.2% of decreased C-HDL, 30% of elevated triglycerides, 19.1% of arterial hypertension and 8% of hyperglycemias. Women show higher prevalence of abdominal obesity (81%, IC95%:77.6-85.3) compared with men (48.5%, IC95%: 44.5-52.5). The prevalence of MS was 25.8%, being 34.3% in women which is higher (p&lt;0.05). than 16.6% in men. Conclusion: Abdominal obesity was more prevalent on Peruvian population. The risk of MS on Peruvian population increases gradually with age and decreases while poverty is accentuated.","author":[{"dropping-particle":"","family":"Quintana","given":"Haydeé Cárdenas","non-dropping-particle":"","parse-names":false,"suffix":""},{"dropping-particle":"","family":"Abanto","given":"José Sánchez","non-dropping-particle":"","parse-names":false,"suffix":""},{"dropping-particle":"","family":"Arbieto","given":"Luís Roldán","non-dropping-particle":"","parse-names":false,"suffix":""},{"dropping-particle":"","family":"Tasayco","given":"Felipe Mendoza","non-dropping-particle":"","parse-names":false,"suffix":""}],"container-title":"Revista Espanola de Salud Publica","id":"ITEM-1","issue":"2","issued":{"date-parts":[["2009"]]},"page":"257-265","title":"Prevalencia del síndrome metabólico en personas a partir de 20 años de edad. Perú, 2005","type":"article-journal","volume":"83"},"uris":["http://www.mendeley.com/documents/?uuid=0ef0fb7d-b32b-419b-aee7-7dd088c0bd8c"]}],"mendeley":{"formattedCitation":"&lt;sup&gt;160&lt;/sup&gt;","plainTextFormattedCitation":"160","previouslyFormattedCitation":"&lt;sup&gt;160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160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A57400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98" w:type="pct"/>
            <w:tcBorders>
              <w:top w:val="nil"/>
              <w:left w:val="nil"/>
              <w:bottom w:val="single" w:sz="4" w:space="0" w:color="auto"/>
              <w:right w:val="single" w:sz="4" w:space="0" w:color="auto"/>
            </w:tcBorders>
            <w:shd w:val="clear" w:color="auto" w:fill="auto"/>
            <w:noWrap/>
            <w:vAlign w:val="bottom"/>
            <w:hideMark/>
          </w:tcPr>
          <w:p w14:paraId="7041173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48" w:type="pct"/>
            <w:tcBorders>
              <w:top w:val="nil"/>
              <w:left w:val="nil"/>
              <w:bottom w:val="single" w:sz="4" w:space="0" w:color="auto"/>
              <w:right w:val="single" w:sz="4" w:space="0" w:color="auto"/>
            </w:tcBorders>
            <w:shd w:val="clear" w:color="auto" w:fill="auto"/>
            <w:noWrap/>
            <w:vAlign w:val="bottom"/>
            <w:hideMark/>
          </w:tcPr>
          <w:p w14:paraId="0C23EFA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4053</w:t>
            </w:r>
          </w:p>
        </w:tc>
        <w:tc>
          <w:tcPr>
            <w:tcW w:w="399" w:type="pct"/>
            <w:tcBorders>
              <w:top w:val="nil"/>
              <w:left w:val="nil"/>
              <w:bottom w:val="single" w:sz="4" w:space="0" w:color="auto"/>
              <w:right w:val="single" w:sz="4" w:space="0" w:color="auto"/>
            </w:tcBorders>
            <w:shd w:val="clear" w:color="auto" w:fill="auto"/>
            <w:noWrap/>
            <w:vAlign w:val="bottom"/>
            <w:hideMark/>
          </w:tcPr>
          <w:p w14:paraId="59AC766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49.74</w:t>
            </w:r>
          </w:p>
        </w:tc>
        <w:tc>
          <w:tcPr>
            <w:tcW w:w="449" w:type="pct"/>
            <w:tcBorders>
              <w:top w:val="nil"/>
              <w:left w:val="nil"/>
              <w:bottom w:val="single" w:sz="4" w:space="0" w:color="auto"/>
              <w:right w:val="single" w:sz="4" w:space="0" w:color="auto"/>
            </w:tcBorders>
            <w:shd w:val="clear" w:color="auto" w:fill="auto"/>
            <w:noWrap/>
            <w:vAlign w:val="bottom"/>
            <w:hideMark/>
          </w:tcPr>
          <w:p w14:paraId="4847773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8B4F6A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5167730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7FAD99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CD8904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Puerto Rico</w:t>
            </w:r>
          </w:p>
        </w:tc>
        <w:tc>
          <w:tcPr>
            <w:tcW w:w="1053" w:type="pct"/>
            <w:tcBorders>
              <w:top w:val="nil"/>
              <w:left w:val="nil"/>
              <w:bottom w:val="single" w:sz="4" w:space="0" w:color="auto"/>
              <w:right w:val="single" w:sz="4" w:space="0" w:color="auto"/>
            </w:tcBorders>
            <w:shd w:val="clear" w:color="auto" w:fill="auto"/>
            <w:noWrap/>
            <w:vAlign w:val="bottom"/>
            <w:hideMark/>
          </w:tcPr>
          <w:p w14:paraId="3B24A247"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Garcia Palmieri</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{"citationItems":[{"id":"ITEM-1","itemData":{"abstract":"Serum cholesterol, serum glyceride, blood glucose, relative weight, physical activity, percent calories from fat, percent calories from carbohydrate, and polyunsaturated/saturated fatty acid (P/S) ratio were determined in 1780 rural and 4023 urban fasting men aged 45-64 years being followed prospectively to ascertain reasons for the low prevalence of coronary heart disease mortality in Puerto Rico as compared to other countries. Lipid and glucose levels and relative weight were higher and physical activity lower in urban men. Glyceride was positively correlated with cholesterol, glucose, and relative weight, and negatively correlated with physical activity. Cholesterol was positively correlated with glyceride, glucose, and relative weight, and not correlated with physical activity. Percent calories from fat and P/S ratio were significantly higher and percent carbohydrates from starch significantly lower in urban men. These variables taken together were not significant in predicting the differences between urban and rural serum cholesterol or glyceride values. Relative weight was the most significant variable in explaining urban rural differences in serum glyceride and cholesterol levels. These findings confirm the importance of weight control in dietary management for reduction of serum lipids.","author":[{"dropping-particle":"","family":"Garcia Palmieri","given":"M","non-dropping-particle":"","parse-names":false,"suffix":""},{"dropping-particle":"","family":"Costas Jr","given":"R","non-dropping-particle":"","parse-names":false,"suffix":""},{"dropping-particle":"","family":"Schiffman","given":"J","non-dropping-particle":"","parse-names":false,"suffix":""}],"container-title":"Circulation","id":"ITEM-1","issue":"4","issued":{"date-parts":[["1972"]]},"page":"829-836","publisher-place":"M. Garcia Palmieri, Dept. Med., Univ. Puerto Rico, San Juan, 00905, Puerto Rico","title":"Interrelationship of serum lipids with relative weight, blood glucose, and physical activity","type":"article-journal","volume":"45"},"uris":["http://www.mendeley.com/documents/?uuid=ee83ba0c-8bc4-456d-8c88-aed0dfe25e6c"]}],"mendeley":{"formattedCitation":"&lt;sup&gt;161&lt;/sup&gt;","plainTextFormattedCitation":"161","previouslyFormattedCitation":"&lt;sup&gt;161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161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772628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1972</w:t>
            </w:r>
          </w:p>
        </w:tc>
        <w:tc>
          <w:tcPr>
            <w:tcW w:w="598" w:type="pct"/>
            <w:tcBorders>
              <w:top w:val="nil"/>
              <w:left w:val="nil"/>
              <w:bottom w:val="single" w:sz="4" w:space="0" w:color="auto"/>
              <w:right w:val="single" w:sz="4" w:space="0" w:color="auto"/>
            </w:tcBorders>
            <w:shd w:val="clear" w:color="auto" w:fill="auto"/>
            <w:noWrap/>
            <w:vAlign w:val="bottom"/>
            <w:hideMark/>
          </w:tcPr>
          <w:p w14:paraId="4A3980C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1B0DEF3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5803</w:t>
            </w:r>
          </w:p>
        </w:tc>
        <w:tc>
          <w:tcPr>
            <w:tcW w:w="399" w:type="pct"/>
            <w:tcBorders>
              <w:top w:val="nil"/>
              <w:left w:val="nil"/>
              <w:bottom w:val="single" w:sz="4" w:space="0" w:color="auto"/>
              <w:right w:val="single" w:sz="4" w:space="0" w:color="auto"/>
            </w:tcBorders>
            <w:shd w:val="clear" w:color="auto" w:fill="auto"/>
            <w:noWrap/>
            <w:vAlign w:val="bottom"/>
            <w:hideMark/>
          </w:tcPr>
          <w:p w14:paraId="009EEF2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100</w:t>
            </w:r>
          </w:p>
        </w:tc>
        <w:tc>
          <w:tcPr>
            <w:tcW w:w="449" w:type="pct"/>
            <w:tcBorders>
              <w:top w:val="nil"/>
              <w:left w:val="nil"/>
              <w:bottom w:val="single" w:sz="4" w:space="0" w:color="auto"/>
              <w:right w:val="single" w:sz="4" w:space="0" w:color="auto"/>
            </w:tcBorders>
            <w:shd w:val="clear" w:color="auto" w:fill="auto"/>
            <w:noWrap/>
            <w:vAlign w:val="bottom"/>
            <w:hideMark/>
          </w:tcPr>
          <w:p w14:paraId="6C4A047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6E99F36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231C1914"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1824E7E"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D79B6E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Puerto Rico</w:t>
            </w:r>
          </w:p>
        </w:tc>
        <w:tc>
          <w:tcPr>
            <w:tcW w:w="1053" w:type="pct"/>
            <w:tcBorders>
              <w:top w:val="nil"/>
              <w:left w:val="nil"/>
              <w:bottom w:val="single" w:sz="4" w:space="0" w:color="auto"/>
              <w:right w:val="single" w:sz="4" w:space="0" w:color="auto"/>
            </w:tcBorders>
            <w:shd w:val="clear" w:color="auto" w:fill="auto"/>
            <w:noWrap/>
            <w:vAlign w:val="bottom"/>
            <w:hideMark/>
          </w:tcPr>
          <w:p w14:paraId="016B1909"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Perez</w:t>
            </w:r>
            <w:r w:rsidRPr="009E0769">
              <w:rPr>
                <w:rFonts w:ascii="Arial" w:eastAsia="Times New Roman" w:hAnsi="Arial" w:cs="Arial"/>
                <w:color w:val="000000"/>
                <w:sz w:val="16"/>
                <w:szCs w:val="16"/>
                <w:lang w:val="es-PE"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{"citationItems":[{"id":"ITEM-1","itemData":{"ISSN":"0738-0658","abstract":"OBJECTIVE: This study evaluated correlates of the metabolic syndrome among adults living in Puerto Rico, a Hispanic subpopulation disproportionately affected by diabetes., METHODS: A probability cluster design was used to select a sample of households of the San Juan Metropolitan Area in Puerto Rico. A total of 858 persons aged 21-79 years completed a face-to-face interview, blood pressure and anthropometric measurements, blood sampling and spot urine. Logistic regression was employed to assess correlates of the metabolic syndrome., RESULTS: Of 368 (42.9%) of adults who met the criteria for metabolic syndrome, elevated fasting glucose (49.8%), abdominal obesity (48.6%), and reduced HDL cholesterol (45.8%) were the most prevalent diagnostic criteria. In a multivariable logistic model that simultaneously adjusted for sociodemographic characteristics and health behaviors, older age, high school educational attainment or less, no alcohol intake, and lack of moderate-to-vigorous physical activity remained significantly (p &lt; 0.05) associated to the metabolic syndrome. However, the associations for male gender, some college education, and current smoking &gt; or = 20 cigarettes/day had borderline significance. Further controlling for inflammatory markers slightly attenuated the strength of most of these associations but remained significantly (p &lt; 0.05) associated to the metabolic syndrome with only a few exceptions. Middle and upper tertiles of hs-CRP, fibrinogen, and PLl-1 and an elevated albumin-to-creatinine ratio were also associated (p &lt; 0.05) with the metabolic syndrome., CONCLUSION: Enhancing public education regarding modifiable risk factors for the metabolic syndrome and providing optimal medical management of individual metabolic disturbances among those at risk through preventive lifestyle changes should be placed as a public health priority for Puerto Rico.","author":[{"dropping-particle":"","family":"Perez","given":"Cynthia M","non-dropping-particle":"","parse-names":false,"suffix":""},{"dropping-particle":"","family":"Ortiz","given":"Ana P","non-dropping-particle":"","parse-names":false,"suffix":""},{"dropping-particle":"","family":"Guzman","given":"Manuel","non-dropping-particle":"","parse-names":false,"suffix":""},{"dropping-particle":"","family":"Suarez","given":"Erick","non-dropping-particle":"","parse-names":false,"suffix":""}],"container-title":"Puerto Rico health sciences journal","id":"ITEM-1","issue":"3","issued":{"date-parts":[["2012"]]},"page":"114-122","title":"Distribution and correlates of the metabolic syndrome in adults living in the San Juan Metropolitan Area of Puerto Rico","type":"article-journal","volume":"31"},"uris":["http://www.mendeley.com/documents/?uuid=5270b916-2552-43d8-87cf-3726858f78a8"]}],"mendeley":{"formattedCitation":"&lt;sup&gt;162&lt;/sup&gt;","plainTextFormattedCitation":"162","previouslyFormattedCitation":"&lt;sup&gt;162&lt;/sup&gt;"},"properties":{"noteIndex":0},"schema":"https://github.com/citation-style-language/schema/raw/master/csl-citation.json"}</w:instrText>
            </w:r>
            <w:r w:rsidRPr="009E0769">
              <w:rPr>
                <w:rFonts w:ascii="Arial" w:eastAsia="Times New Roman" w:hAnsi="Arial" w:cs="Arial"/>
                <w:color w:val="000000"/>
                <w:sz w:val="16"/>
                <w:szCs w:val="16"/>
                <w:lang w:val="es-PE" w:eastAsia="en-GB"/>
              </w:rPr>
              <w:fldChar w:fldCharType="separate"/>
            </w:r>
            <w:r w:rsidRPr="009E0769">
              <w:rPr>
                <w:rFonts w:ascii="Arial" w:eastAsia="Times New Roman" w:hAnsi="Arial" w:cs="Arial"/>
                <w:noProof/>
                <w:color w:val="000000"/>
                <w:sz w:val="16"/>
                <w:szCs w:val="16"/>
                <w:vertAlign w:val="superscript"/>
                <w:lang w:val="es-PE" w:eastAsia="en-GB"/>
              </w:rPr>
              <w:t>162</w:t>
            </w:r>
            <w:r w:rsidRPr="009E0769">
              <w:rPr>
                <w:rFonts w:ascii="Arial" w:eastAsia="Times New Roman" w:hAnsi="Arial" w:cs="Arial"/>
                <w:color w:val="000000"/>
                <w:sz w:val="16"/>
                <w:szCs w:val="16"/>
                <w:lang w:val="es-PE"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4AC229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98" w:type="pct"/>
            <w:tcBorders>
              <w:top w:val="nil"/>
              <w:left w:val="nil"/>
              <w:bottom w:val="single" w:sz="4" w:space="0" w:color="auto"/>
              <w:right w:val="single" w:sz="4" w:space="0" w:color="auto"/>
            </w:tcBorders>
            <w:shd w:val="clear" w:color="auto" w:fill="auto"/>
            <w:noWrap/>
            <w:vAlign w:val="bottom"/>
            <w:hideMark/>
          </w:tcPr>
          <w:p w14:paraId="5AB70CA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48" w:type="pct"/>
            <w:tcBorders>
              <w:top w:val="nil"/>
              <w:left w:val="nil"/>
              <w:bottom w:val="single" w:sz="4" w:space="0" w:color="auto"/>
              <w:right w:val="single" w:sz="4" w:space="0" w:color="auto"/>
            </w:tcBorders>
            <w:shd w:val="clear" w:color="auto" w:fill="auto"/>
            <w:noWrap/>
            <w:vAlign w:val="bottom"/>
            <w:hideMark/>
          </w:tcPr>
          <w:p w14:paraId="3B6CA72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858</w:t>
            </w:r>
          </w:p>
        </w:tc>
        <w:tc>
          <w:tcPr>
            <w:tcW w:w="399" w:type="pct"/>
            <w:tcBorders>
              <w:top w:val="nil"/>
              <w:left w:val="nil"/>
              <w:bottom w:val="single" w:sz="4" w:space="0" w:color="auto"/>
              <w:right w:val="single" w:sz="4" w:space="0" w:color="auto"/>
            </w:tcBorders>
            <w:shd w:val="clear" w:color="auto" w:fill="auto"/>
            <w:noWrap/>
            <w:vAlign w:val="bottom"/>
            <w:hideMark/>
          </w:tcPr>
          <w:p w14:paraId="52549CB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49.4</w:t>
            </w:r>
          </w:p>
        </w:tc>
        <w:tc>
          <w:tcPr>
            <w:tcW w:w="449" w:type="pct"/>
            <w:tcBorders>
              <w:top w:val="nil"/>
              <w:left w:val="nil"/>
              <w:bottom w:val="single" w:sz="4" w:space="0" w:color="auto"/>
              <w:right w:val="single" w:sz="4" w:space="0" w:color="auto"/>
            </w:tcBorders>
            <w:shd w:val="clear" w:color="auto" w:fill="auto"/>
            <w:noWrap/>
            <w:vAlign w:val="bottom"/>
            <w:hideMark/>
          </w:tcPr>
          <w:p w14:paraId="130DF34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34.4</w:t>
            </w:r>
          </w:p>
        </w:tc>
        <w:tc>
          <w:tcPr>
            <w:tcW w:w="498" w:type="pct"/>
            <w:tcBorders>
              <w:top w:val="nil"/>
              <w:left w:val="nil"/>
              <w:bottom w:val="single" w:sz="4" w:space="0" w:color="auto"/>
              <w:right w:val="single" w:sz="4" w:space="0" w:color="auto"/>
            </w:tcBorders>
            <w:shd w:val="clear" w:color="auto" w:fill="auto"/>
            <w:noWrap/>
            <w:vAlign w:val="bottom"/>
            <w:hideMark/>
          </w:tcPr>
          <w:p w14:paraId="1939AA0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543BB45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36E7D2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F09E5E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Puerto Rico</w:t>
            </w:r>
          </w:p>
        </w:tc>
        <w:tc>
          <w:tcPr>
            <w:tcW w:w="1053" w:type="pct"/>
            <w:tcBorders>
              <w:top w:val="nil"/>
              <w:left w:val="nil"/>
              <w:bottom w:val="single" w:sz="4" w:space="0" w:color="auto"/>
              <w:right w:val="single" w:sz="4" w:space="0" w:color="auto"/>
            </w:tcBorders>
            <w:shd w:val="clear" w:color="auto" w:fill="auto"/>
            <w:noWrap/>
            <w:vAlign w:val="bottom"/>
            <w:hideMark/>
          </w:tcPr>
          <w:p w14:paraId="49C6B11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Salas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Little is known of the epidemiology of diabetes among older people in low and middle income countries. We aimed to study and compare prevalence, social patterning, correlates, detection, treatment and control of diabetes among older people in Latin America, India, China and Nigeria. Methods: Cross-sectional surveys in 13 catchment area sites in nine countries. Diagnosed diabetes was assessed in all sites through self-reported diagnosis. Undiagnosed diabetes was assessed in seven Latin American sites through fasting blood samples (glucose &gt; = 7mmol/L). Results: Total diabetes prevalence in catchment sites in Cuba (prevalence 24.2%, SMR 116), Puerto Rico (43.4%, 197), and urban (27.0%, 125), and rural Mexico (23.7%, 111) already exceeds that in the USA, while that in Venezuela (20.9%, 100) is similar. Diagnosed diabetes prevalence varied very widely, between low prevalences in sites in rural China (0.9%), rural India (6.6%) and Nigeria (6.0%). and 32.1% in Puerto Rico, explained mainly by access to health services. Treatment coverage varied substantially between sites. Diabetes control (40 to 61% of those diagnosed) was modest in the Latin American sites where this was studied. Diabetes was independently associated with less education, but more assets. Hypertension, central obesity and hypertriglyceridaemia, but not hypercholesterolaemia were consistently associated with total diabetes. Conclusions: Diabetes prevalence is already high in most sites. Identifying undiagnosed cases is essential to quantify population burden, particularly in least developed settings where diagnosis is uncommon. Metabolic risk factors and associated lifestyles may play an important part in aetiology, but this requires confirmation with longitudinal data. Given the high prevalence among older people, more population research is indicated to quantify the impact of diabetes, and to monitor the effect of prevention and health system strengthening on prevalence, treatment and control. © 2016 Salas et al. This is an open access article distributed under the terms of the Creative Commons Attribution License, which permits unrestricted use, distribution, and reproduction in any medium, provided the original author and source are credited.","author":[{"dropping-particle":"","family":"Salas","given":"A","non-dropping-particle":"","parse-names":false,"suffix":""},{"dropping-particle":"","family":"Acosta","given":"D","non-dropping-particle":"","parse-names":false,"suffix":""},{"dropping-particle":"","family":"Ferri","given":"C P","non-dropping-particle":"","parse-names":false,"suffix":""},{"dropping-particle":"","family":"Guerra","given":"M","non-dropping-particle":"","parse-names":false,"suffix":""},{"dropping-particle":"","family":"Huang","given":"Y","non-dropping-particle":"","parse-names":false,"suffix":""},{"dropping-particle":"","family":"Jacob","given":"K S","non-dropping-particle":"","parse-names":false,"suffix":""},{"dropping-particle":"","family":"Jimenez-Velazquez","given":"I Z","non-dropping-particle":"","parse-names":false,"suffix":""},{"dropping-particle":"","family":"Llibre Rodriguez","given":"J J","non-dropping-particle":"","parse-names":false,"suffix":""},{"dropping-particle":"","family":"Sosa","given":"A L","non-dropping-particle":"","parse-names":false,"suffix":""},{"dropping-particle":"","family":"Uwakwe","given":"R","non-dropping-particle":"","parse-names":false,"suffix":""},{"dropping-particle":"","family":"Williams","given":"J D","non-dropping-particle":"","parse-names":false,"suffix":""},{"dropping-particle":"","family":"Jotheeswaran","given":"A T","non-dropping-particle":"","parse-names":false,"suffix":""},{"dropping-particle":"","family":"Liu","given":"Z","non-dropping-particle":"","parse-names":false,"suffix":""},{"dropping-particle":"","family":"Lopez Medina","given":"A M","non-dropping-particle":"","parse-names":false,"suffix":""},{"dropping-particle":"","family":"Salinas-Contreras","given":"R M","non-dropping-particle":"","parse-names":false,"suffix":""},{"dropping-particle":"","family":"Prince","given":"M J","non-dropping-particle":"","parse-names":false,"suffix":""}],"container-title":"PLoS ONE","id":"ITEM-1","issue":"2","issued":{"date-parts":[["2016"]]},"title":"The prevalence, correlates, detection and control of diabetes among older people in low and middle income countries. A 10/66 dementia research group population-based survey","type":"article-journal","volume":"11"},"uris":["http://www.mendeley.com/documents/?uuid=96518829-d630-4e18-9544-a9dfb421d147"]}],"mendeley":{"formattedCitation":"&lt;sup&gt;107&lt;/sup&gt;","plainTextFormattedCitation":"107","previouslyFormattedCitation":"&lt;sup&gt;107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68523E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1CBE957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48" w:type="pct"/>
            <w:tcBorders>
              <w:top w:val="nil"/>
              <w:left w:val="nil"/>
              <w:bottom w:val="single" w:sz="4" w:space="0" w:color="auto"/>
              <w:right w:val="single" w:sz="4" w:space="0" w:color="auto"/>
            </w:tcBorders>
            <w:shd w:val="clear" w:color="auto" w:fill="auto"/>
            <w:noWrap/>
            <w:vAlign w:val="bottom"/>
            <w:hideMark/>
          </w:tcPr>
          <w:p w14:paraId="567862C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399" w:type="pct"/>
            <w:tcBorders>
              <w:top w:val="nil"/>
              <w:left w:val="nil"/>
              <w:bottom w:val="single" w:sz="4" w:space="0" w:color="auto"/>
              <w:right w:val="single" w:sz="4" w:space="0" w:color="auto"/>
            </w:tcBorders>
            <w:shd w:val="clear" w:color="auto" w:fill="auto"/>
            <w:noWrap/>
            <w:vAlign w:val="bottom"/>
            <w:hideMark/>
          </w:tcPr>
          <w:p w14:paraId="637130E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32.7</w:t>
            </w:r>
          </w:p>
        </w:tc>
        <w:tc>
          <w:tcPr>
            <w:tcW w:w="449" w:type="pct"/>
            <w:tcBorders>
              <w:top w:val="nil"/>
              <w:left w:val="nil"/>
              <w:bottom w:val="single" w:sz="4" w:space="0" w:color="auto"/>
              <w:right w:val="single" w:sz="4" w:space="0" w:color="auto"/>
            </w:tcBorders>
            <w:shd w:val="clear" w:color="auto" w:fill="auto"/>
            <w:noWrap/>
            <w:vAlign w:val="bottom"/>
            <w:hideMark/>
          </w:tcPr>
          <w:p w14:paraId="086DB68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76.3</w:t>
            </w:r>
          </w:p>
        </w:tc>
        <w:tc>
          <w:tcPr>
            <w:tcW w:w="498" w:type="pct"/>
            <w:tcBorders>
              <w:top w:val="nil"/>
              <w:left w:val="nil"/>
              <w:bottom w:val="single" w:sz="4" w:space="0" w:color="auto"/>
              <w:right w:val="single" w:sz="4" w:space="0" w:color="auto"/>
            </w:tcBorders>
            <w:shd w:val="clear" w:color="auto" w:fill="auto"/>
            <w:noWrap/>
            <w:vAlign w:val="bottom"/>
            <w:hideMark/>
          </w:tcPr>
          <w:p w14:paraId="7400441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941FC0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6F0FF13"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0C4D8A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Puerto Rico</w:t>
            </w:r>
          </w:p>
        </w:tc>
        <w:tc>
          <w:tcPr>
            <w:tcW w:w="1053" w:type="pct"/>
            <w:tcBorders>
              <w:top w:val="nil"/>
              <w:left w:val="nil"/>
              <w:bottom w:val="single" w:sz="4" w:space="0" w:color="auto"/>
              <w:right w:val="single" w:sz="4" w:space="0" w:color="auto"/>
            </w:tcBorders>
            <w:shd w:val="clear" w:color="auto" w:fill="auto"/>
            <w:noWrap/>
            <w:vAlign w:val="bottom"/>
            <w:hideMark/>
          </w:tcPr>
          <w:p w14:paraId="5AB84613"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Cruz-Vidal</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{"citationItems":[{"id":"ITEM-1","itemData":{"DOI":"10.2337/diab.28.4.300","abstract":"Urban-rural comparisons of the prevalence of diabetes were made in a cohort of 2567 rural and 6190 urban participants aged 45 to 64, in the Puerto Rico Heart Health Program. The prevalence of diabetes in the urban population was more than double that in the rural. Consistent with this, blood glucose concentrations were significantly higher in urban than in rural populations. The prevalence of diabetes increased with age and relative weight. It was associated with elevations of serum cholesterol, blood pressure, and fasting serum triglycerides. A positive family history was found more commonly in diabetics than in nondiabetics. If there was a history in both a sibling and a parent, there was at least a threefold increased prevalence over those with no family history. The reason for the higher prevalence of diabetes in the urban than in the rural area is elusive. In obese men, the urban and rural prevalence rates are the same, but, among relatively lean men, the prevalence in the urban area is twice that of the rural men.","author":[{"dropping-particle":"","family":"Cruz-Vidal","given":"M","non-dropping-particle":"","parse-names":false,"suffix":""},{"dropping-particle":"","family":"Costas","given":"R","non-dropping-particle":"","parse-names":false,"suffix":""},{"dropping-particle":"","family":"Garcia-Palmieri","given":"M R","non-dropping-particle":"","parse-names":false,"suffix":""},{"dropping-particle":"","family":"Sorlie","given":"P D","non-dropping-particle":"","parse-names":false,"suffix":""},{"dropping-particle":"","family":"Hertzmark","given":"E","non-dropping-particle":"","parse-names":false,"suffix":""}],"container-title":"Diabetes","id":"ITEM-1","issue":"4","issued":{"date-parts":[["1979"]]},"page":"300-307","title":"Factors related to diabetes mellitus in Puerto Rican men","type":"article-journal","volume":"28"},"uris":["http://www.mendeley.com/documents/?uuid=6e94c7d1-750b-4f6e-90d3-e521e579418d"]}],"mendeley":{"formattedCitation":"&lt;sup&gt;163&lt;/sup&gt;","plainTextFormattedCitation":"163","previouslyFormattedCitation":"&lt;sup&gt;163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163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A6524B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1979</w:t>
            </w:r>
          </w:p>
        </w:tc>
        <w:tc>
          <w:tcPr>
            <w:tcW w:w="598" w:type="pct"/>
            <w:tcBorders>
              <w:top w:val="nil"/>
              <w:left w:val="nil"/>
              <w:bottom w:val="single" w:sz="4" w:space="0" w:color="auto"/>
              <w:right w:val="single" w:sz="4" w:space="0" w:color="auto"/>
            </w:tcBorders>
            <w:shd w:val="clear" w:color="auto" w:fill="auto"/>
            <w:noWrap/>
            <w:vAlign w:val="bottom"/>
            <w:hideMark/>
          </w:tcPr>
          <w:p w14:paraId="453E43D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1964</w:t>
            </w:r>
          </w:p>
        </w:tc>
        <w:tc>
          <w:tcPr>
            <w:tcW w:w="548" w:type="pct"/>
            <w:tcBorders>
              <w:top w:val="nil"/>
              <w:left w:val="nil"/>
              <w:bottom w:val="single" w:sz="4" w:space="0" w:color="auto"/>
              <w:right w:val="single" w:sz="4" w:space="0" w:color="auto"/>
            </w:tcBorders>
            <w:shd w:val="clear" w:color="auto" w:fill="auto"/>
            <w:noWrap/>
            <w:vAlign w:val="bottom"/>
            <w:hideMark/>
          </w:tcPr>
          <w:p w14:paraId="00BD744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8757</w:t>
            </w:r>
          </w:p>
        </w:tc>
        <w:tc>
          <w:tcPr>
            <w:tcW w:w="399" w:type="pct"/>
            <w:tcBorders>
              <w:top w:val="nil"/>
              <w:left w:val="nil"/>
              <w:bottom w:val="single" w:sz="4" w:space="0" w:color="auto"/>
              <w:right w:val="single" w:sz="4" w:space="0" w:color="auto"/>
            </w:tcBorders>
            <w:shd w:val="clear" w:color="auto" w:fill="auto"/>
            <w:noWrap/>
            <w:vAlign w:val="bottom"/>
            <w:hideMark/>
          </w:tcPr>
          <w:p w14:paraId="7F21EA0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100</w:t>
            </w:r>
          </w:p>
        </w:tc>
        <w:tc>
          <w:tcPr>
            <w:tcW w:w="449" w:type="pct"/>
            <w:tcBorders>
              <w:top w:val="nil"/>
              <w:left w:val="nil"/>
              <w:bottom w:val="single" w:sz="4" w:space="0" w:color="auto"/>
              <w:right w:val="single" w:sz="4" w:space="0" w:color="auto"/>
            </w:tcBorders>
            <w:shd w:val="clear" w:color="auto" w:fill="auto"/>
            <w:noWrap/>
            <w:vAlign w:val="bottom"/>
            <w:hideMark/>
          </w:tcPr>
          <w:p w14:paraId="531D125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55</w:t>
            </w:r>
          </w:p>
        </w:tc>
        <w:tc>
          <w:tcPr>
            <w:tcW w:w="498" w:type="pct"/>
            <w:tcBorders>
              <w:top w:val="nil"/>
              <w:left w:val="nil"/>
              <w:bottom w:val="single" w:sz="4" w:space="0" w:color="auto"/>
              <w:right w:val="single" w:sz="4" w:space="0" w:color="auto"/>
            </w:tcBorders>
            <w:shd w:val="clear" w:color="auto" w:fill="auto"/>
            <w:noWrap/>
            <w:vAlign w:val="bottom"/>
            <w:hideMark/>
          </w:tcPr>
          <w:p w14:paraId="1D56B27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220A0F1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CCFC71A"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6767E6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Puerto Rico</w:t>
            </w:r>
          </w:p>
        </w:tc>
        <w:tc>
          <w:tcPr>
            <w:tcW w:w="1053" w:type="pct"/>
            <w:tcBorders>
              <w:top w:val="nil"/>
              <w:left w:val="nil"/>
              <w:bottom w:val="single" w:sz="4" w:space="0" w:color="auto"/>
              <w:right w:val="single" w:sz="4" w:space="0" w:color="auto"/>
            </w:tcBorders>
            <w:shd w:val="clear" w:color="auto" w:fill="auto"/>
            <w:noWrap/>
            <w:vAlign w:val="bottom"/>
            <w:hideMark/>
          </w:tcPr>
          <w:p w14:paraId="5ADD059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Castelli</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{"citationItems":[{"id":"ITEM-1","itemData":{"DOI":"10.1016/0021-9681(77)90082-0","abstract":"Data on the distribution of triglyceride and total, LDL and HDL cholesterol are presented for age groups 40 yr and older. The populations represented came from Framingham, Albany, Honolulu, San Francisco, Evans County and Puerto Rico. They include white, Japanese and black persons and both sexes. Blood samples and lipid measurements were obtained after overnight fast by a common protocol as part of a cooperative study of lipoprotein phenotyping. Means, medians, standard deviations and 95th percentiles are given as well as intercorrelations among the various lipids. Average cholesterol levels ranged from 200 mg/dl (Puerto Rican men) to over 240 mg/dl (Framingham women). Average triglyceride levels ranged from less than 100 mg/dl (Evans County) to an average of 175 mg/dl (Japanese men). For men aged 50-69 triglyceride levels were higher in Puerto Rico than in Albany or Framingham, despite much lower levels of serum cholesterol. The 95th percentile for LDL cholesterol in age groups with at least 100 persons ranged from 196 to 209 mg/dl for men and between 221 and 228 mg/dl for women. The 95th percentile for triglyceride, however, varied greatly by age and population from as low as 249 mg/dl to as high as 451 mg/dl. © 1977.","author":[{"dropping-particle":"","family":"Castelli","given":"William P","non-dropping-particle":"","parse-names":false,"suffix":""},{"dropping-particle":"","family":"Cooper","given":"Gerald R","non-dropping-particle":"","parse-names":false,"suffix":""},{"dropping-particle":"","family":"Doyle","given":"Joseph T","non-dropping-particle":"","parse-names":false,"suffix":""},{"dropping-particle":"","family":"Garcia-Palmieri","given":"Mario","non-dropping-particle":"","parse-names":false,"suffix":""},{"dropping-particle":"","family":"Gordon","given":"Tavia","non-dropping-particle":"","parse-names":false,"suffix":""},{"dropping-particle":"","family":"Hames","given":"Curtis","non-dropping-particle":"","parse-names":false,"suffix":""},{"dropping-particle":"","family":"Hulley","given":"Steven B","non-dropping-particle":"","parse-names":false,"suffix":""},{"dropping-particle":"","family":"Kagan","given":"Abraham","non-dropping-particle":"","parse-names":false,"suffix":""},{"dropping-particle":"","family":"Kuchmak","given":"Myron","non-dropping-particle":"","parse-names":false,"suffix":""},{"dropping-particle":"","family":"McGee","given":"Daniel","non-dropping-particle":"","parse-names":false,"suffix":""},{"dropping-particle":"","family":"Vicic","given":"William J","non-dropping-particle":"","parse-names":false,"suffix":""}],"container-title":"Journal of Chronic Diseases","id":"ITEM-1","issue":"3","issued":{"date-parts":[["1977"]]},"page":"147-169","title":"Distribution of triglyceride and total, LDL and HDL cholesterol in several populations: A cooperative lipoprotein phenotyping study","type":"article-journal","volume":"30"},"uris":["http://www.mendeley.com/documents/?uuid=ebd1b967-ec61-495b-9082-ee8ee26308cb"]}],"mendeley":{"formattedCitation":"&lt;sup&gt;164&lt;/sup&gt;","plainTextFormattedCitation":"164","previouslyFormattedCitation":"&lt;sup&gt;164&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164</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C2D7F6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1977</w:t>
            </w:r>
          </w:p>
        </w:tc>
        <w:tc>
          <w:tcPr>
            <w:tcW w:w="598" w:type="pct"/>
            <w:tcBorders>
              <w:top w:val="nil"/>
              <w:left w:val="nil"/>
              <w:bottom w:val="single" w:sz="4" w:space="0" w:color="auto"/>
              <w:right w:val="single" w:sz="4" w:space="0" w:color="auto"/>
            </w:tcBorders>
            <w:shd w:val="clear" w:color="auto" w:fill="auto"/>
            <w:noWrap/>
            <w:vAlign w:val="bottom"/>
            <w:hideMark/>
          </w:tcPr>
          <w:p w14:paraId="287E4A3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1965</w:t>
            </w:r>
          </w:p>
        </w:tc>
        <w:tc>
          <w:tcPr>
            <w:tcW w:w="548" w:type="pct"/>
            <w:tcBorders>
              <w:top w:val="nil"/>
              <w:left w:val="nil"/>
              <w:bottom w:val="single" w:sz="4" w:space="0" w:color="auto"/>
              <w:right w:val="single" w:sz="4" w:space="0" w:color="auto"/>
            </w:tcBorders>
            <w:shd w:val="clear" w:color="auto" w:fill="auto"/>
            <w:noWrap/>
            <w:vAlign w:val="bottom"/>
            <w:hideMark/>
          </w:tcPr>
          <w:p w14:paraId="0FF132A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956</w:t>
            </w:r>
          </w:p>
        </w:tc>
        <w:tc>
          <w:tcPr>
            <w:tcW w:w="399" w:type="pct"/>
            <w:tcBorders>
              <w:top w:val="nil"/>
              <w:left w:val="nil"/>
              <w:bottom w:val="single" w:sz="4" w:space="0" w:color="auto"/>
              <w:right w:val="single" w:sz="4" w:space="0" w:color="auto"/>
            </w:tcBorders>
            <w:shd w:val="clear" w:color="auto" w:fill="auto"/>
            <w:noWrap/>
            <w:vAlign w:val="bottom"/>
            <w:hideMark/>
          </w:tcPr>
          <w:p w14:paraId="333156B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100</w:t>
            </w:r>
          </w:p>
        </w:tc>
        <w:tc>
          <w:tcPr>
            <w:tcW w:w="449" w:type="pct"/>
            <w:tcBorders>
              <w:top w:val="nil"/>
              <w:left w:val="nil"/>
              <w:bottom w:val="single" w:sz="4" w:space="0" w:color="auto"/>
              <w:right w:val="single" w:sz="4" w:space="0" w:color="auto"/>
            </w:tcBorders>
            <w:shd w:val="clear" w:color="auto" w:fill="auto"/>
            <w:noWrap/>
            <w:vAlign w:val="bottom"/>
            <w:hideMark/>
          </w:tcPr>
          <w:p w14:paraId="06D84B6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32D071C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Sub-national</w:t>
            </w:r>
          </w:p>
        </w:tc>
        <w:tc>
          <w:tcPr>
            <w:tcW w:w="277" w:type="pct"/>
            <w:tcBorders>
              <w:top w:val="nil"/>
              <w:left w:val="nil"/>
              <w:bottom w:val="single" w:sz="4" w:space="0" w:color="auto"/>
              <w:right w:val="single" w:sz="4" w:space="0" w:color="auto"/>
            </w:tcBorders>
            <w:shd w:val="clear" w:color="auto" w:fill="auto"/>
            <w:noWrap/>
            <w:vAlign w:val="bottom"/>
            <w:hideMark/>
          </w:tcPr>
          <w:p w14:paraId="01A89E5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D5949DE"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A15F33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Puerto Rico</w:t>
            </w:r>
          </w:p>
        </w:tc>
        <w:tc>
          <w:tcPr>
            <w:tcW w:w="1053" w:type="pct"/>
            <w:tcBorders>
              <w:top w:val="nil"/>
              <w:left w:val="nil"/>
              <w:bottom w:val="single" w:sz="4" w:space="0" w:color="auto"/>
              <w:right w:val="single" w:sz="4" w:space="0" w:color="auto"/>
            </w:tcBorders>
            <w:shd w:val="clear" w:color="auto" w:fill="auto"/>
            <w:noWrap/>
            <w:vAlign w:val="bottom"/>
            <w:hideMark/>
          </w:tcPr>
          <w:p w14:paraId="0720177E"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Costas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{"citationItems":[{"id":"ITEM-1","itemData":{"DOI":"10.1016/0002-9149(78)90637-9","abstract":"The 2 1 2year incidence of coronary heart disease was examined in relation to antecedent serum cholesterol and fasting triglyceride levels, physical activity status and relative weight in a cohort of 8, 171 urban and rural men 45 to 64 years old participating in the Puerto Rico Heart Program. In this population with a low incidence rate of coronary heart disease, risk of coronary disease was related to serum cholesterol in both urban and rural groups, but this trend was statistically significant only in the urban population. Neither the urban nor the rural population showed a substantial or statistically significant association of serum triglyceride levels with incidence of coronary heart disease. Correlations among relative weight and serum triglyceride and serum cholesterol levels were noted. Despite small differences in incidence of coronary heart disease between urban and rural groups, values for serum cholesterol, triglycerides and relative weight were all significantly higher in the urban men. Only physical activity levels were higher in the rural men. Multivariate analysis, performed to sort out the net effects of these interrelated variables, revealed that serum cholesterol is related to the risk of coronary heart disease even when all variables are taken into account. Low levels of physical activity were significantly associated with a greater incidence of coronary heart disease only in urban men (P &lt; 0.05). Overweight, which was associated with higher lipid values and less physical activity, was not related to the development of coronary heart disease in either the urban or the rural cohort. © 1978.","author":[{"dropping-particle":"","family":"Costas","given":"Raul","non-dropping-particle":"","parse-names":false,"suffix":""},{"dropping-particle":"","family":"Garcia-Palmieri","given":"Mario R","non-dropping-particle":"","parse-names":false,"suffix":""},{"dropping-particle":"","family":"Nazario","given":"Emilio","non-dropping-particle":"","parse-names":false,"suffix":""},{"dropping-particle":"","family":"Sorlie","given":"Paul D","non-dropping-particle":"","parse-names":false,"suffix":""}],"container-title":"The American Journal of Cardiology","id":"ITEM-1","issue":"4","issued":{"date-parts":[["1978"]]},"page":"653-658","title":"Relation of lipids, weight and physical activity to incidence of coronary heart disease: The puerto rico heart study","type":"article-journal","volume":"42"},"uris":["http://www.mendeley.com/documents/?uuid=ec829ada-02cd-45c4-92b4-de88e2ef8577"]}],"mendeley":{"formattedCitation":"&lt;sup&gt;165&lt;/sup&gt;","plainTextFormattedCitation":"165","previouslyFormattedCitation":"&lt;sup&gt;165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165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531EB1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1978</w:t>
            </w:r>
          </w:p>
        </w:tc>
        <w:tc>
          <w:tcPr>
            <w:tcW w:w="598" w:type="pct"/>
            <w:tcBorders>
              <w:top w:val="nil"/>
              <w:left w:val="nil"/>
              <w:bottom w:val="single" w:sz="4" w:space="0" w:color="auto"/>
              <w:right w:val="single" w:sz="4" w:space="0" w:color="auto"/>
            </w:tcBorders>
            <w:shd w:val="clear" w:color="auto" w:fill="auto"/>
            <w:noWrap/>
            <w:vAlign w:val="bottom"/>
            <w:hideMark/>
          </w:tcPr>
          <w:p w14:paraId="171441D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1965</w:t>
            </w:r>
          </w:p>
        </w:tc>
        <w:tc>
          <w:tcPr>
            <w:tcW w:w="548" w:type="pct"/>
            <w:tcBorders>
              <w:top w:val="nil"/>
              <w:left w:val="nil"/>
              <w:bottom w:val="single" w:sz="4" w:space="0" w:color="auto"/>
              <w:right w:val="single" w:sz="4" w:space="0" w:color="auto"/>
            </w:tcBorders>
            <w:shd w:val="clear" w:color="auto" w:fill="auto"/>
            <w:noWrap/>
            <w:vAlign w:val="bottom"/>
            <w:hideMark/>
          </w:tcPr>
          <w:p w14:paraId="7F2EE4B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4970</w:t>
            </w:r>
          </w:p>
        </w:tc>
        <w:tc>
          <w:tcPr>
            <w:tcW w:w="399" w:type="pct"/>
            <w:tcBorders>
              <w:top w:val="nil"/>
              <w:left w:val="nil"/>
              <w:bottom w:val="single" w:sz="4" w:space="0" w:color="auto"/>
              <w:right w:val="single" w:sz="4" w:space="0" w:color="auto"/>
            </w:tcBorders>
            <w:shd w:val="clear" w:color="auto" w:fill="auto"/>
            <w:noWrap/>
            <w:vAlign w:val="bottom"/>
            <w:hideMark/>
          </w:tcPr>
          <w:p w14:paraId="450A2EB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100</w:t>
            </w:r>
          </w:p>
        </w:tc>
        <w:tc>
          <w:tcPr>
            <w:tcW w:w="449" w:type="pct"/>
            <w:tcBorders>
              <w:top w:val="nil"/>
              <w:left w:val="nil"/>
              <w:bottom w:val="single" w:sz="4" w:space="0" w:color="auto"/>
              <w:right w:val="single" w:sz="4" w:space="0" w:color="auto"/>
            </w:tcBorders>
            <w:shd w:val="clear" w:color="auto" w:fill="auto"/>
            <w:noWrap/>
            <w:vAlign w:val="bottom"/>
            <w:hideMark/>
          </w:tcPr>
          <w:p w14:paraId="32AF906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1442A7E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C308B3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7E28218"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573ACC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Surinam</w:t>
            </w:r>
          </w:p>
        </w:tc>
        <w:tc>
          <w:tcPr>
            <w:tcW w:w="1053" w:type="pct"/>
            <w:tcBorders>
              <w:top w:val="nil"/>
              <w:left w:val="nil"/>
              <w:bottom w:val="single" w:sz="4" w:space="0" w:color="auto"/>
              <w:right w:val="single" w:sz="4" w:space="0" w:color="auto"/>
            </w:tcBorders>
            <w:shd w:val="clear" w:color="auto" w:fill="auto"/>
            <w:noWrap/>
            <w:vAlign w:val="bottom"/>
            <w:hideMark/>
          </w:tcPr>
          <w:p w14:paraId="71B8340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Krishnadath</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{"citationItems":[{"id":"ITEM-1","itemData":{"ISSN":"2052-4897","abstract":"BACKGROUND: Diabetes is increasing worldwide, and information on risk factors to develop targeted interventions is limited. Therefore, we analyzed data of the Suriname Health Study to estimate the prevalence of prediabetes and diabetes. We also explored whether ethnic differences in prediabetes or diabetes risk could be explained by biological, demographic, lifestyle, anthropometric, and metabolic risk factors., METHOD: The study was designed according to the WHO Steps guidelines. Fasting blood glucose levels were measured in 3393 respondents, aged 15-65 years, from an Amerindian, Creole, Hindustani, Javanese, Maroon or Mixed ethnic background. Prediabetes was defined by fasting blood glucose levels between 6.1 and 7.0 mmol/L and diabetes by fasting blood glucose levels &gt;=7.0 mmol/L or 'self-reported diabetes medication use.' For all ethnicities, we analyzed sex, age, marital status, educational level, income status, employment, smoking status, residence, physical activity, body mass index, waist circumference, hypertension, and the levels of triglyceride, total cholesterol, high-density lipoprotein-cholesterol and low-density lipoprotein-cholesterol., RESULTS: The prevalence of prediabetes was 7.4%, while that of diabetes was 13 0%. From these diabetes cases, 39.6% were not diagnosed previously. No ethnic differences were observed in the prevalence of prediabetes. For diabetes, Hindustanis (23.3%) had twice the prevalence compared to other ethnic groups (4.7-14.2%). The associations of the risk factors with prediabetes or diabetes varied among the ethnic groups. The differences in the associations of ethnic groups with prediabetes or diabetes were partly explained by these risk factors., CONCLUSIONS: The prevalence of diabetes in Suriname is high and most elevated in Hindustanis. The observed variations in risk factors among ethnic groups might explain the ethnic differences between these groups, but follow-up studies are needed to explore this in more depth.","author":[{"dropping-particle":"","family":"Krishnadath","given":"Ingrid S K","non-dropping-particle":"","parse-names":false,"suffix":""},{"dropping-particle":"","family":"Nahar-van Venrooij","given":"Lenny M","non-dropping-particle":"","parse-names":false,"suffix":""},{"dropping-particle":"V","family":"Jaddoe","given":"Vincent W","non-dropping-particle":"","parse-names":false,"suffix":""},{"dropping-particle":"","family":"Toelsie","given":"Jerry R","non-dropping-particle":"","parse-names":false,"suffix":""}],"container-title":"BMJ open diabetes research &amp; care","id":"ITEM-1","issue":"1","issued":{"date-parts":[["2016"]]},"page":"e000186","title":"Ethnic differences in prediabetes and diabetes in the Suriname Health Study","type":"article-journal","volume":"4"},"uris":["http://www.mendeley.com/documents/?uuid=460bcc89-7b00-4f64-aaba-7782c3d4a0da"]}],"mendeley":{"formattedCitation":"&lt;sup&gt;166&lt;/sup&gt;","plainTextFormattedCitation":"166","previouslyFormattedCitation":"&lt;sup&gt;166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166</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2B17D9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2E2CAE0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48" w:type="pct"/>
            <w:tcBorders>
              <w:top w:val="nil"/>
              <w:left w:val="nil"/>
              <w:bottom w:val="single" w:sz="4" w:space="0" w:color="auto"/>
              <w:right w:val="single" w:sz="4" w:space="0" w:color="auto"/>
            </w:tcBorders>
            <w:shd w:val="clear" w:color="auto" w:fill="auto"/>
            <w:noWrap/>
            <w:vAlign w:val="bottom"/>
            <w:hideMark/>
          </w:tcPr>
          <w:p w14:paraId="031C182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5748</w:t>
            </w:r>
          </w:p>
        </w:tc>
        <w:tc>
          <w:tcPr>
            <w:tcW w:w="399" w:type="pct"/>
            <w:tcBorders>
              <w:top w:val="nil"/>
              <w:left w:val="nil"/>
              <w:bottom w:val="single" w:sz="4" w:space="0" w:color="auto"/>
              <w:right w:val="single" w:sz="4" w:space="0" w:color="auto"/>
            </w:tcBorders>
            <w:shd w:val="clear" w:color="auto" w:fill="auto"/>
            <w:noWrap/>
            <w:vAlign w:val="bottom"/>
            <w:hideMark/>
          </w:tcPr>
          <w:p w14:paraId="67D78E6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48.5</w:t>
            </w:r>
          </w:p>
        </w:tc>
        <w:tc>
          <w:tcPr>
            <w:tcW w:w="449" w:type="pct"/>
            <w:tcBorders>
              <w:top w:val="nil"/>
              <w:left w:val="nil"/>
              <w:bottom w:val="single" w:sz="4" w:space="0" w:color="auto"/>
              <w:right w:val="single" w:sz="4" w:space="0" w:color="auto"/>
            </w:tcBorders>
            <w:shd w:val="clear" w:color="auto" w:fill="auto"/>
            <w:noWrap/>
            <w:vAlign w:val="bottom"/>
            <w:hideMark/>
          </w:tcPr>
          <w:p w14:paraId="537FA18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35</w:t>
            </w:r>
          </w:p>
        </w:tc>
        <w:tc>
          <w:tcPr>
            <w:tcW w:w="498" w:type="pct"/>
            <w:tcBorders>
              <w:top w:val="nil"/>
              <w:left w:val="nil"/>
              <w:bottom w:val="single" w:sz="4" w:space="0" w:color="auto"/>
              <w:right w:val="single" w:sz="4" w:space="0" w:color="auto"/>
            </w:tcBorders>
            <w:shd w:val="clear" w:color="auto" w:fill="auto"/>
            <w:noWrap/>
            <w:vAlign w:val="bottom"/>
            <w:hideMark/>
          </w:tcPr>
          <w:p w14:paraId="6265604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662C987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C7D2C1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7A5C3A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Trinidad and Tobago</w:t>
            </w:r>
          </w:p>
        </w:tc>
        <w:tc>
          <w:tcPr>
            <w:tcW w:w="1053" w:type="pct"/>
            <w:tcBorders>
              <w:top w:val="nil"/>
              <w:left w:val="nil"/>
              <w:bottom w:val="single" w:sz="4" w:space="0" w:color="auto"/>
              <w:right w:val="single" w:sz="4" w:space="0" w:color="auto"/>
            </w:tcBorders>
            <w:shd w:val="clear" w:color="auto" w:fill="auto"/>
            <w:noWrap/>
            <w:vAlign w:val="bottom"/>
            <w:hideMark/>
          </w:tcPr>
          <w:p w14:paraId="1D4F13C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Miljkovic-Gacic</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{"citationItems":[{"id":"ITEM-1","itemData":{"ISSN":"1532-8600","abstract":"Despite a higher prevalence of coronary heart disease risk factors, men of African origin have less coronary atherosclerosis, as measured by coronary calcification, than whites. In part, this is thought to be because of the less atherogenic lipoprotein profile observed in men of African origin, characterized by lower triglycerides and higher high-density lipoprotein (HDL) cholesterol. We hypothesized that the -514C&gt;T polymorphism in the hepatic lipase gene (LIPC) plays a significant role in determining a less atherogenic lipoprotein profile observed in men of African origin. Previously conducted studies of the LIPC -514C&gt;T polymorphism in African Americans may have been confounded by a higher level of European admixture; in addition, the results from these studies do not necessarily apply to other African populations because gene-environment interactions may differ. Thus, we compared nuclear magnetic resonance spectroscopy-measured lipoprotein subclass patterns and LIPC -514C&gt;T genotypes in population-based samples of older white American (n = 532) and African American (n = 97) men from the Cardiovascular Health Study to those among older, less admixed, Afro-Caribbean men (n = 205) from the Tobago Health Study. Men of African origin had a more favorable lipoprotein profile than whites. In addition, levels of low-density lipoprotein cholesterol, total cholesterol, and triglyceride, and large and small very low-density lipoprotein, small low-density lipoprotein, as well as very low-density lipoprotein particle size, were remarkably lower in Afro-Caribbean men than in either African American or white men. The frequency of the LIPC -514T allele was much higher in Afro-Caribbeans (0.57) and in African Americans (0.49) than in whites (0.20). The -514T allele in both populations of African origin, but not in whites, was associated with elevated large HDL and greater HDL size. Our findings indicate that the higher frequency of the LIPC -514T allele found in men of African origin living in different environments significantly contributes to the more favorable distribution of HDL subclasses compared with whites.","author":[{"dropping-particle":"","family":"Miljkovic-Gacic","given":"Iva","non-dropping-particle":"","parse-names":false,"suffix":""},{"dropping-particle":"","family":"Bunker","given":"Clareann H","non-dropping-particle":"","parse-names":false,"suffix":""},{"dropping-particle":"","family":"Ferrell","given":"Robert E","non-dropping-particle":"","parse-names":false,"suffix":""},{"dropping-particle":"","family":"Kammerer","given":"C","non-dropping-particle":"","parse-names":false,"suffix":""},{"dropping-particle":"","family":"M.","given":"ace","non-dropping-particle":"","parse-names":false,"suffix":""},{"dropping-particle":"","family":"Evans","given":"Rhobert W","non-dropping-particle":"","parse-names":false,"suffix":""},{"dropping-particle":"","family":"Patrick","given":"Alan L","non-dropping-particle":"","parse-names":false,"suffix":""},{"dropping-particle":"","family":"Kuller","given":"Lewis H","non-dropping-particle":"","parse-names":false,"suffix":""}],"container-title":"Metabolism: clinical and experimental","id":"ITEM-1","issue":"1","issued":{"date-parts":[["2006"]]},"page":"96-102","title":"Lipoprotein subclass and particle size differences in Afro-Caribbeans, African Americans, and white Americans: associations with hepatic lipase gene variation","type":"article-journal","volume":"55"},"uris":["http://www.mendeley.com/documents/?uuid=8b2467b3-9848-4589-a0d3-20f54008a1bb"]}],"mendeley":{"formattedCitation":"&lt;sup&gt;167&lt;/sup&gt;","plainTextFormattedCitation":"167","previouslyFormattedCitation":"&lt;sup&gt;167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167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DB7027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98" w:type="pct"/>
            <w:tcBorders>
              <w:top w:val="nil"/>
              <w:left w:val="nil"/>
              <w:bottom w:val="single" w:sz="4" w:space="0" w:color="auto"/>
              <w:right w:val="single" w:sz="4" w:space="0" w:color="auto"/>
            </w:tcBorders>
            <w:shd w:val="clear" w:color="auto" w:fill="auto"/>
            <w:noWrap/>
            <w:vAlign w:val="bottom"/>
            <w:hideMark/>
          </w:tcPr>
          <w:p w14:paraId="70E6D0D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61E6D61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202</w:t>
            </w:r>
          </w:p>
        </w:tc>
        <w:tc>
          <w:tcPr>
            <w:tcW w:w="399" w:type="pct"/>
            <w:tcBorders>
              <w:top w:val="nil"/>
              <w:left w:val="nil"/>
              <w:bottom w:val="single" w:sz="4" w:space="0" w:color="auto"/>
              <w:right w:val="single" w:sz="4" w:space="0" w:color="auto"/>
            </w:tcBorders>
            <w:shd w:val="clear" w:color="auto" w:fill="auto"/>
            <w:noWrap/>
            <w:vAlign w:val="bottom"/>
            <w:hideMark/>
          </w:tcPr>
          <w:p w14:paraId="6FB038A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567A21A7"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73.1</w:t>
            </w:r>
          </w:p>
        </w:tc>
        <w:tc>
          <w:tcPr>
            <w:tcW w:w="498" w:type="pct"/>
            <w:tcBorders>
              <w:top w:val="nil"/>
              <w:left w:val="nil"/>
              <w:bottom w:val="single" w:sz="4" w:space="0" w:color="auto"/>
              <w:right w:val="single" w:sz="4" w:space="0" w:color="auto"/>
            </w:tcBorders>
            <w:shd w:val="clear" w:color="auto" w:fill="auto"/>
            <w:noWrap/>
            <w:vAlign w:val="bottom"/>
            <w:hideMark/>
          </w:tcPr>
          <w:p w14:paraId="2669EC7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48A27C0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069771C4"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910C7B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Trinidad and Tobago</w:t>
            </w:r>
          </w:p>
        </w:tc>
        <w:tc>
          <w:tcPr>
            <w:tcW w:w="1053" w:type="pct"/>
            <w:tcBorders>
              <w:top w:val="nil"/>
              <w:left w:val="nil"/>
              <w:bottom w:val="single" w:sz="4" w:space="0" w:color="auto"/>
              <w:right w:val="single" w:sz="4" w:space="0" w:color="auto"/>
            </w:tcBorders>
            <w:shd w:val="clear" w:color="auto" w:fill="auto"/>
            <w:noWrap/>
            <w:vAlign w:val="bottom"/>
            <w:hideMark/>
          </w:tcPr>
          <w:p w14:paraId="63C9B5A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Miller</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{"citationItems":[{"id":"ITEM-1","itemData":{"ISSN":"1464-3685","abstract":"A ten-year community survey was undertaken to investigate the high coronary heart disease (CHD) incidence among people of Indian (South Asian) descent in Trinidad, West Indies. Of 2491 individuals aged 35-69 years, 2215 (89%) were examined and 2069 (83%) found to be clinically free of CHD at baseline. After exclusion of 71 of minority ethnic groups, 786 African, 598 Indian, 147 European and 467 adults of Mixed descent were followed for CHD morbidity and mortality. In both sexes, adults of Indian origin had higher prevalence rates of diabetes mellitus, a low concentration of high-density lipoprotein (HDL) cholesterol, and recent abstinence from alcohol than other ethnic groups. Indian men also had larger skinfold thicknesses than other men. In participants free of CHD at entry, the age-adjusted relative risk of a cardiac event believed due to CHD was at least twice as high in Indian men and women as in other ethnic groups. In men, blood pressure, diabetes mellitus and low-density lipoprotein (LDL) cholesterol concentration were positively and independently related to risk of CHD, whereas alcohol consumption and HDL cholesterol concentration were inversely associated with risk after allowing for age and ethnic group. The ethnic contrasts in CHD persisted when these characteristics were taken into account. In the smaller sample of women, only ethnic group was predictive of CHD as defined. The failure of point estimates of risk to explain the high CHD incidence in Indians calls for focus on age of onset of risk and examination of other potential risk factors such as insulin concentration.","author":[{"dropping-particle":"","family":"Miller","given":"G J","non-dropping-particle":"","parse-names":false,"suffix":""},{"dropping-particle":"","family":"Beckles","given":"G L","non-dropping-particle":"","parse-names":false,"suffix":""},{"dropping-particle":"","family":"Maude","given":"G H","non-dropping-particle":"","parse-names":false,"suffix":""},{"dropping-particle":"","family":"Carson","given":"D C","non-dropping-particle":"","parse-names":false,"suffix":""},{"dropping-particle":"","family":"Alexis","given":"S D","non-dropping-particle":"","parse-names":false,"suffix":""},{"dropping-particle":"","family":"Price","given":"S G","non-dropping-particle":"","parse-names":false,"suffix":""},{"dropping-particle":"","family":"Byam","given":"N T","non-dropping-particle":"","parse-names":false,"suffix":""}],"container-title":"International journal of epidemiology","id":"ITEM-1","issue":"4","issued":{"date-parts":[["1989"]]},"page":"808-817","title":"Ethnicity and other characteristics predictive of coronary heart disease in a developing community: principal results of the St James Survey, Trinidad","type":"article-journal","volume":"18"},"uris":["http://www.mendeley.com/documents/?uuid=72bab0f8-4d87-44ab-9cb5-3142fc893156"]}],"mendeley":{"formattedCitation":"&lt;sup&gt;168&lt;/sup&gt;","plainTextFormattedCitation":"168","previouslyFormattedCitation":"&lt;sup&gt;168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168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C49C3A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1989</w:t>
            </w:r>
          </w:p>
        </w:tc>
        <w:tc>
          <w:tcPr>
            <w:tcW w:w="598" w:type="pct"/>
            <w:tcBorders>
              <w:top w:val="nil"/>
              <w:left w:val="nil"/>
              <w:bottom w:val="single" w:sz="4" w:space="0" w:color="auto"/>
              <w:right w:val="single" w:sz="4" w:space="0" w:color="auto"/>
            </w:tcBorders>
            <w:shd w:val="clear" w:color="auto" w:fill="auto"/>
            <w:noWrap/>
            <w:vAlign w:val="bottom"/>
            <w:hideMark/>
          </w:tcPr>
          <w:p w14:paraId="44E368D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1979</w:t>
            </w:r>
          </w:p>
        </w:tc>
        <w:tc>
          <w:tcPr>
            <w:tcW w:w="548" w:type="pct"/>
            <w:tcBorders>
              <w:top w:val="nil"/>
              <w:left w:val="nil"/>
              <w:bottom w:val="single" w:sz="4" w:space="0" w:color="auto"/>
              <w:right w:val="single" w:sz="4" w:space="0" w:color="auto"/>
            </w:tcBorders>
            <w:shd w:val="clear" w:color="auto" w:fill="auto"/>
            <w:noWrap/>
            <w:vAlign w:val="bottom"/>
            <w:hideMark/>
          </w:tcPr>
          <w:p w14:paraId="63398FB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2488</w:t>
            </w:r>
          </w:p>
        </w:tc>
        <w:tc>
          <w:tcPr>
            <w:tcW w:w="399" w:type="pct"/>
            <w:tcBorders>
              <w:top w:val="nil"/>
              <w:left w:val="nil"/>
              <w:bottom w:val="single" w:sz="4" w:space="0" w:color="auto"/>
              <w:right w:val="single" w:sz="4" w:space="0" w:color="auto"/>
            </w:tcBorders>
            <w:shd w:val="clear" w:color="auto" w:fill="auto"/>
            <w:noWrap/>
            <w:vAlign w:val="bottom"/>
            <w:hideMark/>
          </w:tcPr>
          <w:p w14:paraId="324A4AC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53.97</w:t>
            </w:r>
          </w:p>
        </w:tc>
        <w:tc>
          <w:tcPr>
            <w:tcW w:w="449" w:type="pct"/>
            <w:tcBorders>
              <w:top w:val="nil"/>
              <w:left w:val="nil"/>
              <w:bottom w:val="single" w:sz="4" w:space="0" w:color="auto"/>
              <w:right w:val="single" w:sz="4" w:space="0" w:color="auto"/>
            </w:tcBorders>
            <w:shd w:val="clear" w:color="auto" w:fill="auto"/>
            <w:noWrap/>
            <w:vAlign w:val="bottom"/>
            <w:hideMark/>
          </w:tcPr>
          <w:p w14:paraId="67226C3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2E9F146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7DDE49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59460B2"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AF417C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Uruguay</w:t>
            </w:r>
          </w:p>
        </w:tc>
        <w:tc>
          <w:tcPr>
            <w:tcW w:w="1053" w:type="pct"/>
            <w:tcBorders>
              <w:top w:val="nil"/>
              <w:left w:val="nil"/>
              <w:bottom w:val="single" w:sz="4" w:space="0" w:color="auto"/>
              <w:right w:val="single" w:sz="4" w:space="0" w:color="auto"/>
            </w:tcBorders>
            <w:shd w:val="clear" w:color="auto" w:fill="auto"/>
            <w:noWrap/>
            <w:vAlign w:val="bottom"/>
            <w:hideMark/>
          </w:tcPr>
          <w:p w14:paraId="0142557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Rubinstein</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Cardiovascular disease is a major cause of death, and its mortality is increasing in Latin America. However, population-based data on cardiovascular disease risk factors are sparse in these countries., METHODS: A total of 7524 men and women, aged 35 to 74 years old, were recruited between February 2010 and December 2011 from randomly selected samples in 4 cities (Bariloche and Marcos Paz, Argentina; Temuco, Chile; and Pando-Barros Blancos, Uruguay) in the Southern Cone of Latin America. Cardiovascular risk factors were measured using standard methods by trained and certified observers., RESULTS: Approximately 85.5% of adults ate less than five servings of fruit or vegetables per day, 35.2% engaged in low physical activity, and 29.7% currently smoked cigarettes. The prevalences of obesity, central obesity, hypertension, chronic kidney disease, dyslipidemia, diabetes, and metabolic syndrome were 35.7%, 52.9%, 40.8%, 2.0%, 58.4%, 12.4%, and 37.4%, respectively. The proportion of individuals with &gt;=3 cardiovascular risk factors, including low intake of fruit and vegetables, low physical activity, current cigarette smoking, obesity or central obesity, hypertension, chronic kidney disease, dyslipidemia, and diabetes, was 68.3%, and the proportion of individuals with &gt;=3 cardiometabolic risk factors, including obesity or central obesity, hypertension, chronic kidney disease, dyslipidemia, and diabetes, was 22.9%., CONCLUSIONS: Cardiovascular disease risk factors are highly prevalent in the general population in the Southern Cone of Latin America. These data suggest that national efforts on the prevention, treatment, and control of cardiovascular risk factors should be a public health priority in the Southern Cone of Latin America.Copyright © 2015. Published by Elsevier Ireland Ltd.","author":[{"dropping-particle":"","family":"Rubinstein","given":"Adolfo L","non-dropping-particle":"","parse-names":false,"suffix":""},{"dropping-particle":"","family":"Irazola","given":"Vilma E","non-dropping-particle":"","parse-names":false,"suffix":""},{"dropping-particle":"","family":"relli","given":"Matias","non-dropping-particle":"","parse-names":false,"suffix":""},{"dropping-particle":"","family":"Elorriaga","given":"Natalia","non-dropping-particle":"","parse-names":false,"suffix":""},{"dropping-particle":"","family":"Gutierrez","given":"Laura","non-dropping-particle":"","parse-names":false,"suffix":""},{"dropping-particle":"","family":"Lanas","given":"Fern","non-dropping-particle":"","parse-names":false,"suffix":""},{"dropping-particle":"","family":"Manfredi","given":"Jose A","non-dropping-particle":"","parse-names":false,"suffix":""},{"dropping-particle":"","family":"Mores","given":"Nora","non-dropping-particle":"","parse-names":false,"suffix":""},{"dropping-particle":"","family":"Olivera","given":"Hector","non-dropping-particle":"","parse-names":false,"suffix":""},{"dropping-particle":"","family":"Poggio","given":"Rosana","non-dropping-particle":"","parse-names":false,"suffix":""},{"dropping-particle":"","family":"Ponzo","given":"Jacqueline","non-dropping-particle":"","parse-names":false,"suffix":""},{"dropping-particle":"","family":"Seron","given":"Pamela","non-dropping-particle":"","parse-names":false,"suffix":""},{"dropping-particle":"","family":"Chen","given":"Chung-Shiuan","non-dropping-particle":"","parse-names":false,"suffix":""},{"dropping-particle":"","family":"Bazzano","given":"Lydia A","non-dropping-particle":"","parse-names":false,"suffix":""},{"dropping-particle":"","family":"He","given":"Jiang","non-dropping-particle":"","parse-names":false,"suffix":""}],"container-title":"International journal of cardiology","id":"ITEM-1","issued":{"date-parts":[["2015"]]},"page":"82-88","title":"Multiple cardiometabolic risk factors in the Southern Cone of Latin America: a population-based study in Argentina, Chile, and Uruguay","type":"article-journal","volume":"183"},"uris":["http://www.mendeley.com/documents/?uuid=960b14ce-e917-470a-84b5-0fcd0c87f178"]}],"mendeley":{"formattedCitation":"&lt;sup&gt;3&lt;/sup&gt;","plainTextFormattedCitation":"3","previouslyFormattedCitation":"&lt;sup&gt;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68D5740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5FD1C49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2011</w:t>
            </w:r>
          </w:p>
        </w:tc>
        <w:tc>
          <w:tcPr>
            <w:tcW w:w="548" w:type="pct"/>
            <w:tcBorders>
              <w:top w:val="nil"/>
              <w:left w:val="nil"/>
              <w:bottom w:val="single" w:sz="4" w:space="0" w:color="auto"/>
              <w:right w:val="single" w:sz="4" w:space="0" w:color="auto"/>
            </w:tcBorders>
            <w:shd w:val="clear" w:color="auto" w:fill="auto"/>
            <w:noWrap/>
            <w:vAlign w:val="bottom"/>
            <w:hideMark/>
          </w:tcPr>
          <w:p w14:paraId="0D6F4D5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1584</w:t>
            </w:r>
          </w:p>
        </w:tc>
        <w:tc>
          <w:tcPr>
            <w:tcW w:w="399" w:type="pct"/>
            <w:tcBorders>
              <w:top w:val="nil"/>
              <w:left w:val="nil"/>
              <w:bottom w:val="single" w:sz="4" w:space="0" w:color="auto"/>
              <w:right w:val="single" w:sz="4" w:space="0" w:color="auto"/>
            </w:tcBorders>
            <w:shd w:val="clear" w:color="auto" w:fill="auto"/>
            <w:noWrap/>
            <w:vAlign w:val="bottom"/>
            <w:hideMark/>
          </w:tcPr>
          <w:p w14:paraId="01F7BC5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1800D0A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7251BDA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4E6CEB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11F2718"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84E8B4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US Virgin Islands</w:t>
            </w:r>
          </w:p>
        </w:tc>
        <w:tc>
          <w:tcPr>
            <w:tcW w:w="1053" w:type="pct"/>
            <w:tcBorders>
              <w:top w:val="nil"/>
              <w:left w:val="nil"/>
              <w:bottom w:val="single" w:sz="4" w:space="0" w:color="auto"/>
              <w:right w:val="single" w:sz="4" w:space="0" w:color="auto"/>
            </w:tcBorders>
            <w:shd w:val="clear" w:color="auto" w:fill="auto"/>
            <w:noWrap/>
            <w:vAlign w:val="bottom"/>
            <w:hideMark/>
          </w:tcPr>
          <w:p w14:paraId="4842950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Tull</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{"citationItems":[{"id":"ITEM-1","itemData":{"ISSN":"1020-4989 (Print) 1020-4989","abstract":"OBJETIVOS: Determinar la frecuencia del síndrome metabólico (SM) en cuatro subpoblaciones de residentes de las Islas Vírgenes estadounidenses y calcular el riesgo de sufrir SM asociado con una circunferencia abdominal superior a determinados puntos de corte en personas con sobrepeso y obesidad. MÉTODOS: En un estudio realizado entre 1995 y 1999 se obtuvieron las características demográficas, medidas antropométricas, presión arterial y muestras de sangre de miembros de una cohorte poblacional de 893 personas que pertenecían a cuatro subgrupos poblacionales en Saint Croix (la mayor de las Islas Vírgenes estadounidenses) y que nunca habían recibido un diagnóstico de diabetes. Las cuatro subpoblaciones fueron: 1) hispanos de raza blanca; 2) hispanos de raza negra; 3) personas no hispanas de raza negra nacidas en las Islas Vírgenes estadounidenses y 4) personas no hispanas de raza negra nacidas en otras partes del Caribe. A las muestras de sangre en ayunas se les midieron las concentraciones de glucosa, insulina, triglicéridos y colesterol transportado por lipoproteínas de alta densidad (HDLc). Para identificar el SM se aplicaron las pautas generadas por el Panel III en torno al Tratamiento de Adultos, del Programa Educativo Nacional sobre el Colesterol [National Cholesterol Education Program Adult Treatment Panel III]. La resistencia a la insulina se calculó mediante la valoración de un modelo homeostásico (HOMA-IR). RESULTADOS: La prevalencia general de síndrome metabólico en la muestra fue de 20,5% (intervalo de confianza de 95% [IC95%]: 15,3% a 25,7%). Las personas que se habían clasificado a sí mismas como hispanas y de raza negra tuvieron la frecuencia más alta (27,8% (IC95% = 16,3% a 39,3%)) de SM y los puntajes más altos en el HOMA-IR. Después de hacer ajustes en función de los factores asociados con el estilo de vida y el HOMA-IR, la etnia hispana mostró una asociación independiente con un mayor riesgo de tener SM (razón de posibilidades [RP] = 1,82 (IC95%: 1,07 a 3,07)), triglicéridos séricos elevados (RP = 3,66 (IC95% = 2,18 a 6,15)) y concentraciones séricas bajas de HDLc (RP = 1,60 (IC 95% = 1,04 a 2,45))...","author":[{"dropping-particle":"","family":"Tull","given":"Eugene S","non-dropping-particle":"","parse-names":false,"suffix":""},{"dropping-particle":"","family":"Laporte","given":"Ronald E","non-dropping-particle":"","parse-names":false,"suffix":""}],"container-title":"Rev Panam Salud Publica","id":"ITEM-1","issue":"6","issued":{"date-parts":[["2005"]]},"language":"en","page":"418-426","title":"Metabolic syndrome among Caribbean-born persons living in the U.S. Virgin Islands","type":"article-journal","volume":"18"},"uris":["http://www.mendeley.com/documents/?uuid=be030e84-cd26-448c-ba80-37af6a0b61ea"]}],"mendeley":{"formattedCitation":"&lt;sup&gt;169&lt;/sup&gt;","plainTextFormattedCitation":"169","previouslyFormattedCitation":"&lt;sup&gt;169&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169</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3D5C5D7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98" w:type="pct"/>
            <w:tcBorders>
              <w:top w:val="nil"/>
              <w:left w:val="nil"/>
              <w:bottom w:val="single" w:sz="4" w:space="0" w:color="auto"/>
              <w:right w:val="single" w:sz="4" w:space="0" w:color="auto"/>
            </w:tcBorders>
            <w:shd w:val="clear" w:color="auto" w:fill="auto"/>
            <w:noWrap/>
            <w:vAlign w:val="bottom"/>
            <w:hideMark/>
          </w:tcPr>
          <w:p w14:paraId="1B7AD7A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1998</w:t>
            </w:r>
          </w:p>
        </w:tc>
        <w:tc>
          <w:tcPr>
            <w:tcW w:w="548" w:type="pct"/>
            <w:tcBorders>
              <w:top w:val="nil"/>
              <w:left w:val="nil"/>
              <w:bottom w:val="single" w:sz="4" w:space="0" w:color="auto"/>
              <w:right w:val="single" w:sz="4" w:space="0" w:color="auto"/>
            </w:tcBorders>
            <w:shd w:val="clear" w:color="auto" w:fill="auto"/>
            <w:noWrap/>
            <w:vAlign w:val="bottom"/>
            <w:hideMark/>
          </w:tcPr>
          <w:p w14:paraId="52B0F73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1089</w:t>
            </w:r>
          </w:p>
        </w:tc>
        <w:tc>
          <w:tcPr>
            <w:tcW w:w="399" w:type="pct"/>
            <w:tcBorders>
              <w:top w:val="nil"/>
              <w:left w:val="nil"/>
              <w:bottom w:val="single" w:sz="4" w:space="0" w:color="auto"/>
              <w:right w:val="single" w:sz="4" w:space="0" w:color="auto"/>
            </w:tcBorders>
            <w:shd w:val="clear" w:color="auto" w:fill="auto"/>
            <w:noWrap/>
            <w:vAlign w:val="bottom"/>
            <w:hideMark/>
          </w:tcPr>
          <w:p w14:paraId="6A07E97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31.12</w:t>
            </w:r>
          </w:p>
        </w:tc>
        <w:tc>
          <w:tcPr>
            <w:tcW w:w="449" w:type="pct"/>
            <w:tcBorders>
              <w:top w:val="nil"/>
              <w:left w:val="nil"/>
              <w:bottom w:val="single" w:sz="4" w:space="0" w:color="auto"/>
              <w:right w:val="single" w:sz="4" w:space="0" w:color="auto"/>
            </w:tcBorders>
            <w:shd w:val="clear" w:color="auto" w:fill="auto"/>
            <w:noWrap/>
            <w:vAlign w:val="bottom"/>
            <w:hideMark/>
          </w:tcPr>
          <w:p w14:paraId="4C9566A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34.63</w:t>
            </w:r>
          </w:p>
        </w:tc>
        <w:tc>
          <w:tcPr>
            <w:tcW w:w="498" w:type="pct"/>
            <w:tcBorders>
              <w:top w:val="nil"/>
              <w:left w:val="nil"/>
              <w:bottom w:val="single" w:sz="4" w:space="0" w:color="auto"/>
              <w:right w:val="single" w:sz="4" w:space="0" w:color="auto"/>
            </w:tcBorders>
            <w:shd w:val="clear" w:color="auto" w:fill="auto"/>
            <w:noWrap/>
            <w:vAlign w:val="bottom"/>
            <w:hideMark/>
          </w:tcPr>
          <w:p w14:paraId="1A910E3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9DBD24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572B6866"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32B7EC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US Virgin Islands</w:t>
            </w:r>
          </w:p>
        </w:tc>
        <w:tc>
          <w:tcPr>
            <w:tcW w:w="1053" w:type="pct"/>
            <w:tcBorders>
              <w:top w:val="nil"/>
              <w:left w:val="nil"/>
              <w:bottom w:val="single" w:sz="4" w:space="0" w:color="auto"/>
              <w:right w:val="single" w:sz="4" w:space="0" w:color="auto"/>
            </w:tcBorders>
            <w:shd w:val="clear" w:color="auto" w:fill="auto"/>
            <w:noWrap/>
            <w:vAlign w:val="bottom"/>
            <w:hideMark/>
          </w:tcPr>
          <w:p w14:paraId="66AADDC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Tull</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{"citationItems":[{"id":"ITEM-1","itemData":{"ISSN":"0043-3144","abstract":"OBJECTIVE: The objective of this research was to determine if the triglyceride (TG) to high density lipoprotein (HDL) cholesterol (TG/HDL) ratio has similar utility for discriminating insulin resistance in Caribbean-born black persons with and without Hispanic ethnicity., METHODS: Serum lipids, glucose and insulin were determined and compared for 144 Hispanic blacks and 655 non-Hispanic blacks living in the US Virgin Islands. Area under the receiver operating characteristics (AUROC) curve statistics were used to evaluate the ability of the TG/HDL ratio to discriminate insulin resistance in the two ethnic groups., RESULTS: Hispanic blacks had significantly higher levels of triglycerides and insulin resistance and a lower level of HDL cholesterol than non-Hispanic blacks. The AUROC curve for the ability of the TG/HDL to discriminate insulin resistance was 0.71 (95% CI = 0.62, 0.79) for Hispanic blacks and 0.64 (95% CI = 0.59, 0.69) for non-Hispanic blacks., CONCLUSIONS: Among Caribbean-born black persons living in the US Virgin Islands, the TG/HDL ratio is a useful screening measure for discriminating insulin resistance in those with Hispanic ethnicity but not in those without Hispanic ethnicity.","author":[{"dropping-particle":"","family":"Tull","given":"E S","non-dropping-particle":"","parse-names":false,"suffix":""}],"container-title":"The West Indian medical journal","id":"ITEM-1","issue":"2","issued":{"date-parts":[["2013"]]},"page":"109-113","title":"Assessment of the ability of the triglyceride to high density lipoprotein cholesterol ratio to discriminate insulin resistance among Caribbean-born black persons with and without Hispanic ethnicity","type":"article-journal","volume":"62"},"uris":["http://www.mendeley.com/documents/?uuid=d89152dd-90df-4820-a014-d7def9c5be30"]}],"mendeley":{"formattedCitation":"&lt;sup&gt;170&lt;/sup&gt;","plainTextFormattedCitation":"170","previouslyFormattedCitation":"&lt;sup&gt;170&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170</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40AD42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6E7A23E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1998</w:t>
            </w:r>
          </w:p>
        </w:tc>
        <w:tc>
          <w:tcPr>
            <w:tcW w:w="548" w:type="pct"/>
            <w:tcBorders>
              <w:top w:val="nil"/>
              <w:left w:val="nil"/>
              <w:bottom w:val="single" w:sz="4" w:space="0" w:color="auto"/>
              <w:right w:val="single" w:sz="4" w:space="0" w:color="auto"/>
            </w:tcBorders>
            <w:shd w:val="clear" w:color="auto" w:fill="auto"/>
            <w:noWrap/>
            <w:vAlign w:val="bottom"/>
            <w:hideMark/>
          </w:tcPr>
          <w:p w14:paraId="5EC11EA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799</w:t>
            </w:r>
          </w:p>
        </w:tc>
        <w:tc>
          <w:tcPr>
            <w:tcW w:w="399" w:type="pct"/>
            <w:tcBorders>
              <w:top w:val="nil"/>
              <w:left w:val="nil"/>
              <w:bottom w:val="single" w:sz="4" w:space="0" w:color="auto"/>
              <w:right w:val="single" w:sz="4" w:space="0" w:color="auto"/>
            </w:tcBorders>
            <w:shd w:val="clear" w:color="auto" w:fill="auto"/>
            <w:noWrap/>
            <w:vAlign w:val="bottom"/>
            <w:hideMark/>
          </w:tcPr>
          <w:p w14:paraId="31C2BC2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31.66</w:t>
            </w:r>
          </w:p>
        </w:tc>
        <w:tc>
          <w:tcPr>
            <w:tcW w:w="449" w:type="pct"/>
            <w:tcBorders>
              <w:top w:val="nil"/>
              <w:left w:val="nil"/>
              <w:bottom w:val="single" w:sz="4" w:space="0" w:color="auto"/>
              <w:right w:val="single" w:sz="4" w:space="0" w:color="auto"/>
            </w:tcBorders>
            <w:shd w:val="clear" w:color="auto" w:fill="auto"/>
            <w:noWrap/>
            <w:vAlign w:val="bottom"/>
            <w:hideMark/>
          </w:tcPr>
          <w:p w14:paraId="16B7D2F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45.89</w:t>
            </w:r>
          </w:p>
        </w:tc>
        <w:tc>
          <w:tcPr>
            <w:tcW w:w="498" w:type="pct"/>
            <w:tcBorders>
              <w:top w:val="nil"/>
              <w:left w:val="nil"/>
              <w:bottom w:val="single" w:sz="4" w:space="0" w:color="auto"/>
              <w:right w:val="single" w:sz="4" w:space="0" w:color="auto"/>
            </w:tcBorders>
            <w:shd w:val="clear" w:color="auto" w:fill="auto"/>
            <w:noWrap/>
            <w:vAlign w:val="bottom"/>
            <w:hideMark/>
          </w:tcPr>
          <w:p w14:paraId="2525488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25CA4C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023B35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3750EAA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Venezuela</w:t>
            </w:r>
          </w:p>
        </w:tc>
        <w:tc>
          <w:tcPr>
            <w:tcW w:w="1053" w:type="pct"/>
            <w:tcBorders>
              <w:top w:val="nil"/>
              <w:left w:val="nil"/>
              <w:bottom w:val="single" w:sz="4" w:space="0" w:color="auto"/>
              <w:right w:val="single" w:sz="4" w:space="0" w:color="auto"/>
            </w:tcBorders>
            <w:shd w:val="clear" w:color="auto" w:fill="auto"/>
            <w:noWrap/>
            <w:vAlign w:val="bottom"/>
            <w:hideMark/>
          </w:tcPr>
          <w:p w14:paraId="3647854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Uzcategui</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{"citationItems":[{"id":"ITEM-1","itemData":{"ISSN":"0535-5133","abstract":"The metabolic syndrome (MetSyn) is a significant risk factor for cardiovascular events, but scarce information exists about its frequency in Venezuela. In this cross-sectional study, we quantified the prevalence of the MetSyn in a probabilistic, stratified sample of 274 subjects aged &gt; or =18 years from the Libertador district in Merida, Venezuela. Secondary outcomes were the measurement of thyroid hormones (free T4 and TSH), leptin levels, and insulin resistance index (HOMA2-IR). The frequency of MetSyn (percentage +/- 95% confidence interval) according to several diagnostic criteria was as follows: National Cholesterol Education Panel (NCEP, original): 27.4% (22.1-32.7); modified NCEP: 31.8% (26.3-37.3); International Diabetes Federation: 40.9% (35.1-46.7); Latin American Diabetes Association: 27% (21.7-32.3), and Venezuelan criteria: 31.8% (26.3-37.3). The MetSyn was more frequent in males than in females with most diagnostic criteria. The estimated prevalence of type 2 diabetes mellitus was 2.9% either according to the patients' self reports or to fasting glucose level found to be above 126 mg/dL. Abnormal HOMA2-IR index, free T4 and TSH (above the 95th percentile) were detected in 4.5%, 4.4% and 5.1% of the sample, respectively. Free T4 and TSH levels below the 5th percentile were detected in 4.4% and 4.7% of subjects respectively. These values are presented for comparisons with forthcoming studies in specific clinical populations. While studies are being conducted about the different definitions of the MetSyn in Venezuela, we recommend analyzing and publishing local research data with all the available criteria so as to allow comparisons with the results already reported in the literature.","author":[{"dropping-particle":"","family":"Uzcategui","given":"Euderruh","non-dropping-particle":"","parse-names":false,"suffix":""},{"dropping-particle":"","family":"Valery","given":"Lenin","non-dropping-particle":"","parse-names":false,"suffix":""},{"dropping-particle":"","family":"Uzcategui","given":"Lilia","non-dropping-particle":"","parse-names":false,"suffix":""},{"dropping-particle":"","family":"Gomez Perez","given":"Roald","non-dropping-particle":"","parse-names":false,"suffix":""},{"dropping-particle":"","family":"Marquina","given":"David","non-dropping-particle":"","parse-names":false,"suffix":""},{"dropping-particle":"","family":"Baptista","given":"Trino","non-dropping-particle":"","parse-names":false,"suffix":""}],"container-title":"Investigacion clinica","id":"ITEM-1","issue":"2","issued":{"date-parts":[["2015"]]},"page":"169-181","title":"Prevalence of the metabolic syndrome, insulin resistance index, leptin and thyroid hormone levels in the general population of Merida (Venezuela)","type":"article-journal","volume":"56"},"uris":["http://www.mendeley.com/documents/?uuid=f192e612-87f2-4fb3-a473-f16c608d2e4d"]}],"mendeley":{"formattedCitation":"&lt;sup&gt;171&lt;/sup&gt;","plainTextFormattedCitation":"171","previouslyFormattedCitation":"&lt;sup&gt;171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171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0CFCE0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2015</w:t>
            </w:r>
          </w:p>
        </w:tc>
        <w:tc>
          <w:tcPr>
            <w:tcW w:w="598" w:type="pct"/>
            <w:tcBorders>
              <w:top w:val="nil"/>
              <w:left w:val="nil"/>
              <w:bottom w:val="single" w:sz="4" w:space="0" w:color="auto"/>
              <w:right w:val="single" w:sz="4" w:space="0" w:color="auto"/>
            </w:tcBorders>
            <w:shd w:val="clear" w:color="auto" w:fill="auto"/>
            <w:noWrap/>
            <w:vAlign w:val="bottom"/>
            <w:hideMark/>
          </w:tcPr>
          <w:p w14:paraId="6F1EC97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48" w:type="pct"/>
            <w:tcBorders>
              <w:top w:val="nil"/>
              <w:left w:val="nil"/>
              <w:bottom w:val="single" w:sz="4" w:space="0" w:color="auto"/>
              <w:right w:val="single" w:sz="4" w:space="0" w:color="auto"/>
            </w:tcBorders>
            <w:shd w:val="clear" w:color="auto" w:fill="auto"/>
            <w:noWrap/>
            <w:vAlign w:val="bottom"/>
            <w:hideMark/>
          </w:tcPr>
          <w:p w14:paraId="0B23B0A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274</w:t>
            </w:r>
          </w:p>
        </w:tc>
        <w:tc>
          <w:tcPr>
            <w:tcW w:w="399" w:type="pct"/>
            <w:tcBorders>
              <w:top w:val="nil"/>
              <w:left w:val="nil"/>
              <w:bottom w:val="single" w:sz="4" w:space="0" w:color="auto"/>
              <w:right w:val="single" w:sz="4" w:space="0" w:color="auto"/>
            </w:tcBorders>
            <w:shd w:val="clear" w:color="auto" w:fill="auto"/>
            <w:noWrap/>
            <w:vAlign w:val="bottom"/>
            <w:hideMark/>
          </w:tcPr>
          <w:p w14:paraId="733BAE3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36.13</w:t>
            </w:r>
          </w:p>
        </w:tc>
        <w:tc>
          <w:tcPr>
            <w:tcW w:w="449" w:type="pct"/>
            <w:tcBorders>
              <w:top w:val="nil"/>
              <w:left w:val="nil"/>
              <w:bottom w:val="single" w:sz="4" w:space="0" w:color="auto"/>
              <w:right w:val="single" w:sz="4" w:space="0" w:color="auto"/>
            </w:tcBorders>
            <w:shd w:val="clear" w:color="auto" w:fill="auto"/>
            <w:noWrap/>
            <w:vAlign w:val="bottom"/>
            <w:hideMark/>
          </w:tcPr>
          <w:p w14:paraId="539811E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42.3</w:t>
            </w:r>
          </w:p>
        </w:tc>
        <w:tc>
          <w:tcPr>
            <w:tcW w:w="498" w:type="pct"/>
            <w:tcBorders>
              <w:top w:val="nil"/>
              <w:left w:val="nil"/>
              <w:bottom w:val="single" w:sz="4" w:space="0" w:color="auto"/>
              <w:right w:val="single" w:sz="4" w:space="0" w:color="auto"/>
            </w:tcBorders>
            <w:shd w:val="clear" w:color="auto" w:fill="auto"/>
            <w:noWrap/>
            <w:vAlign w:val="bottom"/>
            <w:hideMark/>
          </w:tcPr>
          <w:p w14:paraId="0BF3D08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3932CA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NI</w:t>
            </w:r>
          </w:p>
        </w:tc>
      </w:tr>
      <w:tr w:rsidR="00665066" w:rsidRPr="009E0769" w14:paraId="56C43BCC"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4A3F9C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Venezuela</w:t>
            </w:r>
          </w:p>
        </w:tc>
        <w:tc>
          <w:tcPr>
            <w:tcW w:w="1053" w:type="pct"/>
            <w:tcBorders>
              <w:top w:val="nil"/>
              <w:left w:val="nil"/>
              <w:bottom w:val="single" w:sz="4" w:space="0" w:color="auto"/>
              <w:right w:val="single" w:sz="4" w:space="0" w:color="auto"/>
            </w:tcBorders>
            <w:shd w:val="clear" w:color="auto" w:fill="auto"/>
            <w:noWrap/>
            <w:vAlign w:val="bottom"/>
            <w:hideMark/>
          </w:tcPr>
          <w:p w14:paraId="31B32E9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Salazar</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{"citationItems":[{"id":"ITEM-1","itemData":{"ISSN":"2046-1402","abstract":"Background: Insulin resistance (IR) evaluation is a fundamental goal in clinical and epidemiological research. However, the most widely used methods are difficult to apply to populations with low incomes. The triglyceride-glucose index (TGI) emerges as an alternative to use in daily clinical practice. Therefore the objective of this study was to determine an optimal cutoff point for the TGI in an adult population from Maracaibo, Venezuela. Methods: This is a sub-study of Maracaibo City Metabolic Syndrome Prevalence Study, a descriptive, cross-sectional study with random and multi-stage sampling. For this analysis, 2004 individuals of both genders &gt;=18 years old with basal insulin determination and triglycerides &lt; 500 mg/dl were evaluated.. A reference population was selected according to clinical and metabolic criteria to plot ROC Curves specific for gender and age groups to determine the optimal cutoff point according to sensitivity and specificity.The TGI was calculated according to the equation: ln [Fasting triglyceride (mg / dl) x Fasting glucose (mg / dl)] / 2. Results: The TGI in the general population was 4.6+/-0.3 (male: 4.66+/-0.34 vs. female: 4.56+/-0.33, p=8.93x10 -10). The optimal cutoff point was 4.49, with a sensitivity of 82.6% and specificity of 82.1% (AUC=0.889, 95% CI: 0.854-0.924). There were no significant differences in the predictive capacity of the index when evaluated according to gender and age groups. Those individuals with TGI&gt;=4.5 had higher HOMA2-IR averages than those with TGI &lt;4.5 (2.48 vs 1.74, respectively, p&lt;0.001). Conclusions: The TGI is a measure of interest to identify IR in the general population. We propose a single cutoff point of 4.5 to classify individuals with IR. Future studies should evaluate the predictive capacity of this index to determine atypical metabolic phenotypes, type 2 diabetes mellitus and even cardiovascular risk in our population.","author":[{"dropping-particle":"","family":"Salazar","given":"Juan","non-dropping-particle":"","parse-names":false,"suffix":""},{"dropping-particle":"","family":"Bermudez","given":"Valmore","non-dropping-particle":"","parse-names":false,"suffix":""},{"dropping-particle":"","family":"Calvo","given":"Maria","non-dropping-particle":"","parse-names":false,"suffix":""},{"dropping-particle":"","family":"Olivar","given":"Luis Carlos","non-dropping-particle":"","parse-names":false,"suffix":""},{"dropping-particle":"","family":"Luzardo","given":"Eliana","non-dropping-particle":"","parse-names":false,"suffix":""},{"dropping-particle":"","family":"Navarro","given":"Carla","non-dropping-particle":"","parse-names":false,"suffix":""},{"dropping-particle":"","family":"Mencia","given":"Heysa","non-dropping-particle":"","parse-names":false,"suffix":""},{"dropping-particle":"","family":"Martinez","given":"Maria","non-dropping-particle":"","parse-names":false,"suffix":""},{"dropping-particle":"","family":"Rivas-Rios","given":"Jose","non-dropping-particle":"","parse-names":false,"suffix":""},{"dropping-particle":"","family":"Wilches-Duran","given":"S","non-dropping-particle":"","parse-names":false,"suffix":""},{"dropping-particle":"","family":"Cerda","given":"Marcos","non-dropping-particle":"","parse-names":false,"suffix":""},{"dropping-particle":"","family":"Graterol","given":"Modesto","non-dropping-particle":"","parse-names":false,"suffix":""},{"dropping-particle":"","family":"Graterol","given":"Rosemily","non-dropping-particle":"","parse-names":false,"suffix":""},{"dropping-particle":"","family":"Garicano","given":"Carlos","non-dropping-particle":"","parse-names":false,"suffix":""},{"dropping-particle":"","family":"ez","given":"Juan","non-dropping-particle":"","parse-names":false,"suffix":""},{"dropping-particle":"","family":"Rojas","given":"Joselyn","non-dropping-particle":"","parse-names":false,"suffix":""}],"container-title":"F1000Research","id":"ITEM-1","issued":{"date-parts":[["2017"]]},"page":"1337","title":"Optimal cutoff for the evaluation of insulin resistance through triglyceride-glucose index: A cross-sectional study in a Venezuelan population","type":"article-journal","volume":"6"},"uris":["http://www.mendeley.com/documents/?uuid=950d7fcc-a06a-46c2-ac57-f08b0567e7ff"]}],"mendeley":{"formattedCitation":"&lt;sup&gt;172&lt;/sup&gt;","plainTextFormattedCitation":"172","previouslyFormattedCitation":"&lt;sup&gt;172&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172</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20E95F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2018</w:t>
            </w:r>
          </w:p>
        </w:tc>
        <w:tc>
          <w:tcPr>
            <w:tcW w:w="598" w:type="pct"/>
            <w:tcBorders>
              <w:top w:val="nil"/>
              <w:left w:val="nil"/>
              <w:bottom w:val="single" w:sz="4" w:space="0" w:color="auto"/>
              <w:right w:val="single" w:sz="4" w:space="0" w:color="auto"/>
            </w:tcBorders>
            <w:shd w:val="clear" w:color="auto" w:fill="auto"/>
            <w:noWrap/>
            <w:vAlign w:val="bottom"/>
            <w:hideMark/>
          </w:tcPr>
          <w:p w14:paraId="449C1965"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48" w:type="pct"/>
            <w:tcBorders>
              <w:top w:val="nil"/>
              <w:left w:val="nil"/>
              <w:bottom w:val="single" w:sz="4" w:space="0" w:color="auto"/>
              <w:right w:val="single" w:sz="4" w:space="0" w:color="auto"/>
            </w:tcBorders>
            <w:shd w:val="clear" w:color="auto" w:fill="auto"/>
            <w:noWrap/>
            <w:vAlign w:val="bottom"/>
            <w:hideMark/>
          </w:tcPr>
          <w:p w14:paraId="33870A6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399" w:type="pct"/>
            <w:tcBorders>
              <w:top w:val="nil"/>
              <w:left w:val="nil"/>
              <w:bottom w:val="single" w:sz="4" w:space="0" w:color="auto"/>
              <w:right w:val="single" w:sz="4" w:space="0" w:color="auto"/>
            </w:tcBorders>
            <w:shd w:val="clear" w:color="auto" w:fill="auto"/>
            <w:noWrap/>
            <w:vAlign w:val="bottom"/>
            <w:hideMark/>
          </w:tcPr>
          <w:p w14:paraId="5EA74C5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47.6</w:t>
            </w:r>
          </w:p>
        </w:tc>
        <w:tc>
          <w:tcPr>
            <w:tcW w:w="449" w:type="pct"/>
            <w:tcBorders>
              <w:top w:val="nil"/>
              <w:left w:val="nil"/>
              <w:bottom w:val="single" w:sz="4" w:space="0" w:color="auto"/>
              <w:right w:val="single" w:sz="4" w:space="0" w:color="auto"/>
            </w:tcBorders>
            <w:shd w:val="clear" w:color="auto" w:fill="auto"/>
            <w:noWrap/>
            <w:vAlign w:val="bottom"/>
            <w:hideMark/>
          </w:tcPr>
          <w:p w14:paraId="53296D0B"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39.6</w:t>
            </w:r>
          </w:p>
        </w:tc>
        <w:tc>
          <w:tcPr>
            <w:tcW w:w="498" w:type="pct"/>
            <w:tcBorders>
              <w:top w:val="nil"/>
              <w:left w:val="nil"/>
              <w:bottom w:val="single" w:sz="4" w:space="0" w:color="auto"/>
              <w:right w:val="single" w:sz="4" w:space="0" w:color="auto"/>
            </w:tcBorders>
            <w:shd w:val="clear" w:color="auto" w:fill="auto"/>
            <w:noWrap/>
            <w:vAlign w:val="bottom"/>
            <w:hideMark/>
          </w:tcPr>
          <w:p w14:paraId="77490FF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48F76AA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66245DF7"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4136EFD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Venezuela</w:t>
            </w:r>
          </w:p>
        </w:tc>
        <w:tc>
          <w:tcPr>
            <w:tcW w:w="1053" w:type="pct"/>
            <w:tcBorders>
              <w:top w:val="nil"/>
              <w:left w:val="nil"/>
              <w:bottom w:val="single" w:sz="4" w:space="0" w:color="auto"/>
              <w:right w:val="single" w:sz="4" w:space="0" w:color="auto"/>
            </w:tcBorders>
            <w:shd w:val="clear" w:color="auto" w:fill="auto"/>
            <w:noWrap/>
            <w:vAlign w:val="bottom"/>
            <w:hideMark/>
          </w:tcPr>
          <w:p w14:paraId="739C69DD"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Bermudez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uthor":[{"dropping-particle":"","family":"Bermúdez","given":"Valmore","non-dropping-particle":"","parse-names":false,"suffix":""},{"dropping-particle":"","family":"Salazar","given":"Juan","non-dropping-particle":"","parse-names":false,"suffix":""},{"dropping-particle":"","family":"Graterol","given":"Modesto","non-dropping-particle":"","parse-names":false,"suffix":""},{"dropping-particle":"","family":"Rojas","given":"Joselyn","non-dropping-particle":"","parse-names":false,"suffix":""}],"container-title":"Revista colombiana de Cardiología","id":"ITEM-1","issue":"6","issued":{"date-parts":[["2017"]]},"title":"Importance of high triglycerides levels between novel coronary risk factors","type":"article-journal","volume":"24"},"uris":["http://www.mendeley.com/documents/?uuid=ebc8f1bd-69f5-4da7-b785-9fa75e5daa4f"]}],"mendeley":{"formattedCitation":"&lt;sup&gt;173&lt;/sup&gt;","plainTextFormattedCitation":"173","previouslyFormattedCitation":"&lt;sup&gt;173&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173</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296442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2017</w:t>
            </w:r>
          </w:p>
        </w:tc>
        <w:tc>
          <w:tcPr>
            <w:tcW w:w="598" w:type="pct"/>
            <w:tcBorders>
              <w:top w:val="nil"/>
              <w:left w:val="nil"/>
              <w:bottom w:val="single" w:sz="4" w:space="0" w:color="auto"/>
              <w:right w:val="single" w:sz="4" w:space="0" w:color="auto"/>
            </w:tcBorders>
            <w:shd w:val="clear" w:color="auto" w:fill="auto"/>
            <w:noWrap/>
            <w:vAlign w:val="bottom"/>
            <w:hideMark/>
          </w:tcPr>
          <w:p w14:paraId="69C1C2E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2014</w:t>
            </w:r>
          </w:p>
        </w:tc>
        <w:tc>
          <w:tcPr>
            <w:tcW w:w="548" w:type="pct"/>
            <w:tcBorders>
              <w:top w:val="nil"/>
              <w:left w:val="nil"/>
              <w:bottom w:val="single" w:sz="4" w:space="0" w:color="auto"/>
              <w:right w:val="single" w:sz="4" w:space="0" w:color="auto"/>
            </w:tcBorders>
            <w:shd w:val="clear" w:color="auto" w:fill="auto"/>
            <w:noWrap/>
            <w:vAlign w:val="bottom"/>
            <w:hideMark/>
          </w:tcPr>
          <w:p w14:paraId="495F8C09"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1379</w:t>
            </w:r>
          </w:p>
        </w:tc>
        <w:tc>
          <w:tcPr>
            <w:tcW w:w="399" w:type="pct"/>
            <w:tcBorders>
              <w:top w:val="nil"/>
              <w:left w:val="nil"/>
              <w:bottom w:val="single" w:sz="4" w:space="0" w:color="auto"/>
              <w:right w:val="single" w:sz="4" w:space="0" w:color="auto"/>
            </w:tcBorders>
            <w:shd w:val="clear" w:color="auto" w:fill="auto"/>
            <w:noWrap/>
            <w:vAlign w:val="bottom"/>
            <w:hideMark/>
          </w:tcPr>
          <w:p w14:paraId="718C06D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44.1</w:t>
            </w:r>
          </w:p>
        </w:tc>
        <w:tc>
          <w:tcPr>
            <w:tcW w:w="449" w:type="pct"/>
            <w:tcBorders>
              <w:top w:val="nil"/>
              <w:left w:val="nil"/>
              <w:bottom w:val="single" w:sz="4" w:space="0" w:color="auto"/>
              <w:right w:val="single" w:sz="4" w:space="0" w:color="auto"/>
            </w:tcBorders>
            <w:shd w:val="clear" w:color="auto" w:fill="auto"/>
            <w:noWrap/>
            <w:vAlign w:val="bottom"/>
            <w:hideMark/>
          </w:tcPr>
          <w:p w14:paraId="23F0451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46.9</w:t>
            </w:r>
          </w:p>
        </w:tc>
        <w:tc>
          <w:tcPr>
            <w:tcW w:w="498" w:type="pct"/>
            <w:tcBorders>
              <w:top w:val="nil"/>
              <w:left w:val="nil"/>
              <w:bottom w:val="single" w:sz="4" w:space="0" w:color="auto"/>
              <w:right w:val="single" w:sz="4" w:space="0" w:color="auto"/>
            </w:tcBorders>
            <w:shd w:val="clear" w:color="auto" w:fill="auto"/>
            <w:noWrap/>
            <w:vAlign w:val="bottom"/>
            <w:hideMark/>
          </w:tcPr>
          <w:p w14:paraId="539695E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5300F0D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6CF1565"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C35C238"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Venezuela</w:t>
            </w:r>
          </w:p>
        </w:tc>
        <w:tc>
          <w:tcPr>
            <w:tcW w:w="1053" w:type="pct"/>
            <w:tcBorders>
              <w:top w:val="nil"/>
              <w:left w:val="nil"/>
              <w:bottom w:val="single" w:sz="4" w:space="0" w:color="auto"/>
              <w:right w:val="single" w:sz="4" w:space="0" w:color="auto"/>
            </w:tcBorders>
            <w:shd w:val="clear" w:color="auto" w:fill="auto"/>
            <w:noWrap/>
            <w:vAlign w:val="bottom"/>
            <w:hideMark/>
          </w:tcPr>
          <w:p w14:paraId="5568B0FD"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Fernandez</w:t>
            </w:r>
            <w:r w:rsidRPr="009E0769">
              <w:rPr>
                <w:rFonts w:ascii="Arial" w:eastAsia="Times New Roman" w:hAnsi="Arial" w:cs="Arial"/>
                <w:color w:val="000000"/>
                <w:sz w:val="16"/>
                <w:szCs w:val="16"/>
                <w:lang w:val="es-PE"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uthor":[{"dropping-particle":"","family":"Fernández","given":"Virginia","non-dropping-particle":"","parse-names":false,"suffix":""},{"dropping-particle":"","family":"Clavell","given":"Emilio","non-dropping-particle":"","parse-names":false,"suffix":""},{"dropping-particle":"","family":"J.Villasmil","given":"José","non-dropping-particle":"","parse-names":false,"suffix":""}],"container-title":"Invest clin","id":"ITEM-1","issue":"June 2006","issued":{"date-parts":[["2014"]]},"page":"167-177","title":"Niveles basales de insulina en una población del estado Zulia , Venezuela","type":"article-journal","volume":"47"},"uris":["http://www.mendeley.com/documents/?uuid=46f70d74-6aa9-4eeb-a969-8d3154428a7b"]}],"mendeley":{"formattedCitation":"&lt;sup&gt;174&lt;/sup&gt;","plainTextFormattedCitation":"174","previouslyFormattedCitation":"&lt;sup&gt;174&lt;/sup&gt;"},"properties":{"noteIndex":0},"schema":"https://github.com/citation-style-language/schema/raw/master/csl-citation.json"}</w:instrText>
            </w:r>
            <w:r w:rsidRPr="009E0769">
              <w:rPr>
                <w:rFonts w:ascii="Arial" w:eastAsia="Times New Roman" w:hAnsi="Arial" w:cs="Arial"/>
                <w:color w:val="000000"/>
                <w:sz w:val="16"/>
                <w:szCs w:val="16"/>
                <w:lang w:val="es-PE" w:eastAsia="en-GB"/>
              </w:rPr>
              <w:fldChar w:fldCharType="separate"/>
            </w:r>
            <w:r w:rsidRPr="009E0769">
              <w:rPr>
                <w:rFonts w:ascii="Arial" w:eastAsia="Times New Roman" w:hAnsi="Arial" w:cs="Arial"/>
                <w:noProof/>
                <w:color w:val="000000"/>
                <w:sz w:val="16"/>
                <w:szCs w:val="16"/>
                <w:vertAlign w:val="superscript"/>
                <w:lang w:val="es-PE" w:eastAsia="en-GB"/>
              </w:rPr>
              <w:t>174</w:t>
            </w:r>
            <w:r w:rsidRPr="009E0769">
              <w:rPr>
                <w:rFonts w:ascii="Arial" w:eastAsia="Times New Roman" w:hAnsi="Arial" w:cs="Arial"/>
                <w:color w:val="000000"/>
                <w:sz w:val="16"/>
                <w:szCs w:val="16"/>
                <w:lang w:val="es-PE"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2C5AC12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98" w:type="pct"/>
            <w:tcBorders>
              <w:top w:val="nil"/>
              <w:left w:val="nil"/>
              <w:bottom w:val="single" w:sz="4" w:space="0" w:color="auto"/>
              <w:right w:val="single" w:sz="4" w:space="0" w:color="auto"/>
            </w:tcBorders>
            <w:shd w:val="clear" w:color="auto" w:fill="auto"/>
            <w:noWrap/>
            <w:vAlign w:val="bottom"/>
            <w:hideMark/>
          </w:tcPr>
          <w:p w14:paraId="30B1274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548" w:type="pct"/>
            <w:tcBorders>
              <w:top w:val="nil"/>
              <w:left w:val="nil"/>
              <w:bottom w:val="single" w:sz="4" w:space="0" w:color="auto"/>
              <w:right w:val="single" w:sz="4" w:space="0" w:color="auto"/>
            </w:tcBorders>
            <w:shd w:val="clear" w:color="auto" w:fill="auto"/>
            <w:noWrap/>
            <w:vAlign w:val="bottom"/>
            <w:hideMark/>
          </w:tcPr>
          <w:p w14:paraId="173C790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1703</w:t>
            </w:r>
          </w:p>
        </w:tc>
        <w:tc>
          <w:tcPr>
            <w:tcW w:w="399" w:type="pct"/>
            <w:tcBorders>
              <w:top w:val="nil"/>
              <w:left w:val="nil"/>
              <w:bottom w:val="single" w:sz="4" w:space="0" w:color="auto"/>
              <w:right w:val="single" w:sz="4" w:space="0" w:color="auto"/>
            </w:tcBorders>
            <w:shd w:val="clear" w:color="auto" w:fill="auto"/>
            <w:noWrap/>
            <w:vAlign w:val="bottom"/>
            <w:hideMark/>
          </w:tcPr>
          <w:p w14:paraId="05FCD2A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w:t>
            </w:r>
          </w:p>
        </w:tc>
        <w:tc>
          <w:tcPr>
            <w:tcW w:w="449" w:type="pct"/>
            <w:tcBorders>
              <w:top w:val="nil"/>
              <w:left w:val="nil"/>
              <w:bottom w:val="single" w:sz="4" w:space="0" w:color="auto"/>
              <w:right w:val="single" w:sz="4" w:space="0" w:color="auto"/>
            </w:tcBorders>
            <w:shd w:val="clear" w:color="auto" w:fill="auto"/>
            <w:noWrap/>
            <w:vAlign w:val="bottom"/>
            <w:hideMark/>
          </w:tcPr>
          <w:p w14:paraId="4F29E57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47.02</w:t>
            </w:r>
          </w:p>
        </w:tc>
        <w:tc>
          <w:tcPr>
            <w:tcW w:w="498" w:type="pct"/>
            <w:tcBorders>
              <w:top w:val="nil"/>
              <w:left w:val="nil"/>
              <w:bottom w:val="single" w:sz="4" w:space="0" w:color="auto"/>
              <w:right w:val="single" w:sz="4" w:space="0" w:color="auto"/>
            </w:tcBorders>
            <w:shd w:val="clear" w:color="auto" w:fill="auto"/>
            <w:noWrap/>
            <w:vAlign w:val="bottom"/>
            <w:hideMark/>
          </w:tcPr>
          <w:p w14:paraId="1556260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24FCF1A5"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BFB9BCD"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1747DFD"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Venezuela</w:t>
            </w:r>
          </w:p>
        </w:tc>
        <w:tc>
          <w:tcPr>
            <w:tcW w:w="1053" w:type="pct"/>
            <w:tcBorders>
              <w:top w:val="nil"/>
              <w:left w:val="nil"/>
              <w:bottom w:val="single" w:sz="4" w:space="0" w:color="auto"/>
              <w:right w:val="single" w:sz="4" w:space="0" w:color="auto"/>
            </w:tcBorders>
            <w:shd w:val="clear" w:color="auto" w:fill="auto"/>
            <w:noWrap/>
            <w:vAlign w:val="bottom"/>
            <w:hideMark/>
          </w:tcPr>
          <w:p w14:paraId="0D12128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Florez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{"citationItems":[{"id":"ITEM-1","itemData":{"ISSN":"0168-8227","abstract":"Studies have highlighted the association between insulin resistance (IR) and several cardiovascular (CV) risk factors, including hypertension (HTN), obesity, dyslipidemia (i.e. high triglyceride and low HDL-cholesterol) and glucose intolerance, in a cluster known as the metabolic syndrome (MS). There are few data on the frequency of the MS and dyslipidemia in developing countries, and none in South America. To estimate the prevalence of the MS and its components in Zulia State, Venezuela, and to establish associated demographic and clinical factors, we evaluated 3108 Hispanic men and women aged 20 years or older from a cross-sectional survey of a random representative sample from each health district in Zulia State, Venezuela (1999-2001). Prevalence of the MS and dyslipidemia was defined according to the National Cholesterol Education Program (NCEP)/Adult Treatment Panel III (ATP III) criteria. The age-adjusted prevalence of MS and dyslipidemia was 31.2% and 24.1%, respectively, with higher rates in men than in women. Prevalence rates increased with age and with the degree of obesity. MS prevalence was lower in Amerindian (17.%) compared to Black (27.2%), White (33.3%) and Mixed (37.4%) men, but no differences were found among women. Overall, low HDL-cholesterol (65.3%), abdominal obesity (42.9%) and HTN (38.1%) were the most frequent MS components. After adjusting for age, sex and race groups, family history of diabetes, obesity and HTN were associated with the MS. Sedentary lifestyle also increased the risk of MS, event after adjusting for the same covariates, obesity and the degree of IR. These results suggest that MS is found in approximately one-third of the Venezuelan adult population in Zulia State, with higher prevalence in men related to the presence of dyslipidemia. Lifestyle interventions in MS subjects are needed in Venezuela to halt the burden of CV disease and diabetes.","author":[{"dropping-particle":"","family":"Florez","given":"Hermes","non-dropping-particle":"","parse-names":false,"suffix":""},{"dropping-particle":"","family":"Silva","given":"Egle","non-dropping-particle":"","parse-names":false,"suffix":""},{"dropping-particle":"","family":"ez","given":"Virginia","non-dropping-particle":"","parse-names":false,"suffix":""},{"dropping-particle":"","family":"Ryder","given":"Elena","non-dropping-particle":"","parse-names":false,"suffix":""},{"dropping-particle":"","family":"Sulbaran","given":"Tulio","non-dropping-particle":"","parse-names":false,"suffix":""},{"dropping-particle":"","family":"Campos","given":"Gilberto","non-dropping-particle":"","parse-names":false,"suffix":""},{"dropping-particle":"","family":"Calmon","given":"Gustavo","non-dropping-particle":"","parse-names":false,"suffix":""},{"dropping-particle":"","family":"Clavel","given":"Emilio","non-dropping-particle":"","parse-names":false,"suffix":""},{"dropping-particle":"","family":"Castillo-Florez","given":"Sumaya","non-dropping-particle":"","parse-names":false,"suffix":""},{"dropping-particle":"","family":"Goldberg","given":"Ronald","non-dropping-particle":"","parse-names":false,"suffix":""}],"container-title":"Diabetes research and clinical practice","id":"ITEM-1","issue":"1","issued":{"date-parts":[["2005"]]},"page":"63-77","title":"Prevalence and risk factors associated with the metabolic syndrome and dyslipidemia in White, Black, Amerindian and Mixed Hispanics in Zulia State, Venezuela","type":"article-journal","volume":"69"},"uris":["http://www.mendeley.com/documents/?uuid=3648a4b6-d8b9-4176-833b-fe100015c76a"]}],"mendeley":{"formattedCitation":"&lt;sup&gt;175&lt;/sup&gt;","plainTextFormattedCitation":"175","previouslyFormattedCitation":"&lt;sup&gt;175&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175</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95D80B1"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2005</w:t>
            </w:r>
          </w:p>
        </w:tc>
        <w:tc>
          <w:tcPr>
            <w:tcW w:w="598" w:type="pct"/>
            <w:tcBorders>
              <w:top w:val="nil"/>
              <w:left w:val="nil"/>
              <w:bottom w:val="single" w:sz="4" w:space="0" w:color="auto"/>
              <w:right w:val="single" w:sz="4" w:space="0" w:color="auto"/>
            </w:tcBorders>
            <w:shd w:val="clear" w:color="auto" w:fill="auto"/>
            <w:noWrap/>
            <w:vAlign w:val="bottom"/>
            <w:hideMark/>
          </w:tcPr>
          <w:p w14:paraId="631EA9E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2000</w:t>
            </w:r>
          </w:p>
        </w:tc>
        <w:tc>
          <w:tcPr>
            <w:tcW w:w="548" w:type="pct"/>
            <w:tcBorders>
              <w:top w:val="nil"/>
              <w:left w:val="nil"/>
              <w:bottom w:val="single" w:sz="4" w:space="0" w:color="auto"/>
              <w:right w:val="single" w:sz="4" w:space="0" w:color="auto"/>
            </w:tcBorders>
            <w:shd w:val="clear" w:color="auto" w:fill="auto"/>
            <w:noWrap/>
            <w:vAlign w:val="bottom"/>
            <w:hideMark/>
          </w:tcPr>
          <w:p w14:paraId="2A68746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3108</w:t>
            </w:r>
          </w:p>
        </w:tc>
        <w:tc>
          <w:tcPr>
            <w:tcW w:w="399" w:type="pct"/>
            <w:tcBorders>
              <w:top w:val="nil"/>
              <w:left w:val="nil"/>
              <w:bottom w:val="single" w:sz="4" w:space="0" w:color="auto"/>
              <w:right w:val="single" w:sz="4" w:space="0" w:color="auto"/>
            </w:tcBorders>
            <w:shd w:val="clear" w:color="auto" w:fill="auto"/>
            <w:noWrap/>
            <w:vAlign w:val="bottom"/>
            <w:hideMark/>
          </w:tcPr>
          <w:p w14:paraId="0445A44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30.44</w:t>
            </w:r>
          </w:p>
        </w:tc>
        <w:tc>
          <w:tcPr>
            <w:tcW w:w="449" w:type="pct"/>
            <w:tcBorders>
              <w:top w:val="nil"/>
              <w:left w:val="nil"/>
              <w:bottom w:val="single" w:sz="4" w:space="0" w:color="auto"/>
              <w:right w:val="single" w:sz="4" w:space="0" w:color="auto"/>
            </w:tcBorders>
            <w:shd w:val="clear" w:color="auto" w:fill="auto"/>
            <w:noWrap/>
            <w:vAlign w:val="bottom"/>
            <w:hideMark/>
          </w:tcPr>
          <w:p w14:paraId="7EBCE97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43.72</w:t>
            </w:r>
          </w:p>
        </w:tc>
        <w:tc>
          <w:tcPr>
            <w:tcW w:w="498" w:type="pct"/>
            <w:tcBorders>
              <w:top w:val="nil"/>
              <w:left w:val="nil"/>
              <w:bottom w:val="single" w:sz="4" w:space="0" w:color="auto"/>
              <w:right w:val="single" w:sz="4" w:space="0" w:color="auto"/>
            </w:tcBorders>
            <w:shd w:val="clear" w:color="auto" w:fill="auto"/>
            <w:noWrap/>
            <w:vAlign w:val="bottom"/>
            <w:hideMark/>
          </w:tcPr>
          <w:p w14:paraId="3056B0F0"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08CEAE26"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32702C80"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7E9509E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Venezuela</w:t>
            </w:r>
          </w:p>
        </w:tc>
        <w:tc>
          <w:tcPr>
            <w:tcW w:w="1053" w:type="pct"/>
            <w:tcBorders>
              <w:top w:val="nil"/>
              <w:left w:val="nil"/>
              <w:bottom w:val="single" w:sz="4" w:space="0" w:color="auto"/>
              <w:right w:val="single" w:sz="4" w:space="0" w:color="auto"/>
            </w:tcBorders>
            <w:shd w:val="clear" w:color="auto" w:fill="auto"/>
            <w:noWrap/>
            <w:vAlign w:val="bottom"/>
            <w:hideMark/>
          </w:tcPr>
          <w:p w14:paraId="36AA85B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Gonzales-Rivas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{"citationItems":[{"id":"ITEM-1","itemData":{"ISSN":"0535-5133","abstract":"The prevalence of hypertension in multiple regions of Venezuela is unknown. The objective of this study was to estimate the prevalence of hypertension in five populations from three regions. During 2006 to 2010, 1392 subjects aged 20 or older were selected by multistage stratified random sampling from all households in five municipalities from: Lara State (Western region), Merida State (Andean region), and Capital District (Capital region). Anthropometric measurements, blood pressure, and biochemical analysis were obtained from each participant. Mean age was 45.2 +/- 0.4 years and 68% were females. The overall prevalence of hypertension was 31.3% (CI 95% 28.9 - 33.8), it was higher in men than women (38.1% [33.5 - 42.8] vs. 28.2% [25.4 - 31.2], respectively; p &lt;0.001). The hypertensive participants were older, with higher body mass index (BMI), glucose, total cholesterol, LDL-c, and triglycerides; and lower values of HDL-c, than pre-hypertensive and normotensive participants (p &lt; 0.05). In women, hypertension prevalence increased linearly for every decade of life and by category of BMI; whereas in men it increased until the fifth decade of life, and was similar in patients with overweight and obesity. The risk of hypertension increased with age, the presence of obesity, diabetes, overweight and family history of hypertension. Only 17.7% of the hypertensive subjects were both treated and controlled. In conclusion, about one third of the subjects evaluated had hypertension and about one fifth of them had their hypertension under control. In Venezuela, hypertension is a serious public health problem exacerbated by age and overweight.","author":[{"dropping-particle":"","family":"Gonzalez-Rivas","given":"Juan P","non-dropping-particle":"","parse-names":false,"suffix":""},{"dropping-particle":"","family":"Jose Garcia Santiago","given":"Raul","non-dropping-particle":"","parse-names":false,"suffix":""},{"dropping-particle":"","family":"Ugel","given":"Eunice","non-dropping-particle":"","parse-names":false,"suffix":""},{"dropping-particle":"","family":"Brajkovich","given":"Imperia","non-dropping-particle":"","parse-names":false,"suffix":""},{"dropping-particle":"","family":"Risquez","given":"Alej","non-dropping-particle":"","parse-names":false,"suffix":""},{"dropping-particle":"","family":"Nieto-Martinez","given":"Ramfis","non-dropping-particle":"","parse-names":false,"suffix":""}],"container-title":"Investigacion clinica","id":"ITEM-1","issue":"4","issued":{"date-parts":[["2016"]]},"page":"364-376","title":"High prevalence and poor control of hypertension in five venezuelan populations: the VEMSOLS study","type":"article-journal","volume":"57"},"uris":["http://www.mendeley.com/documents/?uuid=130a6f33-ff40-46bf-a603-b29313f7646c"]}],"mendeley":{"formattedCitation":"&lt;sup&gt;176&lt;/sup&gt;","plainTextFormattedCitation":"176","previouslyFormattedCitation":"&lt;sup&gt;176&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176</w:t>
            </w:r>
            <w:r w:rsidRPr="009E0769">
              <w:rPr>
                <w:rFonts w:ascii="Arial" w:eastAsia="Times New Roman" w:hAnsi="Arial" w:cs="Arial"/>
                <w:color w:val="000000"/>
                <w:sz w:val="16"/>
                <w:szCs w:val="16"/>
                <w:lang w:eastAsia="en-GB"/>
              </w:rPr>
              <w:fldChar w:fldCharType="end"/>
            </w:r>
            <w:r w:rsidRPr="009E0769">
              <w:rPr>
                <w:rFonts w:ascii="Arial" w:eastAsia="Times New Roman" w:hAnsi="Arial" w:cs="Arial"/>
                <w:color w:val="000000"/>
                <w:sz w:val="16"/>
                <w:szCs w:val="16"/>
                <w:lang w:eastAsia="en-GB"/>
              </w:rPr>
              <w:t xml:space="preserve"> </w:t>
            </w:r>
          </w:p>
        </w:tc>
        <w:tc>
          <w:tcPr>
            <w:tcW w:w="648" w:type="pct"/>
            <w:tcBorders>
              <w:top w:val="nil"/>
              <w:left w:val="nil"/>
              <w:bottom w:val="single" w:sz="4" w:space="0" w:color="auto"/>
              <w:right w:val="single" w:sz="4" w:space="0" w:color="auto"/>
            </w:tcBorders>
            <w:shd w:val="clear" w:color="auto" w:fill="auto"/>
            <w:noWrap/>
            <w:vAlign w:val="bottom"/>
            <w:hideMark/>
          </w:tcPr>
          <w:p w14:paraId="46D8955F"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7DE739D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2008</w:t>
            </w:r>
          </w:p>
        </w:tc>
        <w:tc>
          <w:tcPr>
            <w:tcW w:w="548" w:type="pct"/>
            <w:tcBorders>
              <w:top w:val="nil"/>
              <w:left w:val="nil"/>
              <w:bottom w:val="single" w:sz="4" w:space="0" w:color="auto"/>
              <w:right w:val="single" w:sz="4" w:space="0" w:color="auto"/>
            </w:tcBorders>
            <w:shd w:val="clear" w:color="auto" w:fill="auto"/>
            <w:noWrap/>
            <w:vAlign w:val="bottom"/>
            <w:hideMark/>
          </w:tcPr>
          <w:p w14:paraId="2AA2251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1392</w:t>
            </w:r>
          </w:p>
        </w:tc>
        <w:tc>
          <w:tcPr>
            <w:tcW w:w="399" w:type="pct"/>
            <w:tcBorders>
              <w:top w:val="nil"/>
              <w:left w:val="nil"/>
              <w:bottom w:val="single" w:sz="4" w:space="0" w:color="auto"/>
              <w:right w:val="single" w:sz="4" w:space="0" w:color="auto"/>
            </w:tcBorders>
            <w:shd w:val="clear" w:color="auto" w:fill="auto"/>
            <w:noWrap/>
            <w:vAlign w:val="bottom"/>
            <w:hideMark/>
          </w:tcPr>
          <w:p w14:paraId="29761B0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31.3</w:t>
            </w:r>
          </w:p>
        </w:tc>
        <w:tc>
          <w:tcPr>
            <w:tcW w:w="449" w:type="pct"/>
            <w:tcBorders>
              <w:top w:val="nil"/>
              <w:left w:val="nil"/>
              <w:bottom w:val="single" w:sz="4" w:space="0" w:color="auto"/>
              <w:right w:val="single" w:sz="4" w:space="0" w:color="auto"/>
            </w:tcBorders>
            <w:shd w:val="clear" w:color="auto" w:fill="auto"/>
            <w:noWrap/>
            <w:vAlign w:val="bottom"/>
            <w:hideMark/>
          </w:tcPr>
          <w:p w14:paraId="32F6D6E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45.2</w:t>
            </w:r>
          </w:p>
        </w:tc>
        <w:tc>
          <w:tcPr>
            <w:tcW w:w="498" w:type="pct"/>
            <w:tcBorders>
              <w:top w:val="nil"/>
              <w:left w:val="nil"/>
              <w:bottom w:val="single" w:sz="4" w:space="0" w:color="auto"/>
              <w:right w:val="single" w:sz="4" w:space="0" w:color="auto"/>
            </w:tcBorders>
            <w:shd w:val="clear" w:color="auto" w:fill="auto"/>
            <w:noWrap/>
            <w:vAlign w:val="bottom"/>
            <w:hideMark/>
          </w:tcPr>
          <w:p w14:paraId="429FE23E"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National</w:t>
            </w:r>
          </w:p>
        </w:tc>
        <w:tc>
          <w:tcPr>
            <w:tcW w:w="277" w:type="pct"/>
            <w:tcBorders>
              <w:top w:val="nil"/>
              <w:left w:val="nil"/>
              <w:bottom w:val="single" w:sz="4" w:space="0" w:color="auto"/>
              <w:right w:val="single" w:sz="4" w:space="0" w:color="auto"/>
            </w:tcBorders>
            <w:shd w:val="clear" w:color="auto" w:fill="auto"/>
            <w:noWrap/>
            <w:vAlign w:val="bottom"/>
            <w:hideMark/>
          </w:tcPr>
          <w:p w14:paraId="0AB73B72"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769AE16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4680B2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Venezuela</w:t>
            </w:r>
          </w:p>
        </w:tc>
        <w:tc>
          <w:tcPr>
            <w:tcW w:w="1053" w:type="pct"/>
            <w:tcBorders>
              <w:top w:val="nil"/>
              <w:left w:val="nil"/>
              <w:bottom w:val="single" w:sz="4" w:space="0" w:color="auto"/>
              <w:right w:val="single" w:sz="4" w:space="0" w:color="auto"/>
            </w:tcBorders>
            <w:shd w:val="clear" w:color="auto" w:fill="auto"/>
            <w:noWrap/>
            <w:vAlign w:val="bottom"/>
            <w:hideMark/>
          </w:tcPr>
          <w:p w14:paraId="7680E381" w14:textId="77777777" w:rsidR="00665066" w:rsidRPr="009E0769" w:rsidRDefault="00665066" w:rsidP="0054001C">
            <w:pPr>
              <w:spacing w:after="0" w:line="240" w:lineRule="auto"/>
              <w:rPr>
                <w:rFonts w:ascii="Arial" w:eastAsia="Times New Roman" w:hAnsi="Arial" w:cs="Arial"/>
                <w:color w:val="000000"/>
                <w:sz w:val="16"/>
                <w:szCs w:val="16"/>
                <w:lang w:val="es-PE" w:eastAsia="en-GB"/>
              </w:rPr>
            </w:pPr>
            <w:r w:rsidRPr="009E0769">
              <w:rPr>
                <w:rFonts w:ascii="Arial" w:eastAsia="Times New Roman" w:hAnsi="Arial" w:cs="Arial"/>
                <w:color w:val="000000"/>
                <w:sz w:val="16"/>
                <w:szCs w:val="16"/>
                <w:lang w:val="es-PE" w:eastAsia="en-GB"/>
              </w:rPr>
              <w:t>Becerra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val="es-PE" w:eastAsia="en-GB"/>
              </w:rPr>
              <w:instrText>ADDIN CSL_CITATION {"citationItems":[{"id":"ITEM-1","itemData":{"author":[{"dropping-particle":"","family":"Becerra Leal","given":"Ana Victoria","non-dropping-particle":"","parse-names":false,"suffix":""},{"dropping-particle":"","family":"Valery","given":"Torres Lenin","non-dropping-particle":"","parse-names":false,"suffix":""},{"dropping-particle":"","family":"Del","given":"Prevalencia","non-dropping-particle":"","parse-names":false,"suffix":""},{"dropping-particle":"","family":"Metabólico","given":"Síndrome","non-dropping-particle":"","parse-names":false,"suffix":""},{"dropping-particle":"","family":"La","given":"E N","non-dropping-particle":"","parse-names":false,"suffix":""},{"dropping-particle":"","family":"Urbana","given":"Población","non-dropping-particle":"","parse-names":false,"suffix":""},{"dropping-particle":"","family":"Victoria","given":"Ana","non-dropping-particle":"","parse-names":false,"suffix":""},{"dropping-particle":"","family":"Leal","given":"Becerra","non-dropping-particle":"","parse-names":false,"suffix":""},{"dropping-particle":"","family":"Torres","given":"Adrián","non-dropping-particle":"","parse-names":false,"suffix":""},{"dropping-particle":"","family":"Valery","given":"Lenin","non-dropping-particle":"","parse-names":false,"suffix":""},{"dropping-particle":"","family":"Arata-bellabarba","given":"Gabriela","non-dropping-particle":"","parse-names":false,"suffix":""},{"dropping-particle":"","family":"Elsy","given":"M","non-dropping-particle":"","parse-names":false,"suffix":""}],"container-title":"Revista Venezolana de Endocrinología y Metabolismo","id":"ITEM-1","issue":"3","issued":{"date-parts":[["2009"]]},"page":"16-22","title":"POBLACIÓN URBANA DE MUCUCHÍES , MÉRIDA","type":"article-journal","volume":"7"},"uris":["http://www.mendeley.com/documents/?uuid=9ee9eea2-9ed4-4d27-898a-8fdee0e05f39"]}],"mendeley":{"formattedCitation":"&lt;sup&gt;177&lt;/sup&gt;","plainTextFormattedCitation":"177","previouslyFormattedCitation":"&lt;sup&gt;177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val="es-PE" w:eastAsia="en-GB"/>
              </w:rPr>
              <w:t>177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49A4D43C"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2009</w:t>
            </w:r>
          </w:p>
        </w:tc>
        <w:tc>
          <w:tcPr>
            <w:tcW w:w="598" w:type="pct"/>
            <w:tcBorders>
              <w:top w:val="nil"/>
              <w:left w:val="nil"/>
              <w:bottom w:val="single" w:sz="4" w:space="0" w:color="auto"/>
              <w:right w:val="single" w:sz="4" w:space="0" w:color="auto"/>
            </w:tcBorders>
            <w:shd w:val="clear" w:color="auto" w:fill="auto"/>
            <w:noWrap/>
            <w:vAlign w:val="bottom"/>
            <w:hideMark/>
          </w:tcPr>
          <w:p w14:paraId="536ECBC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2007</w:t>
            </w:r>
          </w:p>
        </w:tc>
        <w:tc>
          <w:tcPr>
            <w:tcW w:w="548" w:type="pct"/>
            <w:tcBorders>
              <w:top w:val="nil"/>
              <w:left w:val="nil"/>
              <w:bottom w:val="single" w:sz="4" w:space="0" w:color="auto"/>
              <w:right w:val="single" w:sz="4" w:space="0" w:color="auto"/>
            </w:tcBorders>
            <w:shd w:val="clear" w:color="auto" w:fill="auto"/>
            <w:noWrap/>
            <w:vAlign w:val="bottom"/>
            <w:hideMark/>
          </w:tcPr>
          <w:p w14:paraId="5C8B694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109</w:t>
            </w:r>
          </w:p>
        </w:tc>
        <w:tc>
          <w:tcPr>
            <w:tcW w:w="399" w:type="pct"/>
            <w:tcBorders>
              <w:top w:val="nil"/>
              <w:left w:val="nil"/>
              <w:bottom w:val="single" w:sz="4" w:space="0" w:color="auto"/>
              <w:right w:val="single" w:sz="4" w:space="0" w:color="auto"/>
            </w:tcBorders>
            <w:shd w:val="clear" w:color="auto" w:fill="auto"/>
            <w:noWrap/>
            <w:vAlign w:val="bottom"/>
            <w:hideMark/>
          </w:tcPr>
          <w:p w14:paraId="6B53A60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32.11</w:t>
            </w:r>
          </w:p>
        </w:tc>
        <w:tc>
          <w:tcPr>
            <w:tcW w:w="449" w:type="pct"/>
            <w:tcBorders>
              <w:top w:val="nil"/>
              <w:left w:val="nil"/>
              <w:bottom w:val="single" w:sz="4" w:space="0" w:color="auto"/>
              <w:right w:val="single" w:sz="4" w:space="0" w:color="auto"/>
            </w:tcBorders>
            <w:shd w:val="clear" w:color="auto" w:fill="auto"/>
            <w:noWrap/>
            <w:vAlign w:val="bottom"/>
            <w:hideMark/>
          </w:tcPr>
          <w:p w14:paraId="031572C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39.1</w:t>
            </w:r>
          </w:p>
        </w:tc>
        <w:tc>
          <w:tcPr>
            <w:tcW w:w="498" w:type="pct"/>
            <w:tcBorders>
              <w:top w:val="nil"/>
              <w:left w:val="nil"/>
              <w:bottom w:val="single" w:sz="4" w:space="0" w:color="auto"/>
              <w:right w:val="single" w:sz="4" w:space="0" w:color="auto"/>
            </w:tcBorders>
            <w:shd w:val="clear" w:color="auto" w:fill="auto"/>
            <w:noWrap/>
            <w:vAlign w:val="bottom"/>
            <w:hideMark/>
          </w:tcPr>
          <w:p w14:paraId="68E1D98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B6396B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1AFA2570"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2EC6C36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Venezuela</w:t>
            </w:r>
          </w:p>
        </w:tc>
        <w:tc>
          <w:tcPr>
            <w:tcW w:w="1053" w:type="pct"/>
            <w:tcBorders>
              <w:top w:val="nil"/>
              <w:left w:val="nil"/>
              <w:bottom w:val="single" w:sz="4" w:space="0" w:color="auto"/>
              <w:right w:val="single" w:sz="4" w:space="0" w:color="auto"/>
            </w:tcBorders>
            <w:shd w:val="clear" w:color="auto" w:fill="auto"/>
            <w:noWrap/>
            <w:vAlign w:val="bottom"/>
            <w:hideMark/>
          </w:tcPr>
          <w:p w14:paraId="1A421D4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Vinueza</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{"citationItems":[{"id":"ITEM-1","itemData":{"ISSN":"0091-7435","abstract":"Objective: The objective of this study was to describe the prevalence of dyslipidemia in the CARMELA study population. Methods: CARMELA was a cross-sectional study of cardiovascular risk conducted between September 2003 and August 2005 in adults (aged 25 to 64 years) living in Barquisimeto (n=1,824), Bogotá (n=1,511), Buenos Aires (n=1,412), Lima (n=1,628), Mexico City (n=1,677), Quito (n=1,620), and Santiago (n=1,605). Dyslipidemia was defined as the presence of one or more of the following conditions: triglycerides. ≥ 200 mg/dL, or total cholesterol (TC) ≥ 240 mg/dL, or HDL cholesterol. &lt; 40 mg/dL, or LDL cholesterol = not optimal, or currently taking antilipemic agents. Results: Prevalence rates of dyslipidemia in men and women were: 75.5% (CI: 71.9-79.1) and 48.7% (CI: 45.4-51.9) in Barquisimeto; 70% (CI: 66.2-73.8) and 47.7% (CI: 43.9-51.5) in Bogotá; 50.4% (CI: 46.8-54.0) and 24.1% (CI: 21.0-27.2) in Buenos Aires; 73.1% (CI: 69.3-76.8) and 62.8% (CI: 59.2-66.5) in Lima; 62.5% (CI: 58.5-66.5) and 37.5% (CI: 33.5-41.6) in Mexico City; 52.2% (CI: 47.9-56.5) and 38.1% (CI: 34.5-41.7) in Quito; and, 50.8% (CI: 47.1-54.4) and 32.8% (CI: 29.3-36.3) in Santiago. Conclusions: Dyslipidemia was disturbingly prevalent and varied across cities. The most frequent dyslipidemia was low HDL-C followed by high triglycerides. The high TC/HDL-C ratios and non-HDL-C levels suggest a high risk of cardiovascular disease. © 2009 Elsevier Inc.","author":[{"dropping-particle":"","family":"Vinueza","given":"R","non-dropping-particle":"","parse-names":false,"suffix":""},{"dropping-particle":"","family":"Boissonnet","given":"C P","non-dropping-particle":"","parse-names":false,"suffix":""},{"dropping-particle":"","family":"Acevedo","given":"M","non-dropping-particle":"","parse-names":false,"suffix":""},{"dropping-particle":"","family":"Uriza","given":"F","non-dropping-particle":"","parse-names":false,"suffix":""},{"dropping-particle":"","family":"Benitez","given":"F J","non-dropping-particle":"","parse-names":false,"suffix":""},{"dropping-particle":"","family":"Silva","given":"H","non-dropping-particle":"","parse-names":false,"suffix":""},{"dropping-particle":"","family":"Schargrodsky","given":"H","non-dropping-particle":"","parse-names":false,"suffix":""},{"dropping-particle":"","family":"Champagne","given":"B","non-dropping-particle":"","parse-names":false,"suffix":""},{"dropping-particle":"","family":"Wilson","given":"E","non-dropping-particle":"","parse-names":false,"suffix":""}],"container-title":"Preventive Medicine","id":"ITEM-1","issue":"3","issued":{"date-parts":[["2010"]]},"page":"106-111","title":"Dyslipidemia in seven Latin American cities: CARMELA study","type":"article-journal","volume":"50"},"uris":["http://www.mendeley.com/documents/?uuid=dec74194-a203-4dec-b7ae-764a9f731745"]}],"mendeley":{"formattedCitation":"&lt;sup&gt;1&lt;/sup&gt;","plainTextFormattedCitation":"1","previouslyFormattedCitation":"&lt;sup&gt;1&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756B149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2010</w:t>
            </w:r>
          </w:p>
        </w:tc>
        <w:tc>
          <w:tcPr>
            <w:tcW w:w="598" w:type="pct"/>
            <w:tcBorders>
              <w:top w:val="nil"/>
              <w:left w:val="nil"/>
              <w:bottom w:val="single" w:sz="4" w:space="0" w:color="auto"/>
              <w:right w:val="single" w:sz="4" w:space="0" w:color="auto"/>
            </w:tcBorders>
            <w:shd w:val="clear" w:color="auto" w:fill="auto"/>
            <w:noWrap/>
            <w:vAlign w:val="bottom"/>
            <w:hideMark/>
          </w:tcPr>
          <w:p w14:paraId="28021490"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2004</w:t>
            </w:r>
          </w:p>
        </w:tc>
        <w:tc>
          <w:tcPr>
            <w:tcW w:w="548" w:type="pct"/>
            <w:tcBorders>
              <w:top w:val="nil"/>
              <w:left w:val="nil"/>
              <w:bottom w:val="single" w:sz="4" w:space="0" w:color="auto"/>
              <w:right w:val="single" w:sz="4" w:space="0" w:color="auto"/>
            </w:tcBorders>
            <w:shd w:val="clear" w:color="auto" w:fill="auto"/>
            <w:noWrap/>
            <w:vAlign w:val="bottom"/>
            <w:hideMark/>
          </w:tcPr>
          <w:p w14:paraId="72DBB03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1824</w:t>
            </w:r>
          </w:p>
        </w:tc>
        <w:tc>
          <w:tcPr>
            <w:tcW w:w="399" w:type="pct"/>
            <w:tcBorders>
              <w:top w:val="nil"/>
              <w:left w:val="nil"/>
              <w:bottom w:val="single" w:sz="4" w:space="0" w:color="auto"/>
              <w:right w:val="single" w:sz="4" w:space="0" w:color="auto"/>
            </w:tcBorders>
            <w:shd w:val="clear" w:color="auto" w:fill="auto"/>
            <w:noWrap/>
            <w:vAlign w:val="bottom"/>
            <w:hideMark/>
          </w:tcPr>
          <w:p w14:paraId="71039733"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49" w:type="pct"/>
            <w:tcBorders>
              <w:top w:val="nil"/>
              <w:left w:val="nil"/>
              <w:bottom w:val="single" w:sz="4" w:space="0" w:color="auto"/>
              <w:right w:val="single" w:sz="4" w:space="0" w:color="auto"/>
            </w:tcBorders>
            <w:shd w:val="clear" w:color="auto" w:fill="auto"/>
            <w:noWrap/>
            <w:vAlign w:val="bottom"/>
            <w:hideMark/>
          </w:tcPr>
          <w:p w14:paraId="31CC7757"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 </w:t>
            </w:r>
          </w:p>
        </w:tc>
        <w:tc>
          <w:tcPr>
            <w:tcW w:w="498" w:type="pct"/>
            <w:tcBorders>
              <w:top w:val="nil"/>
              <w:left w:val="nil"/>
              <w:bottom w:val="single" w:sz="4" w:space="0" w:color="auto"/>
              <w:right w:val="single" w:sz="4" w:space="0" w:color="auto"/>
            </w:tcBorders>
            <w:shd w:val="clear" w:color="auto" w:fill="auto"/>
            <w:noWrap/>
            <w:vAlign w:val="bottom"/>
            <w:hideMark/>
          </w:tcPr>
          <w:p w14:paraId="0C0B092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1E6B71D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06AE07BF"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97AEA3F"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Venezuela</w:t>
            </w:r>
          </w:p>
        </w:tc>
        <w:tc>
          <w:tcPr>
            <w:tcW w:w="1053" w:type="pct"/>
            <w:tcBorders>
              <w:top w:val="nil"/>
              <w:left w:val="nil"/>
              <w:bottom w:val="single" w:sz="4" w:space="0" w:color="auto"/>
              <w:right w:val="single" w:sz="4" w:space="0" w:color="auto"/>
            </w:tcBorders>
            <w:shd w:val="clear" w:color="auto" w:fill="auto"/>
            <w:noWrap/>
            <w:vAlign w:val="bottom"/>
            <w:hideMark/>
          </w:tcPr>
          <w:p w14:paraId="4B791AF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Salas</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{"citationItems":[{"id":"ITEM-1","itemData":{"abstract":"Background: Little is known of the epidemiology of diabetes among older people in low and middle income countries. We aimed to study and compare prevalence, social patterning, correlates, detection, treatment and control of diabetes among older people in Latin America, India, China and Nigeria. Methods: Cross-sectional surveys in 13 catchment area sites in nine countries. Diagnosed diabetes was assessed in all sites through self-reported diagnosis. Undiagnosed diabetes was assessed in seven Latin American sites through fasting blood samples (glucose &gt; = 7mmol/L). Results: Total diabetes prevalence in catchment sites in Cuba (prevalence 24.2%, SMR 116), Puerto Rico (43.4%, 197), and urban (27.0%, 125), and rural Mexico (23.7%, 111) already exceeds that in the USA, while that in Venezuela (20.9%, 100) is similar. Diagnosed diabetes prevalence varied very widely, between low prevalences in sites in rural China (0.9%), rural India (6.6%) and Nigeria (6.0%). and 32.1% in Puerto Rico, explained mainly by access to health services. Treatment coverage varied substantially between sites. Diabetes control (40 to 61% of those diagnosed) was modest in the Latin American sites where this was studied. Diabetes was independently associated with less education, but more assets. Hypertension, central obesity and hypertriglyceridaemia, but not hypercholesterolaemia were consistently associated with total diabetes. Conclusions: Diabetes prevalence is already high in most sites. Identifying undiagnosed cases is essential to quantify population burden, particularly in least developed settings where diagnosis is uncommon. Metabolic risk factors and associated lifestyles may play an important part in aetiology, but this requires confirmation with longitudinal data. Given the high prevalence among older people, more population research is indicated to quantify the impact of diabetes, and to monitor the effect of prevention and health system strengthening on prevalence, treatment and control. © 2016 Salas et al. This is an open access article distributed under the terms of the Creative Commons Attribution License, which permits unrestricted use, distribution, and reproduction in any medium, provided the original author and source are credited.","author":[{"dropping-particle":"","family":"Salas","given":"A","non-dropping-particle":"","parse-names":false,"suffix":""},{"dropping-particle":"","family":"Acosta","given":"D","non-dropping-particle":"","parse-names":false,"suffix":""},{"dropping-particle":"","family":"Ferri","given":"C P","non-dropping-particle":"","parse-names":false,"suffix":""},{"dropping-particle":"","family":"Guerra","given":"M","non-dropping-particle":"","parse-names":false,"suffix":""},{"dropping-particle":"","family":"Huang","given":"Y","non-dropping-particle":"","parse-names":false,"suffix":""},{"dropping-particle":"","family":"Jacob","given":"K S","non-dropping-particle":"","parse-names":false,"suffix":""},{"dropping-particle":"","family":"Jimenez-Velazquez","given":"I Z","non-dropping-particle":"","parse-names":false,"suffix":""},{"dropping-particle":"","family":"Llibre Rodriguez","given":"J J","non-dropping-particle":"","parse-names":false,"suffix":""},{"dropping-particle":"","family":"Sosa","given":"A L","non-dropping-particle":"","parse-names":false,"suffix":""},{"dropping-particle":"","family":"Uwakwe","given":"R","non-dropping-particle":"","parse-names":false,"suffix":""},{"dropping-particle":"","family":"Williams","given":"J D","non-dropping-particle":"","parse-names":false,"suffix":""},{"dropping-particle":"","family":"Jotheeswaran","given":"A T","non-dropping-particle":"","parse-names":false,"suffix":""},{"dropping-particle":"","family":"Liu","given":"Z","non-dropping-particle":"","parse-names":false,"suffix":""},{"dropping-particle":"","family":"Lopez Medina","given":"A M","non-dropping-particle":"","parse-names":false,"suffix":""},{"dropping-particle":"","family":"Salinas-Contreras","given":"R M","non-dropping-particle":"","parse-names":false,"suffix":""},{"dropping-particle":"","family":"Prince","given":"M J","non-dropping-particle":"","parse-names":false,"suffix":""}],"container-title":"PLoS ONE","id":"ITEM-1","issue":"2","issued":{"date-parts":[["2016"]]},"title":"The prevalence, correlates, detection and control of diabetes among older people in low and middle income countries. A 10/66 dementia research group population-based survey","type":"article-journal","volume":"11"},"uris":["http://www.mendeley.com/documents/?uuid=96518829-d630-4e18-9544-a9dfb421d147"]}],"mendeley":{"formattedCitation":"&lt;sup&gt;107&lt;/sup&gt;","plainTextFormattedCitation":"107","previouslyFormattedCitation":"&lt;sup&gt;107&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107</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000CA31E"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2016</w:t>
            </w:r>
          </w:p>
        </w:tc>
        <w:tc>
          <w:tcPr>
            <w:tcW w:w="598" w:type="pct"/>
            <w:tcBorders>
              <w:top w:val="nil"/>
              <w:left w:val="nil"/>
              <w:bottom w:val="single" w:sz="4" w:space="0" w:color="auto"/>
              <w:right w:val="single" w:sz="4" w:space="0" w:color="auto"/>
            </w:tcBorders>
            <w:shd w:val="clear" w:color="auto" w:fill="auto"/>
            <w:noWrap/>
            <w:vAlign w:val="bottom"/>
            <w:hideMark/>
          </w:tcPr>
          <w:p w14:paraId="7FDA758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2006</w:t>
            </w:r>
          </w:p>
        </w:tc>
        <w:tc>
          <w:tcPr>
            <w:tcW w:w="548" w:type="pct"/>
            <w:tcBorders>
              <w:top w:val="nil"/>
              <w:left w:val="nil"/>
              <w:bottom w:val="single" w:sz="4" w:space="0" w:color="auto"/>
              <w:right w:val="single" w:sz="4" w:space="0" w:color="auto"/>
            </w:tcBorders>
            <w:shd w:val="clear" w:color="auto" w:fill="auto"/>
            <w:noWrap/>
            <w:vAlign w:val="bottom"/>
            <w:hideMark/>
          </w:tcPr>
          <w:p w14:paraId="7ADB0498"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1965</w:t>
            </w:r>
          </w:p>
        </w:tc>
        <w:tc>
          <w:tcPr>
            <w:tcW w:w="399" w:type="pct"/>
            <w:tcBorders>
              <w:top w:val="nil"/>
              <w:left w:val="nil"/>
              <w:bottom w:val="single" w:sz="4" w:space="0" w:color="auto"/>
              <w:right w:val="single" w:sz="4" w:space="0" w:color="auto"/>
            </w:tcBorders>
            <w:shd w:val="clear" w:color="auto" w:fill="auto"/>
            <w:noWrap/>
            <w:vAlign w:val="bottom"/>
            <w:hideMark/>
          </w:tcPr>
          <w:p w14:paraId="3F4C3953"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36.5</w:t>
            </w:r>
          </w:p>
        </w:tc>
        <w:tc>
          <w:tcPr>
            <w:tcW w:w="449" w:type="pct"/>
            <w:tcBorders>
              <w:top w:val="nil"/>
              <w:left w:val="nil"/>
              <w:bottom w:val="single" w:sz="4" w:space="0" w:color="auto"/>
              <w:right w:val="single" w:sz="4" w:space="0" w:color="auto"/>
            </w:tcBorders>
            <w:shd w:val="clear" w:color="auto" w:fill="auto"/>
            <w:noWrap/>
            <w:vAlign w:val="bottom"/>
            <w:hideMark/>
          </w:tcPr>
          <w:p w14:paraId="6A3FF39A"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72.3</w:t>
            </w:r>
          </w:p>
        </w:tc>
        <w:tc>
          <w:tcPr>
            <w:tcW w:w="498" w:type="pct"/>
            <w:tcBorders>
              <w:top w:val="nil"/>
              <w:left w:val="nil"/>
              <w:bottom w:val="single" w:sz="4" w:space="0" w:color="auto"/>
              <w:right w:val="single" w:sz="4" w:space="0" w:color="auto"/>
            </w:tcBorders>
            <w:shd w:val="clear" w:color="auto" w:fill="auto"/>
            <w:noWrap/>
            <w:vAlign w:val="bottom"/>
            <w:hideMark/>
          </w:tcPr>
          <w:p w14:paraId="32713B9B"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D0868EC"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r w:rsidR="00665066" w:rsidRPr="009E0769" w14:paraId="4F5F642B" w14:textId="77777777" w:rsidTr="0054001C">
        <w:trPr>
          <w:trHeight w:val="300"/>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5D6BCDF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lastRenderedPageBreak/>
              <w:t>Venezuela</w:t>
            </w:r>
          </w:p>
        </w:tc>
        <w:tc>
          <w:tcPr>
            <w:tcW w:w="1053" w:type="pct"/>
            <w:tcBorders>
              <w:top w:val="nil"/>
              <w:left w:val="nil"/>
              <w:bottom w:val="single" w:sz="4" w:space="0" w:color="auto"/>
              <w:right w:val="single" w:sz="4" w:space="0" w:color="auto"/>
            </w:tcBorders>
            <w:shd w:val="clear" w:color="auto" w:fill="auto"/>
            <w:noWrap/>
            <w:vAlign w:val="bottom"/>
            <w:hideMark/>
          </w:tcPr>
          <w:p w14:paraId="0BC9D461"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Bermudez</w:t>
            </w:r>
            <w:r w:rsidRPr="009E0769">
              <w:rPr>
                <w:rFonts w:ascii="Arial" w:eastAsia="Times New Roman" w:hAnsi="Arial" w:cs="Arial"/>
                <w:color w:val="000000"/>
                <w:sz w:val="16"/>
                <w:szCs w:val="16"/>
                <w:lang w:eastAsia="en-GB"/>
              </w:rPr>
              <w:fldChar w:fldCharType="begin" w:fldLock="1"/>
            </w:r>
            <w:r w:rsidRPr="009E0769">
              <w:rPr>
                <w:rFonts w:ascii="Arial" w:eastAsia="Times New Roman" w:hAnsi="Arial" w:cs="Arial"/>
                <w:color w:val="000000"/>
                <w:sz w:val="16"/>
                <w:szCs w:val="16"/>
                <w:lang w:eastAsia="en-GB"/>
              </w:rPr>
              <w:instrText>ADDIN CSL_CITATION {"citationItems":[{"id":"ITEM-1","itemData":{"DOI":"10.1155/2013/416451","abstract":"Background. Lipoprotein(a) [Lp(a)] is a known risk factor for cardiovascular disease, yet its influence on metabolic syndrome (MS) is still controversial. The purpose of this study was to assess the impact generated by this diagnosis in serum Lp(a) concentrations. Materials and Methods. A total of 1807 subjects of both genders (55.3% women and 44.7% men) belonging to the Maracaibo City Metabolic Syndrome Prevalence Study were evaluated. Results were expressed as Mean ± SD, determining differences through Student's t-test and One-Way ANOVA test. Multiple logistic regression models were utilized for analyzing factors associated with elevated serum Lp(a) levels and MS. Total cholesterol and LDL-C were corrected according to Lp(a)-Cholesterol when necessary. Results. No differences were found in Lp(a) values between genders; P = 0, 292. The association between MS and the classification of Lp(a) was statistically significant (χ 2 = 28.33; P &lt; 0, 0001), with greater levels in subjects with this diagnosis. In the univariate analysis, subjects with each of the separate diagnostic criteria showed higher serum Lp(a) concentrations, except for hyperglycemia. Conclusions. Lp(a) values exhibit important variations regarding MS and each of its components. Impaired fasting glucose appeared as a protecting factor against elevated Lp(a) concentrations, whereas its association with LDL-C and hs-CRP suggests a potential pro-inflammatory role. © 2013 Valmore Bermúdez et al.","author":[{"dropping-particle":"","family":"Bermúdez","given":"Valmore","non-dropping-particle":"","parse-names":false,"suffix":""},{"dropping-particle":"","family":"Rojas","given":"Joselyn","non-dropping-particle":"","parse-names":false,"suffix":""},{"dropping-particle":"","family":"Salazar","given":"Juan","non-dropping-particle":"","parse-names":false,"suffix":""},{"dropping-particle":"","family":"Bello","given":"Luis","non-dropping-particle":"","parse-names":false,"suffix":""},{"dropping-particle":"","family":"Áñez","given":"Roberto","non-dropping-particle":"","parse-names":false,"suffix":""},{"dropping-particle":"","family":"Toledo","given":"Alexandra","non-dropping-particle":"","parse-names":false,"suffix":""},{"dropping-particle":"","family":"Chacín","given":"Maricarmen","non-dropping-particle":"","parse-names":false,"suffix":""},{"dropping-particle":"","family":"Aguirre","given":"Miguel","non-dropping-particle":"","parse-names":false,"suffix":""},{"dropping-particle":"","family":"Villalobos","given":"Marjorie","non-dropping-particle":"","parse-names":false,"suffix":""},{"dropping-particle":"","family":"Chávez","given":"Mervin","non-dropping-particle":"","parse-names":false,"suffix":""},{"dropping-particle":"","family":"Martínez","given":"María Sofía","non-dropping-particle":"","parse-names":false,"suffix":""},{"dropping-particle":"","family":"Torres","given":"Wheeler","non-dropping-particle":"","parse-names":false,"suffix":""},{"dropping-particle":"","family":"Torres","given":"Yaquelin","non-dropping-particle":"","parse-names":false,"suffix":""},{"dropping-particle":"","family":"Mejías","given":"José","non-dropping-particle":"","parse-names":false,"suffix":""},{"dropping-particle":"","family":"Mengual","given":"Edgardo","non-dropping-particle":"","parse-names":false,"suffix":""},{"dropping-particle":"","family":"Rojas","given":"Liliana","non-dropping-particle":"","parse-names":false,"suffix":""},{"dropping-particle":"","family":"Sánchez De Rosales","given":"Milagro","non-dropping-particle":"","parse-names":false,"suffix":""},{"dropping-particle":"","family":"Quevedo","given":"Ana","non-dropping-particle":"","parse-names":false,"suffix":""},{"dropping-particle":"","family":"Cano","given":"Raquel","non-dropping-particle":"","parse-names":false,"suffix":""},{"dropping-particle":"","family":"Cabrera","given":"Mayela","non-dropping-particle":"","parse-names":false,"suffix":""},{"dropping-particle":"","family":"París","given":"Rafael","non-dropping-particle":"","parse-names":false,"suffix":""},{"dropping-particle":"","family":"Lubo","given":"Adonías","non-dropping-particle":"","parse-names":false,"suffix":""},{"dropping-particle":"","family":"Montiel","given":"María","non-dropping-particle":"","parse-names":false,"suffix":""},{"dropping-particle":"","family":"Cano","given":"Climaco","non-dropping-particle":"","parse-names":false,"suffix":""}],"container-title":"Journal of Diabetes Research","id":"ITEM-1","issued":{"date-parts":[["2013"]]},"title":"Variations of lipoprotein(a) levels in the metabolic syndrome: A report from the Maracaibo City metabolic syndrome prevalence study","type":"article-journal","volume":"2013"},"uris":["http://www.mendeley.com/documents/?uuid=98b22278-6f0e-488f-ab1d-4c42ef6a527a"]}],"mendeley":{"formattedCitation":"&lt;sup&gt;178&lt;/sup&gt;","plainTextFormattedCitation":"178","previouslyFormattedCitation":"&lt;sup&gt;178&lt;/sup&gt;"},"properties":{"noteIndex":0},"schema":"https://github.com/citation-style-language/schema/raw/master/csl-citation.json"}</w:instrText>
            </w:r>
            <w:r w:rsidRPr="009E0769">
              <w:rPr>
                <w:rFonts w:ascii="Arial" w:eastAsia="Times New Roman" w:hAnsi="Arial" w:cs="Arial"/>
                <w:color w:val="000000"/>
                <w:sz w:val="16"/>
                <w:szCs w:val="16"/>
                <w:lang w:eastAsia="en-GB"/>
              </w:rPr>
              <w:fldChar w:fldCharType="separate"/>
            </w:r>
            <w:r w:rsidRPr="009E0769">
              <w:rPr>
                <w:rFonts w:ascii="Arial" w:eastAsia="Times New Roman" w:hAnsi="Arial" w:cs="Arial"/>
                <w:noProof/>
                <w:color w:val="000000"/>
                <w:sz w:val="16"/>
                <w:szCs w:val="16"/>
                <w:vertAlign w:val="superscript"/>
                <w:lang w:eastAsia="en-GB"/>
              </w:rPr>
              <w:t>178</w:t>
            </w:r>
            <w:r w:rsidRPr="009E0769">
              <w:rPr>
                <w:rFonts w:ascii="Arial" w:eastAsia="Times New Roman" w:hAnsi="Arial" w:cs="Arial"/>
                <w:color w:val="000000"/>
                <w:sz w:val="16"/>
                <w:szCs w:val="16"/>
                <w:lang w:eastAsia="en-GB"/>
              </w:rPr>
              <w:fldChar w:fldCharType="end"/>
            </w:r>
          </w:p>
        </w:tc>
        <w:tc>
          <w:tcPr>
            <w:tcW w:w="648" w:type="pct"/>
            <w:tcBorders>
              <w:top w:val="nil"/>
              <w:left w:val="nil"/>
              <w:bottom w:val="single" w:sz="4" w:space="0" w:color="auto"/>
              <w:right w:val="single" w:sz="4" w:space="0" w:color="auto"/>
            </w:tcBorders>
            <w:shd w:val="clear" w:color="auto" w:fill="auto"/>
            <w:noWrap/>
            <w:vAlign w:val="bottom"/>
            <w:hideMark/>
          </w:tcPr>
          <w:p w14:paraId="58E53792"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98" w:type="pct"/>
            <w:tcBorders>
              <w:top w:val="nil"/>
              <w:left w:val="nil"/>
              <w:bottom w:val="single" w:sz="4" w:space="0" w:color="auto"/>
              <w:right w:val="single" w:sz="4" w:space="0" w:color="auto"/>
            </w:tcBorders>
            <w:shd w:val="clear" w:color="auto" w:fill="auto"/>
            <w:noWrap/>
            <w:vAlign w:val="bottom"/>
            <w:hideMark/>
          </w:tcPr>
          <w:p w14:paraId="6C91CDED"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2013</w:t>
            </w:r>
          </w:p>
        </w:tc>
        <w:tc>
          <w:tcPr>
            <w:tcW w:w="548" w:type="pct"/>
            <w:tcBorders>
              <w:top w:val="nil"/>
              <w:left w:val="nil"/>
              <w:bottom w:val="single" w:sz="4" w:space="0" w:color="auto"/>
              <w:right w:val="single" w:sz="4" w:space="0" w:color="auto"/>
            </w:tcBorders>
            <w:shd w:val="clear" w:color="auto" w:fill="auto"/>
            <w:noWrap/>
            <w:vAlign w:val="bottom"/>
            <w:hideMark/>
          </w:tcPr>
          <w:p w14:paraId="309600E6"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1807</w:t>
            </w:r>
          </w:p>
        </w:tc>
        <w:tc>
          <w:tcPr>
            <w:tcW w:w="399" w:type="pct"/>
            <w:tcBorders>
              <w:top w:val="nil"/>
              <w:left w:val="nil"/>
              <w:bottom w:val="single" w:sz="4" w:space="0" w:color="auto"/>
              <w:right w:val="single" w:sz="4" w:space="0" w:color="auto"/>
            </w:tcBorders>
            <w:shd w:val="clear" w:color="auto" w:fill="auto"/>
            <w:noWrap/>
            <w:vAlign w:val="bottom"/>
            <w:hideMark/>
          </w:tcPr>
          <w:p w14:paraId="05AD3E8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44.7</w:t>
            </w:r>
          </w:p>
        </w:tc>
        <w:tc>
          <w:tcPr>
            <w:tcW w:w="449" w:type="pct"/>
            <w:tcBorders>
              <w:top w:val="nil"/>
              <w:left w:val="nil"/>
              <w:bottom w:val="single" w:sz="4" w:space="0" w:color="auto"/>
              <w:right w:val="single" w:sz="4" w:space="0" w:color="auto"/>
            </w:tcBorders>
            <w:shd w:val="clear" w:color="auto" w:fill="auto"/>
            <w:noWrap/>
            <w:vAlign w:val="bottom"/>
            <w:hideMark/>
          </w:tcPr>
          <w:p w14:paraId="624401F4" w14:textId="77777777" w:rsidR="00665066" w:rsidRPr="009E0769" w:rsidRDefault="00665066" w:rsidP="0054001C">
            <w:pPr>
              <w:spacing w:after="0" w:line="240" w:lineRule="auto"/>
              <w:jc w:val="right"/>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39.2</w:t>
            </w:r>
          </w:p>
        </w:tc>
        <w:tc>
          <w:tcPr>
            <w:tcW w:w="498" w:type="pct"/>
            <w:tcBorders>
              <w:top w:val="nil"/>
              <w:left w:val="nil"/>
              <w:bottom w:val="single" w:sz="4" w:space="0" w:color="auto"/>
              <w:right w:val="single" w:sz="4" w:space="0" w:color="auto"/>
            </w:tcBorders>
            <w:shd w:val="clear" w:color="auto" w:fill="auto"/>
            <w:noWrap/>
            <w:vAlign w:val="bottom"/>
            <w:hideMark/>
          </w:tcPr>
          <w:p w14:paraId="660BC9BA"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6D46C779" w14:textId="77777777" w:rsidR="00665066" w:rsidRPr="009E0769" w:rsidRDefault="00665066" w:rsidP="0054001C">
            <w:pPr>
              <w:spacing w:after="0" w:line="240" w:lineRule="auto"/>
              <w:rPr>
                <w:rFonts w:ascii="Arial" w:eastAsia="Times New Roman" w:hAnsi="Arial" w:cs="Arial"/>
                <w:color w:val="000000"/>
                <w:sz w:val="16"/>
                <w:szCs w:val="16"/>
                <w:lang w:eastAsia="en-GB"/>
              </w:rPr>
            </w:pPr>
            <w:r w:rsidRPr="009E0769">
              <w:rPr>
                <w:rFonts w:ascii="Arial" w:eastAsia="Times New Roman" w:hAnsi="Arial" w:cs="Arial"/>
                <w:color w:val="000000"/>
                <w:sz w:val="16"/>
                <w:szCs w:val="16"/>
                <w:lang w:eastAsia="en-GB"/>
              </w:rPr>
              <w:t>Yes</w:t>
            </w:r>
          </w:p>
        </w:tc>
      </w:tr>
    </w:tbl>
    <w:p w14:paraId="19929F2A" w14:textId="77777777" w:rsidR="00665066" w:rsidRPr="009E0769" w:rsidRDefault="00665066" w:rsidP="00665066">
      <w:pPr>
        <w:rPr>
          <w:rFonts w:ascii="Arial" w:hAnsi="Arial" w:cs="Arial"/>
          <w:sz w:val="16"/>
          <w:szCs w:val="16"/>
        </w:rPr>
      </w:pPr>
    </w:p>
    <w:p w14:paraId="28F0C40F" w14:textId="77777777" w:rsidR="00665066" w:rsidRPr="009E0769" w:rsidRDefault="00665066" w:rsidP="00665066">
      <w:pPr>
        <w:rPr>
          <w:rFonts w:ascii="Arial" w:hAnsi="Arial" w:cs="Arial"/>
          <w:sz w:val="16"/>
          <w:szCs w:val="16"/>
        </w:rPr>
      </w:pPr>
    </w:p>
    <w:p w14:paraId="379E36F6"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sz w:val="16"/>
          <w:szCs w:val="16"/>
        </w:rPr>
        <w:fldChar w:fldCharType="begin" w:fldLock="1"/>
      </w:r>
      <w:r w:rsidRPr="009E0769">
        <w:rPr>
          <w:rFonts w:ascii="Arial" w:hAnsi="Arial" w:cs="Arial"/>
          <w:sz w:val="16"/>
          <w:szCs w:val="16"/>
        </w:rPr>
        <w:instrText xml:space="preserve">ADDIN Mendeley Bibliography CSL_BIBLIOGRAPHY </w:instrText>
      </w:r>
      <w:r w:rsidRPr="009E0769">
        <w:rPr>
          <w:rFonts w:ascii="Arial" w:hAnsi="Arial" w:cs="Arial"/>
          <w:sz w:val="16"/>
          <w:szCs w:val="16"/>
        </w:rPr>
        <w:fldChar w:fldCharType="separate"/>
      </w:r>
      <w:r w:rsidRPr="009E0769">
        <w:rPr>
          <w:rFonts w:ascii="Arial" w:hAnsi="Arial" w:cs="Arial"/>
          <w:noProof/>
          <w:sz w:val="16"/>
          <w:szCs w:val="16"/>
        </w:rPr>
        <w:t xml:space="preserve">1. </w:t>
      </w:r>
      <w:r w:rsidRPr="009E0769">
        <w:rPr>
          <w:rFonts w:ascii="Arial" w:hAnsi="Arial" w:cs="Arial"/>
          <w:noProof/>
          <w:sz w:val="16"/>
          <w:szCs w:val="16"/>
        </w:rPr>
        <w:tab/>
        <w:t xml:space="preserve">Vinueza R, Boissonnet CP, Acevedo M, et al. Dyslipidemia in seven Latin American cities: CARMELA study. </w:t>
      </w:r>
      <w:r w:rsidRPr="009E0769">
        <w:rPr>
          <w:rFonts w:ascii="Arial" w:hAnsi="Arial" w:cs="Arial"/>
          <w:i/>
          <w:iCs/>
          <w:noProof/>
          <w:sz w:val="16"/>
          <w:szCs w:val="16"/>
        </w:rPr>
        <w:t>Prev Med (Baltim)</w:t>
      </w:r>
      <w:r w:rsidRPr="009E0769">
        <w:rPr>
          <w:rFonts w:ascii="Arial" w:hAnsi="Arial" w:cs="Arial"/>
          <w:noProof/>
          <w:sz w:val="16"/>
          <w:szCs w:val="16"/>
        </w:rPr>
        <w:t>. 2010;50(3):106-111. internal-pdf://89.119.235.165/Vinueza-2010-Dyslipidemia in seven Latin Ameri.pdf.</w:t>
      </w:r>
    </w:p>
    <w:p w14:paraId="4BAF4818"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2. </w:t>
      </w:r>
      <w:r w:rsidRPr="009E0769">
        <w:rPr>
          <w:rFonts w:ascii="Arial" w:hAnsi="Arial" w:cs="Arial"/>
          <w:noProof/>
          <w:sz w:val="16"/>
          <w:szCs w:val="16"/>
        </w:rPr>
        <w:tab/>
        <w:t xml:space="preserve">Salazar MR, Carbajal HA, Espeche WG, et al. Identifying cardiovascular disease risk and outcome: Use of the plasma triglyceride/high-density lipoprotein cholesterol concentration ratio versus metabolic syndrome criteria. </w:t>
      </w:r>
      <w:r w:rsidRPr="009E0769">
        <w:rPr>
          <w:rFonts w:ascii="Arial" w:hAnsi="Arial" w:cs="Arial"/>
          <w:i/>
          <w:iCs/>
          <w:noProof/>
          <w:sz w:val="16"/>
          <w:szCs w:val="16"/>
        </w:rPr>
        <w:t>J Intern Med</w:t>
      </w:r>
      <w:r w:rsidRPr="009E0769">
        <w:rPr>
          <w:rFonts w:ascii="Arial" w:hAnsi="Arial" w:cs="Arial"/>
          <w:noProof/>
          <w:sz w:val="16"/>
          <w:szCs w:val="16"/>
        </w:rPr>
        <w:t>. 2013;273(6):595-601. internal-pdf://0390127940/Salazar-2013-Identifying cardiovascular diseas.pdf.</w:t>
      </w:r>
    </w:p>
    <w:p w14:paraId="1E6D9A8F"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3. </w:t>
      </w:r>
      <w:r w:rsidRPr="009E0769">
        <w:rPr>
          <w:rFonts w:ascii="Arial" w:hAnsi="Arial" w:cs="Arial"/>
          <w:noProof/>
          <w:sz w:val="16"/>
          <w:szCs w:val="16"/>
        </w:rPr>
        <w:tab/>
        <w:t xml:space="preserve">Rubinstein AL, Irazola VE, relli M, et al. Multiple cardiometabolic risk factors in the Southern Cone of Latin America: a population-based study in Argentina, Chile, and Uruguay. </w:t>
      </w:r>
      <w:r w:rsidRPr="009E0769">
        <w:rPr>
          <w:rFonts w:ascii="Arial" w:hAnsi="Arial" w:cs="Arial"/>
          <w:i/>
          <w:iCs/>
          <w:noProof/>
          <w:sz w:val="16"/>
          <w:szCs w:val="16"/>
        </w:rPr>
        <w:t>Int J Cardiol</w:t>
      </w:r>
      <w:r w:rsidRPr="009E0769">
        <w:rPr>
          <w:rFonts w:ascii="Arial" w:hAnsi="Arial" w:cs="Arial"/>
          <w:noProof/>
          <w:sz w:val="16"/>
          <w:szCs w:val="16"/>
        </w:rPr>
        <w:t>. 2015;183:82-88. internal-pdf://99.124.224.12/Rubinstein-2015-Multiple cardiometabolic risk.pdf.</w:t>
      </w:r>
    </w:p>
    <w:p w14:paraId="6DCF319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4. </w:t>
      </w:r>
      <w:r w:rsidRPr="009E0769">
        <w:rPr>
          <w:rFonts w:ascii="Arial" w:hAnsi="Arial" w:cs="Arial"/>
          <w:noProof/>
          <w:sz w:val="16"/>
          <w:szCs w:val="16"/>
        </w:rPr>
        <w:tab/>
        <w:t xml:space="preserve">Salazar MR, Carbajal HA, Marillet AG, et al. Glomerular filtration rate, cardiovascular risk factors and insulin resistance. </w:t>
      </w:r>
      <w:r w:rsidRPr="009E0769">
        <w:rPr>
          <w:rFonts w:ascii="Arial" w:hAnsi="Arial" w:cs="Arial"/>
          <w:i/>
          <w:iCs/>
          <w:noProof/>
          <w:sz w:val="16"/>
          <w:szCs w:val="16"/>
        </w:rPr>
        <w:t>Med (B Aires)</w:t>
      </w:r>
      <w:r w:rsidRPr="009E0769">
        <w:rPr>
          <w:rFonts w:ascii="Arial" w:hAnsi="Arial" w:cs="Arial"/>
          <w:noProof/>
          <w:sz w:val="16"/>
          <w:szCs w:val="16"/>
        </w:rPr>
        <w:t>. 2009;69(5):541-546. internal-pdf://247.242.225.146/Glomerular filtration rate, cardiovascular ris.pdf.</w:t>
      </w:r>
    </w:p>
    <w:p w14:paraId="40AF7A27"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5. </w:t>
      </w:r>
      <w:r w:rsidRPr="009E0769">
        <w:rPr>
          <w:rFonts w:ascii="Arial" w:hAnsi="Arial" w:cs="Arial"/>
          <w:noProof/>
          <w:sz w:val="16"/>
          <w:szCs w:val="16"/>
        </w:rPr>
        <w:tab/>
        <w:t xml:space="preserve">Carbajal H, Salazar M, Riondet B, et al. Variables asociadas a hipertensión arterial en una region de la Argentina. </w:t>
      </w:r>
      <w:r w:rsidRPr="009E0769">
        <w:rPr>
          <w:rFonts w:ascii="Arial" w:hAnsi="Arial" w:cs="Arial"/>
          <w:i/>
          <w:iCs/>
          <w:noProof/>
          <w:sz w:val="16"/>
          <w:szCs w:val="16"/>
        </w:rPr>
        <w:t>Med [BAires]</w:t>
      </w:r>
      <w:r w:rsidRPr="009E0769">
        <w:rPr>
          <w:rFonts w:ascii="Arial" w:hAnsi="Arial" w:cs="Arial"/>
          <w:noProof/>
          <w:sz w:val="16"/>
          <w:szCs w:val="16"/>
        </w:rPr>
        <w:t>. 2001;61:801-809. file:///C:/Users/Usuario/Downloads/base de datos/150. ARG_XXXX_Carbajal.pdf.</w:t>
      </w:r>
    </w:p>
    <w:p w14:paraId="26EDF878"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6. </w:t>
      </w:r>
      <w:r w:rsidRPr="009E0769">
        <w:rPr>
          <w:rFonts w:ascii="Arial" w:hAnsi="Arial" w:cs="Arial"/>
          <w:noProof/>
          <w:sz w:val="16"/>
          <w:szCs w:val="16"/>
        </w:rPr>
        <w:tab/>
        <w:t xml:space="preserve">Schneider RJ, Barengo N, Haapala I, Tavella M. Association between dietary habits, education, serum triglycerides and blood cholesterol among women of Cabildo, Buenos Aires. </w:t>
      </w:r>
      <w:r w:rsidRPr="009E0769">
        <w:rPr>
          <w:rFonts w:ascii="Arial" w:hAnsi="Arial" w:cs="Arial"/>
          <w:i/>
          <w:iCs/>
          <w:noProof/>
          <w:sz w:val="16"/>
          <w:szCs w:val="16"/>
        </w:rPr>
        <w:t>Med (B Aires)</w:t>
      </w:r>
      <w:r w:rsidRPr="009E0769">
        <w:rPr>
          <w:rFonts w:ascii="Arial" w:hAnsi="Arial" w:cs="Arial"/>
          <w:noProof/>
          <w:sz w:val="16"/>
          <w:szCs w:val="16"/>
        </w:rPr>
        <w:t>. 2006;66(6):517-525. internal-pdf://181.31.226.0/Association between dietary habits, education.pdf.</w:t>
      </w:r>
    </w:p>
    <w:p w14:paraId="1261E651" w14:textId="77777777" w:rsidR="00665066" w:rsidRPr="0054001C"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7. </w:t>
      </w:r>
      <w:r w:rsidRPr="00665066">
        <w:rPr>
          <w:rFonts w:ascii="Arial" w:hAnsi="Arial" w:cs="Arial"/>
          <w:noProof/>
          <w:sz w:val="16"/>
          <w:szCs w:val="16"/>
          <w:lang w:val="es-PE"/>
        </w:rPr>
        <w:tab/>
        <w:t xml:space="preserve">Ferrante D, Virgolini M. Encuesta Nacional de Factores de Riesgo 2005: resultados principales: prevalencia de factores de riesgo de enfermedades cardiovasculares en la Argentina. </w:t>
      </w:r>
      <w:r w:rsidRPr="0054001C">
        <w:rPr>
          <w:rFonts w:ascii="Arial" w:hAnsi="Arial" w:cs="Arial"/>
          <w:i/>
          <w:iCs/>
          <w:noProof/>
          <w:sz w:val="16"/>
          <w:szCs w:val="16"/>
          <w:lang w:val="es-PE"/>
        </w:rPr>
        <w:t>Rev argent cardiol</w:t>
      </w:r>
      <w:r w:rsidRPr="0054001C">
        <w:rPr>
          <w:rFonts w:ascii="Arial" w:hAnsi="Arial" w:cs="Arial"/>
          <w:noProof/>
          <w:sz w:val="16"/>
          <w:szCs w:val="16"/>
          <w:lang w:val="es-PE"/>
        </w:rPr>
        <w:t>. 2007:20-29. file:///C:/Users/Usuario/Downloads/base de datos/45. ARG_2005_Ferrante.pdf.</w:t>
      </w:r>
    </w:p>
    <w:p w14:paraId="50CD7948"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8. </w:t>
      </w:r>
      <w:r w:rsidRPr="00665066">
        <w:rPr>
          <w:rFonts w:ascii="Arial" w:hAnsi="Arial" w:cs="Arial"/>
          <w:noProof/>
          <w:sz w:val="16"/>
          <w:szCs w:val="16"/>
          <w:lang w:val="es-PE"/>
        </w:rPr>
        <w:tab/>
        <w:t xml:space="preserve">Redruello MF, Calderón G, Masoli O, et al. Prevalencia de factores de riesgo y riesgo cardiovascular global en la población de Tres Lomas. </w:t>
      </w:r>
      <w:r w:rsidRPr="00665066">
        <w:rPr>
          <w:rFonts w:ascii="Arial" w:hAnsi="Arial" w:cs="Arial"/>
          <w:i/>
          <w:iCs/>
          <w:noProof/>
          <w:sz w:val="16"/>
          <w:szCs w:val="16"/>
          <w:lang w:val="es-PE"/>
        </w:rPr>
        <w:t>Rev Argent Cardiol</w:t>
      </w:r>
      <w:r w:rsidRPr="00665066">
        <w:rPr>
          <w:rFonts w:ascii="Arial" w:hAnsi="Arial" w:cs="Arial"/>
          <w:noProof/>
          <w:sz w:val="16"/>
          <w:szCs w:val="16"/>
          <w:lang w:val="es-PE"/>
        </w:rPr>
        <w:t>. 2008;76(6):450-458. internal-pdf://0630578493/Prevalencia de factores de riesgo y riesgo car.pdf.</w:t>
      </w:r>
    </w:p>
    <w:p w14:paraId="75B2A069"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9. </w:t>
      </w:r>
      <w:r w:rsidRPr="00665066">
        <w:rPr>
          <w:rFonts w:ascii="Arial" w:hAnsi="Arial" w:cs="Arial"/>
          <w:noProof/>
          <w:sz w:val="16"/>
          <w:szCs w:val="16"/>
          <w:lang w:val="es-PE"/>
        </w:rPr>
        <w:tab/>
        <w:t xml:space="preserve">Ferrante D, Linetzky B, Konfino J, King A, Virgolini M, Laspiur S. ENCUESTA NACIONAL DE FACTORES DE RIESGO 2009: EVOLUCIÓN DE LA EPIDEMIA DE ENFERMEDADES CRÓNICAS NO TRANSMISIBLES EN ARGENTINA. ESTUDIO DE CORTE TRANSVERSAL. </w:t>
      </w:r>
      <w:r w:rsidRPr="00665066">
        <w:rPr>
          <w:rFonts w:ascii="Arial" w:hAnsi="Arial" w:cs="Arial"/>
          <w:i/>
          <w:iCs/>
          <w:noProof/>
          <w:sz w:val="16"/>
          <w:szCs w:val="16"/>
          <w:lang w:val="es-PE"/>
        </w:rPr>
        <w:t>Rev Argent Salud Pública</w:t>
      </w:r>
      <w:r w:rsidRPr="00665066">
        <w:rPr>
          <w:rFonts w:ascii="Arial" w:hAnsi="Arial" w:cs="Arial"/>
          <w:noProof/>
          <w:sz w:val="16"/>
          <w:szCs w:val="16"/>
          <w:lang w:val="es-PE"/>
        </w:rPr>
        <w:t xml:space="preserve">. 2011;2(6):34-41. file:///C:/Users/Usuario/Downloads/base de datos/46. </w:t>
      </w:r>
      <w:r w:rsidRPr="009E0769">
        <w:rPr>
          <w:rFonts w:ascii="Arial" w:hAnsi="Arial" w:cs="Arial"/>
          <w:noProof/>
          <w:sz w:val="16"/>
          <w:szCs w:val="16"/>
        </w:rPr>
        <w:t>ARG_2009_Ferrante.pdf.</w:t>
      </w:r>
    </w:p>
    <w:p w14:paraId="60C0D381"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10. </w:t>
      </w:r>
      <w:r w:rsidRPr="009E0769">
        <w:rPr>
          <w:rFonts w:ascii="Arial" w:hAnsi="Arial" w:cs="Arial"/>
          <w:noProof/>
          <w:sz w:val="16"/>
          <w:szCs w:val="16"/>
        </w:rPr>
        <w:tab/>
        <w:t xml:space="preserve">Howitt C, Hambleton IR, Rose AMC, et al. Social distribution of diabetes, hypertension and related risk factors in Barbados: a cross-sectional study. </w:t>
      </w:r>
      <w:r w:rsidRPr="009E0769">
        <w:rPr>
          <w:rFonts w:ascii="Arial" w:hAnsi="Arial" w:cs="Arial"/>
          <w:i/>
          <w:iCs/>
          <w:noProof/>
          <w:sz w:val="16"/>
          <w:szCs w:val="16"/>
        </w:rPr>
        <w:t>BMJ Open</w:t>
      </w:r>
      <w:r w:rsidRPr="009E0769">
        <w:rPr>
          <w:rFonts w:ascii="Arial" w:hAnsi="Arial" w:cs="Arial"/>
          <w:noProof/>
          <w:sz w:val="16"/>
          <w:szCs w:val="16"/>
        </w:rPr>
        <w:t>. 2015;5(12):e008869. http://ovidsp.ovid.com/ovidweb.cgi?T=JS&amp;PAGE=reference&amp;D=med8&amp;NEWS=N&amp;AN=26685026 https://www.ncbi.nlm.nih.gov/pmc/articles/PMC4691788/pdf/bmjopen-2015-008869.pdf.</w:t>
      </w:r>
    </w:p>
    <w:p w14:paraId="607EE356"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11. </w:t>
      </w:r>
      <w:r w:rsidRPr="009E0769">
        <w:rPr>
          <w:rFonts w:ascii="Arial" w:hAnsi="Arial" w:cs="Arial"/>
          <w:noProof/>
          <w:sz w:val="16"/>
          <w:szCs w:val="16"/>
        </w:rPr>
        <w:tab/>
        <w:t xml:space="preserve">Wong-McClure RA, Gregg EW, Barceló A, et al. Prevalence of metabolic syndrome in Central America: a cross-sectional population-based study. </w:t>
      </w:r>
      <w:r w:rsidRPr="009E0769">
        <w:rPr>
          <w:rFonts w:ascii="Arial" w:hAnsi="Arial" w:cs="Arial"/>
          <w:i/>
          <w:iCs/>
          <w:noProof/>
          <w:sz w:val="16"/>
          <w:szCs w:val="16"/>
        </w:rPr>
        <w:t>Rev Panam Salud Publica</w:t>
      </w:r>
      <w:r w:rsidRPr="009E0769">
        <w:rPr>
          <w:rFonts w:ascii="Arial" w:hAnsi="Arial" w:cs="Arial"/>
          <w:noProof/>
          <w:sz w:val="16"/>
          <w:szCs w:val="16"/>
        </w:rPr>
        <w:t>. 2015;38(3):202-208. internal-pdf://84.162.236.112/Wong-McClure-2015-Prevalence of metabolic synd.pdf.</w:t>
      </w:r>
    </w:p>
    <w:p w14:paraId="7EE45486"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12. </w:t>
      </w:r>
      <w:r w:rsidRPr="009E0769">
        <w:rPr>
          <w:rFonts w:ascii="Arial" w:hAnsi="Arial" w:cs="Arial"/>
          <w:noProof/>
          <w:sz w:val="16"/>
          <w:szCs w:val="16"/>
        </w:rPr>
        <w:tab/>
        <w:t xml:space="preserve">Velásquez-Meléndez G, Martins IS, Cervato AM, Fornés NS, De Marucci FNM, Coelho LT. Relationship between stature, overweight and central obesity in the adult population in Sao Paulo, Brazil. </w:t>
      </w:r>
      <w:r w:rsidRPr="009E0769">
        <w:rPr>
          <w:rFonts w:ascii="Arial" w:hAnsi="Arial" w:cs="Arial"/>
          <w:i/>
          <w:iCs/>
          <w:noProof/>
          <w:sz w:val="16"/>
          <w:szCs w:val="16"/>
        </w:rPr>
        <w:t>Int J Obes</w:t>
      </w:r>
      <w:r w:rsidRPr="009E0769">
        <w:rPr>
          <w:rFonts w:ascii="Arial" w:hAnsi="Arial" w:cs="Arial"/>
          <w:noProof/>
          <w:sz w:val="16"/>
          <w:szCs w:val="16"/>
        </w:rPr>
        <w:t>. 1999;23(6):639-644. internal-pdf://0074246686/Relationship between stature, overweight and c.pdf.</w:t>
      </w:r>
    </w:p>
    <w:p w14:paraId="188B834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13. </w:t>
      </w:r>
      <w:r w:rsidRPr="00665066">
        <w:rPr>
          <w:rFonts w:ascii="Arial" w:hAnsi="Arial" w:cs="Arial"/>
          <w:noProof/>
          <w:sz w:val="16"/>
          <w:szCs w:val="16"/>
          <w:lang w:val="es-PE"/>
        </w:rPr>
        <w:tab/>
        <w:t xml:space="preserve">Pereira AC, Sposito AC, Mota GF, et al. </w:t>
      </w:r>
      <w:r w:rsidRPr="009E0769">
        <w:rPr>
          <w:rFonts w:ascii="Arial" w:hAnsi="Arial" w:cs="Arial"/>
          <w:noProof/>
          <w:sz w:val="16"/>
          <w:szCs w:val="16"/>
        </w:rPr>
        <w:t xml:space="preserve">Endothelial nitric oxide synthase gene variant modulates the relationship between serum cholesterol levels and blood pressure in the general population: new evidence for a direct effect of lipids in arterial blood pressure. </w:t>
      </w:r>
      <w:r w:rsidRPr="009E0769">
        <w:rPr>
          <w:rFonts w:ascii="Arial" w:hAnsi="Arial" w:cs="Arial"/>
          <w:i/>
          <w:iCs/>
          <w:noProof/>
          <w:sz w:val="16"/>
          <w:szCs w:val="16"/>
        </w:rPr>
        <w:t>Atherosclerosis</w:t>
      </w:r>
      <w:r w:rsidRPr="009E0769">
        <w:rPr>
          <w:rFonts w:ascii="Arial" w:hAnsi="Arial" w:cs="Arial"/>
          <w:noProof/>
          <w:sz w:val="16"/>
          <w:szCs w:val="16"/>
        </w:rPr>
        <w:t>. 2006;184(1):193-200. internal-pdf://0873519429/Pereira-2006-Endothelial nitric oxide synthase.pdf.</w:t>
      </w:r>
    </w:p>
    <w:p w14:paraId="3B390D18"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lastRenderedPageBreak/>
        <w:t xml:space="preserve">14. </w:t>
      </w:r>
      <w:r w:rsidRPr="009E0769">
        <w:rPr>
          <w:rFonts w:ascii="Arial" w:hAnsi="Arial" w:cs="Arial"/>
          <w:noProof/>
          <w:sz w:val="16"/>
          <w:szCs w:val="16"/>
        </w:rPr>
        <w:tab/>
        <w:t xml:space="preserve">Poletto L, Pezzotto S, Morini J. Blood lipid associations in 18 year-old men. </w:t>
      </w:r>
      <w:r w:rsidRPr="009E0769">
        <w:rPr>
          <w:rFonts w:ascii="Arial" w:hAnsi="Arial" w:cs="Arial"/>
          <w:i/>
          <w:iCs/>
          <w:noProof/>
          <w:sz w:val="16"/>
          <w:szCs w:val="16"/>
        </w:rPr>
        <w:t>Rev Saude Publica</w:t>
      </w:r>
      <w:r w:rsidRPr="009E0769">
        <w:rPr>
          <w:rFonts w:ascii="Arial" w:hAnsi="Arial" w:cs="Arial"/>
          <w:noProof/>
          <w:sz w:val="16"/>
          <w:szCs w:val="16"/>
        </w:rPr>
        <w:t>. 1992;26(5):316-320. internal-pdf://0428071503/Blood lipid associations in 18 year-old men.pdf.</w:t>
      </w:r>
    </w:p>
    <w:p w14:paraId="16B82FAF"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15. </w:t>
      </w:r>
      <w:r w:rsidRPr="009E0769">
        <w:rPr>
          <w:rFonts w:ascii="Arial" w:hAnsi="Arial" w:cs="Arial"/>
          <w:noProof/>
          <w:sz w:val="16"/>
          <w:szCs w:val="16"/>
        </w:rPr>
        <w:tab/>
        <w:t xml:space="preserve">Rigo JC, Vieira JL, Dalacorte RR, Reichert CL. Prevalence of metabolic syndrome in an elderly community: comparison between three diagnostic methods. </w:t>
      </w:r>
      <w:r w:rsidRPr="009E0769">
        <w:rPr>
          <w:rFonts w:ascii="Arial" w:hAnsi="Arial" w:cs="Arial"/>
          <w:i/>
          <w:iCs/>
          <w:noProof/>
          <w:sz w:val="16"/>
          <w:szCs w:val="16"/>
        </w:rPr>
        <w:t>Arq Bras Cardiol</w:t>
      </w:r>
      <w:r w:rsidRPr="009E0769">
        <w:rPr>
          <w:rFonts w:ascii="Arial" w:hAnsi="Arial" w:cs="Arial"/>
          <w:noProof/>
          <w:sz w:val="16"/>
          <w:szCs w:val="16"/>
        </w:rPr>
        <w:t>. 2009;93(2):85-91. internal-pdf://0974249511/Prevalence of metabolic syndrome in an elderly.pdf.</w:t>
      </w:r>
    </w:p>
    <w:p w14:paraId="3309F782"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16. </w:t>
      </w:r>
      <w:r w:rsidRPr="00665066">
        <w:rPr>
          <w:rFonts w:ascii="Arial" w:hAnsi="Arial" w:cs="Arial"/>
          <w:noProof/>
          <w:sz w:val="16"/>
          <w:szCs w:val="16"/>
          <w:lang w:val="es-PE"/>
        </w:rPr>
        <w:tab/>
        <w:t xml:space="preserve">Sesso R, Prado F, Vicioso B, Ramos LR. </w:t>
      </w:r>
      <w:r w:rsidRPr="009E0769">
        <w:rPr>
          <w:rFonts w:ascii="Arial" w:hAnsi="Arial" w:cs="Arial"/>
          <w:noProof/>
          <w:sz w:val="16"/>
          <w:szCs w:val="16"/>
        </w:rPr>
        <w:t xml:space="preserve">Prospective study of progression of kidney dysfunction in community-dwelling older adults. </w:t>
      </w:r>
      <w:r w:rsidRPr="009E0769">
        <w:rPr>
          <w:rFonts w:ascii="Arial" w:hAnsi="Arial" w:cs="Arial"/>
          <w:i/>
          <w:iCs/>
          <w:noProof/>
          <w:sz w:val="16"/>
          <w:szCs w:val="16"/>
        </w:rPr>
        <w:t>Nephrology (Carlton)</w:t>
      </w:r>
      <w:r w:rsidRPr="009E0769">
        <w:rPr>
          <w:rFonts w:ascii="Arial" w:hAnsi="Arial" w:cs="Arial"/>
          <w:noProof/>
          <w:sz w:val="16"/>
          <w:szCs w:val="16"/>
        </w:rPr>
        <w:t>. 2008;13(2):99-103. internal-pdf://235.149.227.41/Sesso-2008-Prospective study of progression of.pdf.</w:t>
      </w:r>
    </w:p>
    <w:p w14:paraId="20691324"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17. </w:t>
      </w:r>
      <w:r w:rsidRPr="009E0769">
        <w:rPr>
          <w:rFonts w:ascii="Arial" w:hAnsi="Arial" w:cs="Arial"/>
          <w:noProof/>
          <w:sz w:val="16"/>
          <w:szCs w:val="16"/>
        </w:rPr>
        <w:tab/>
        <w:t xml:space="preserve">Pimenta AM, Felisbino-Mendes MS, Velasquez-Melendez G. Clustering and combining pattern of metabolic syndrome components in a rural Brazilian adult population. </w:t>
      </w:r>
      <w:r w:rsidRPr="009E0769">
        <w:rPr>
          <w:rFonts w:ascii="Arial" w:hAnsi="Arial" w:cs="Arial"/>
          <w:i/>
          <w:iCs/>
          <w:noProof/>
          <w:sz w:val="16"/>
          <w:szCs w:val="16"/>
        </w:rPr>
        <w:t>Sao Paulo Med J</w:t>
      </w:r>
      <w:r w:rsidRPr="009E0769">
        <w:rPr>
          <w:rFonts w:ascii="Arial" w:hAnsi="Arial" w:cs="Arial"/>
          <w:noProof/>
          <w:sz w:val="16"/>
          <w:szCs w:val="16"/>
        </w:rPr>
        <w:t>. 2013;131(4):213-219. internal-pdf://69.50.218.1/Pimenta-2013-Clustering and combining pattern.pdf.</w:t>
      </w:r>
    </w:p>
    <w:p w14:paraId="7A10088B"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18. </w:t>
      </w:r>
      <w:r w:rsidRPr="00665066">
        <w:rPr>
          <w:rFonts w:ascii="Arial" w:hAnsi="Arial" w:cs="Arial"/>
          <w:noProof/>
          <w:sz w:val="16"/>
          <w:szCs w:val="16"/>
          <w:lang w:val="es-PE"/>
        </w:rPr>
        <w:tab/>
        <w:t xml:space="preserve">Quintino-Santos S, Regina  ra, Lima-Costa MF, et al. </w:t>
      </w:r>
      <w:r w:rsidRPr="009E0769">
        <w:rPr>
          <w:rFonts w:ascii="Arial" w:hAnsi="Arial" w:cs="Arial"/>
          <w:noProof/>
          <w:sz w:val="16"/>
          <w:szCs w:val="16"/>
        </w:rPr>
        <w:t xml:space="preserve">Homozygosity for the APOE E4 allele is solely associated with lower cognitive performance in Brazilian community-dwelling older adults: the Bambui Study. </w:t>
      </w:r>
      <w:r w:rsidRPr="009E0769">
        <w:rPr>
          <w:rFonts w:ascii="Arial" w:hAnsi="Arial" w:cs="Arial"/>
          <w:i/>
          <w:iCs/>
          <w:noProof/>
          <w:sz w:val="16"/>
          <w:szCs w:val="16"/>
        </w:rPr>
        <w:t>Rev Bras Psiquiatr</w:t>
      </w:r>
      <w:r w:rsidRPr="009E0769">
        <w:rPr>
          <w:rFonts w:ascii="Arial" w:hAnsi="Arial" w:cs="Arial"/>
          <w:noProof/>
          <w:sz w:val="16"/>
          <w:szCs w:val="16"/>
        </w:rPr>
        <w:t>. 2012;34(4):440-445. internal-pdf://226.181.220.36/Quintino-Santos-2012-Homozygosity for the APOE.pdf.</w:t>
      </w:r>
    </w:p>
    <w:p w14:paraId="5424ACBD"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19. </w:t>
      </w:r>
      <w:r w:rsidRPr="009E0769">
        <w:rPr>
          <w:rFonts w:ascii="Arial" w:hAnsi="Arial" w:cs="Arial"/>
          <w:noProof/>
          <w:sz w:val="16"/>
          <w:szCs w:val="16"/>
        </w:rPr>
        <w:tab/>
        <w:t xml:space="preserve">Togeiro SM, Carneiro G, Ribeiro Filho F, et al. Consequences of obstructive sleep apnea on metabolic profile: a Population-Based Survey. </w:t>
      </w:r>
      <w:r w:rsidRPr="009E0769">
        <w:rPr>
          <w:rFonts w:ascii="Arial" w:hAnsi="Arial" w:cs="Arial"/>
          <w:i/>
          <w:iCs/>
          <w:noProof/>
          <w:sz w:val="16"/>
          <w:szCs w:val="16"/>
        </w:rPr>
        <w:t>Obesity (Silver Spring)</w:t>
      </w:r>
      <w:r w:rsidRPr="009E0769">
        <w:rPr>
          <w:rFonts w:ascii="Arial" w:hAnsi="Arial" w:cs="Arial"/>
          <w:noProof/>
          <w:sz w:val="16"/>
          <w:szCs w:val="16"/>
        </w:rPr>
        <w:t>. 2013;21(4):847-851. internal-pdf://150.191.230.54/Togeiro-2013-Consequences of obstructive sleep.pdf.</w:t>
      </w:r>
    </w:p>
    <w:p w14:paraId="1E03AC66"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20. </w:t>
      </w:r>
      <w:r w:rsidRPr="00665066">
        <w:rPr>
          <w:rFonts w:ascii="Arial" w:hAnsi="Arial" w:cs="Arial"/>
          <w:noProof/>
          <w:sz w:val="16"/>
          <w:szCs w:val="16"/>
          <w:lang w:val="es-PE"/>
        </w:rPr>
        <w:tab/>
        <w:t xml:space="preserve">Ota VK, Chen ES, Ejchel TF, et al. </w:t>
      </w:r>
      <w:r w:rsidRPr="009E0769">
        <w:rPr>
          <w:rFonts w:ascii="Arial" w:hAnsi="Arial" w:cs="Arial"/>
          <w:noProof/>
          <w:sz w:val="16"/>
          <w:szCs w:val="16"/>
        </w:rPr>
        <w:t xml:space="preserve">APOA4 polymorphism as a risk factor for unfavorable lipid serum profile and depression: a cross-sectional study. </w:t>
      </w:r>
      <w:r w:rsidRPr="009E0769">
        <w:rPr>
          <w:rFonts w:ascii="Arial" w:hAnsi="Arial" w:cs="Arial"/>
          <w:i/>
          <w:iCs/>
          <w:noProof/>
          <w:sz w:val="16"/>
          <w:szCs w:val="16"/>
        </w:rPr>
        <w:t>J Investig Med</w:t>
      </w:r>
      <w:r w:rsidRPr="009E0769">
        <w:rPr>
          <w:rFonts w:ascii="Arial" w:hAnsi="Arial" w:cs="Arial"/>
          <w:noProof/>
          <w:sz w:val="16"/>
          <w:szCs w:val="16"/>
        </w:rPr>
        <w:t>. 2011;59(6):966-970. internal-pdf://73.166.214.41/APOA4 polymorphism as a risk factor for unfavo.pdf.</w:t>
      </w:r>
    </w:p>
    <w:p w14:paraId="0DF98173"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21. </w:t>
      </w:r>
      <w:r w:rsidRPr="00665066">
        <w:rPr>
          <w:rFonts w:ascii="Arial" w:hAnsi="Arial" w:cs="Arial"/>
          <w:noProof/>
          <w:sz w:val="16"/>
          <w:szCs w:val="16"/>
          <w:lang w:val="es-PE"/>
        </w:rPr>
        <w:tab/>
        <w:t xml:space="preserve">Pimenta AM, Kac G, Gazzinelli A, Corrêa-Oliveira R, Velásquez-Meléndez G. Associação entre obesidade central, triglicerídeos e hipertensão arterial em uma área rural do Brasil. </w:t>
      </w:r>
      <w:r w:rsidRPr="00665066">
        <w:rPr>
          <w:rFonts w:ascii="Arial" w:hAnsi="Arial" w:cs="Arial"/>
          <w:i/>
          <w:iCs/>
          <w:noProof/>
          <w:sz w:val="16"/>
          <w:szCs w:val="16"/>
          <w:lang w:val="es-PE"/>
        </w:rPr>
        <w:t>Arq Bras Cardiol</w:t>
      </w:r>
      <w:r w:rsidRPr="00665066">
        <w:rPr>
          <w:rFonts w:ascii="Arial" w:hAnsi="Arial" w:cs="Arial"/>
          <w:noProof/>
          <w:sz w:val="16"/>
          <w:szCs w:val="16"/>
          <w:lang w:val="es-PE"/>
        </w:rPr>
        <w:t>. 2008;90(6):419-425. internal-pdf://208.167.218.17/Associação entre obesidade central, triglicerí.pdf.</w:t>
      </w:r>
    </w:p>
    <w:p w14:paraId="37E7DBB0"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22. </w:t>
      </w:r>
      <w:r w:rsidRPr="00665066">
        <w:rPr>
          <w:rFonts w:ascii="Arial" w:hAnsi="Arial" w:cs="Arial"/>
          <w:noProof/>
          <w:sz w:val="16"/>
          <w:szCs w:val="16"/>
          <w:lang w:val="es-PE"/>
        </w:rPr>
        <w:tab/>
        <w:t xml:space="preserve">Souza LJ de, Souto Filho JTD, Souza TF de, et al. </w:t>
      </w:r>
      <w:r w:rsidRPr="009E0769">
        <w:rPr>
          <w:rFonts w:ascii="Arial" w:hAnsi="Arial" w:cs="Arial"/>
          <w:noProof/>
          <w:sz w:val="16"/>
          <w:szCs w:val="16"/>
        </w:rPr>
        <w:t xml:space="preserve">Prevalence of dyslipidemia and risk factors in Campos dos Goytacazes, in the Brazilian State of Rio de Janeiro. </w:t>
      </w:r>
      <w:r w:rsidRPr="00665066">
        <w:rPr>
          <w:rFonts w:ascii="Arial" w:hAnsi="Arial" w:cs="Arial"/>
          <w:i/>
          <w:iCs/>
          <w:noProof/>
          <w:sz w:val="16"/>
          <w:szCs w:val="16"/>
          <w:lang w:val="es-PE"/>
        </w:rPr>
        <w:t>Arq Bras Cardiol</w:t>
      </w:r>
      <w:r w:rsidRPr="00665066">
        <w:rPr>
          <w:rFonts w:ascii="Arial" w:hAnsi="Arial" w:cs="Arial"/>
          <w:noProof/>
          <w:sz w:val="16"/>
          <w:szCs w:val="16"/>
          <w:lang w:val="es-PE"/>
        </w:rPr>
        <w:t>. 2003;81(3):257-264. doi:10.1590/s0066-782x2003001100005</w:t>
      </w:r>
    </w:p>
    <w:p w14:paraId="54E3D0A5"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23. </w:t>
      </w:r>
      <w:r w:rsidRPr="00665066">
        <w:rPr>
          <w:rFonts w:ascii="Arial" w:hAnsi="Arial" w:cs="Arial"/>
          <w:noProof/>
          <w:sz w:val="16"/>
          <w:szCs w:val="16"/>
          <w:lang w:val="es-PE"/>
        </w:rPr>
        <w:tab/>
        <w:t xml:space="preserve">Yokota RT de C, Iser BPM, Andrade RLM, et al. Vigilância de fatores de risco e proteção para doenças e agravos não transmissíveis em município de pequeno porte, Brasil, 2010. </w:t>
      </w:r>
      <w:r w:rsidRPr="00665066">
        <w:rPr>
          <w:rFonts w:ascii="Arial" w:hAnsi="Arial" w:cs="Arial"/>
          <w:i/>
          <w:iCs/>
          <w:noProof/>
          <w:sz w:val="16"/>
          <w:szCs w:val="16"/>
          <w:lang w:val="es-PE"/>
        </w:rPr>
        <w:t>Epidemiol serv saúde</w:t>
      </w:r>
      <w:r w:rsidRPr="00665066">
        <w:rPr>
          <w:rFonts w:ascii="Arial" w:hAnsi="Arial" w:cs="Arial"/>
          <w:noProof/>
          <w:sz w:val="16"/>
          <w:szCs w:val="16"/>
          <w:lang w:val="es-PE"/>
        </w:rPr>
        <w:t>. 2012;21(1):55-68. internal-pdf://71.31.237.59/Vigilância de fatores de risco e proteção para.pdf.</w:t>
      </w:r>
    </w:p>
    <w:p w14:paraId="42C81E63"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24. </w:t>
      </w:r>
      <w:r w:rsidRPr="00665066">
        <w:rPr>
          <w:rFonts w:ascii="Arial" w:hAnsi="Arial" w:cs="Arial"/>
          <w:noProof/>
          <w:sz w:val="16"/>
          <w:szCs w:val="16"/>
          <w:lang w:val="es-PE"/>
        </w:rPr>
        <w:tab/>
        <w:t xml:space="preserve">Petris AJ, Souza RKT de, Bortoletto MSS. </w:t>
      </w:r>
      <w:r w:rsidRPr="009E0769">
        <w:rPr>
          <w:rFonts w:ascii="Arial" w:hAnsi="Arial" w:cs="Arial"/>
          <w:noProof/>
          <w:sz w:val="16"/>
          <w:szCs w:val="16"/>
        </w:rPr>
        <w:t xml:space="preserve">[Public sector participation in the supply of dyslipidemia medication in a population-based study]. </w:t>
      </w:r>
      <w:r w:rsidRPr="00665066">
        <w:rPr>
          <w:rFonts w:ascii="Arial" w:hAnsi="Arial" w:cs="Arial"/>
          <w:i/>
          <w:iCs/>
          <w:noProof/>
          <w:sz w:val="16"/>
          <w:szCs w:val="16"/>
          <w:lang w:val="es-PE"/>
        </w:rPr>
        <w:t>Particip do Set publico no fornecimento Medicam para dislipidemias em Estud base Popul</w:t>
      </w:r>
      <w:r w:rsidRPr="00665066">
        <w:rPr>
          <w:rFonts w:ascii="Arial" w:hAnsi="Arial" w:cs="Arial"/>
          <w:noProof/>
          <w:sz w:val="16"/>
          <w:szCs w:val="16"/>
          <w:lang w:val="es-PE"/>
        </w:rPr>
        <w:t xml:space="preserve">. </w:t>
      </w:r>
      <w:r w:rsidRPr="009E0769">
        <w:rPr>
          <w:rFonts w:ascii="Arial" w:hAnsi="Arial" w:cs="Arial"/>
          <w:noProof/>
          <w:sz w:val="16"/>
          <w:szCs w:val="16"/>
        </w:rPr>
        <w:t>2016;21(12):3899-3906. internal-pdf://68.22.217.241/Petris-2016-[Public sector participation in th.pdf.</w:t>
      </w:r>
    </w:p>
    <w:p w14:paraId="12428AA5"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25. </w:t>
      </w:r>
      <w:r w:rsidRPr="009E0769">
        <w:rPr>
          <w:rFonts w:ascii="Arial" w:hAnsi="Arial" w:cs="Arial"/>
          <w:noProof/>
          <w:sz w:val="16"/>
          <w:szCs w:val="16"/>
        </w:rPr>
        <w:tab/>
        <w:t xml:space="preserve">Pirkle CM, Wu YY, Zunzunegui M-V, Gomez JF. Model-based recursive partitioning to identify risk clusters for metabolic syndrome and its components: findings from the International Mobility in Aging Study. </w:t>
      </w:r>
      <w:r w:rsidRPr="009E0769">
        <w:rPr>
          <w:rFonts w:ascii="Arial" w:hAnsi="Arial" w:cs="Arial"/>
          <w:i/>
          <w:iCs/>
          <w:noProof/>
          <w:sz w:val="16"/>
          <w:szCs w:val="16"/>
        </w:rPr>
        <w:t>BMJ Open</w:t>
      </w:r>
      <w:r w:rsidRPr="009E0769">
        <w:rPr>
          <w:rFonts w:ascii="Arial" w:hAnsi="Arial" w:cs="Arial"/>
          <w:noProof/>
          <w:sz w:val="16"/>
          <w:szCs w:val="16"/>
        </w:rPr>
        <w:t>. 2018;8(3):e018680. internal-pdf://183.95.218.32/Pirkle-2018-Model-based recursive partitioning.pdf.</w:t>
      </w:r>
    </w:p>
    <w:p w14:paraId="1DCD84C8"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26. </w:t>
      </w:r>
      <w:r w:rsidRPr="009E0769">
        <w:rPr>
          <w:rFonts w:ascii="Arial" w:hAnsi="Arial" w:cs="Arial"/>
          <w:noProof/>
          <w:sz w:val="16"/>
          <w:szCs w:val="16"/>
        </w:rPr>
        <w:tab/>
        <w:t xml:space="preserve">Werle MH, Moriguchi E, Fuchs S, et al. Risk factors for cardiovascular disease in the very elderly: results of a cohort study in a city in southern Brazil. </w:t>
      </w:r>
      <w:r w:rsidRPr="009E0769">
        <w:rPr>
          <w:rFonts w:ascii="Arial" w:hAnsi="Arial" w:cs="Arial"/>
          <w:i/>
          <w:iCs/>
          <w:noProof/>
          <w:sz w:val="16"/>
          <w:szCs w:val="16"/>
        </w:rPr>
        <w:t>Eur J Cardiovasc Prev Rehabil</w:t>
      </w:r>
      <w:r w:rsidRPr="009E0769">
        <w:rPr>
          <w:rFonts w:ascii="Arial" w:hAnsi="Arial" w:cs="Arial"/>
          <w:noProof/>
          <w:sz w:val="16"/>
          <w:szCs w:val="16"/>
        </w:rPr>
        <w:t>. 2011;18(3):369-377. internal-pdf://223.89.235.243/Risk factors for cardiovascular disease in the.pdf.</w:t>
      </w:r>
    </w:p>
    <w:p w14:paraId="706B9FE8"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27. </w:t>
      </w:r>
      <w:r w:rsidRPr="00665066">
        <w:rPr>
          <w:rFonts w:ascii="Arial" w:hAnsi="Arial" w:cs="Arial"/>
          <w:noProof/>
          <w:sz w:val="16"/>
          <w:szCs w:val="16"/>
          <w:lang w:val="es-PE"/>
        </w:rPr>
        <w:tab/>
        <w:t xml:space="preserve">Oliveira BFA de, Mourão D de S, Gomes N, et al. Prevalência de hipertensão arterial em comunidades ribeirinhas do Rio Madeira, Amazônia Ocidental Brasileira. </w:t>
      </w:r>
      <w:r w:rsidRPr="00665066">
        <w:rPr>
          <w:rFonts w:ascii="Arial" w:hAnsi="Arial" w:cs="Arial"/>
          <w:i/>
          <w:iCs/>
          <w:noProof/>
          <w:sz w:val="16"/>
          <w:szCs w:val="16"/>
          <w:lang w:val="es-PE"/>
        </w:rPr>
        <w:t>Cad Saude Publica</w:t>
      </w:r>
      <w:r w:rsidRPr="00665066">
        <w:rPr>
          <w:rFonts w:ascii="Arial" w:hAnsi="Arial" w:cs="Arial"/>
          <w:noProof/>
          <w:sz w:val="16"/>
          <w:szCs w:val="16"/>
          <w:lang w:val="es-PE"/>
        </w:rPr>
        <w:t>. 2013;29(8):1617-1630. internal-pdf://107.119.212.240/Oliveira-2013-Prevalência de hipertensão arter.pdf.</w:t>
      </w:r>
    </w:p>
    <w:p w14:paraId="6BE26A69"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28. </w:t>
      </w:r>
      <w:r w:rsidRPr="00665066">
        <w:rPr>
          <w:rFonts w:ascii="Arial" w:hAnsi="Arial" w:cs="Arial"/>
          <w:noProof/>
          <w:sz w:val="16"/>
          <w:szCs w:val="16"/>
          <w:lang w:val="es-PE"/>
        </w:rPr>
        <w:tab/>
        <w:t xml:space="preserve">Venturini CD, Engroff P, Gomes I, De Carli GA. Prevalência de obesidade associada à ingestão calórica, glicemia e perfil lipídico em uma amostra populacional de idosos do Sul do Brasil. </w:t>
      </w:r>
      <w:r w:rsidRPr="00665066">
        <w:rPr>
          <w:rFonts w:ascii="Arial" w:hAnsi="Arial" w:cs="Arial"/>
          <w:i/>
          <w:iCs/>
          <w:noProof/>
          <w:sz w:val="16"/>
          <w:szCs w:val="16"/>
          <w:lang w:val="es-PE"/>
        </w:rPr>
        <w:t>Rev bras geriatr gerontol</w:t>
      </w:r>
      <w:r w:rsidRPr="00665066">
        <w:rPr>
          <w:rFonts w:ascii="Arial" w:hAnsi="Arial" w:cs="Arial"/>
          <w:noProof/>
          <w:sz w:val="16"/>
          <w:szCs w:val="16"/>
          <w:lang w:val="es-PE"/>
        </w:rPr>
        <w:t>. 2013;16(3):591-601. internal-pdf://6.163.131.30/Prevalência de obesidade associada à ingestão.pdf.</w:t>
      </w:r>
    </w:p>
    <w:p w14:paraId="681923F8"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29. </w:t>
      </w:r>
      <w:r w:rsidRPr="00665066">
        <w:rPr>
          <w:rFonts w:ascii="Arial" w:hAnsi="Arial" w:cs="Arial"/>
          <w:noProof/>
          <w:sz w:val="16"/>
          <w:szCs w:val="16"/>
          <w:lang w:val="es-PE"/>
        </w:rPr>
        <w:tab/>
        <w:t xml:space="preserve">Pavan L, Casiglia E, Pauletto P, et al. </w:t>
      </w:r>
      <w:r w:rsidRPr="009E0769">
        <w:rPr>
          <w:rFonts w:ascii="Arial" w:hAnsi="Arial" w:cs="Arial"/>
          <w:noProof/>
          <w:sz w:val="16"/>
          <w:szCs w:val="16"/>
        </w:rPr>
        <w:t xml:space="preserve">Blood pressure, serum cholesterol and nutritional state in Tanzania and in the Amazon: comparison with an Italian population. </w:t>
      </w:r>
      <w:r w:rsidRPr="009E0769">
        <w:rPr>
          <w:rFonts w:ascii="Arial" w:hAnsi="Arial" w:cs="Arial"/>
          <w:i/>
          <w:iCs/>
          <w:noProof/>
          <w:sz w:val="16"/>
          <w:szCs w:val="16"/>
        </w:rPr>
        <w:t>J Hypertens</w:t>
      </w:r>
      <w:r w:rsidRPr="009E0769">
        <w:rPr>
          <w:rFonts w:ascii="Arial" w:hAnsi="Arial" w:cs="Arial"/>
          <w:noProof/>
          <w:sz w:val="16"/>
          <w:szCs w:val="16"/>
        </w:rPr>
        <w:t>. 1997;15(10):1083-1090. internal-pdf://83.164.215.253/Blood pressure, serum cholesterol and nutritio.pdf.</w:t>
      </w:r>
    </w:p>
    <w:p w14:paraId="2785DB9A"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lastRenderedPageBreak/>
        <w:t xml:space="preserve">30. </w:t>
      </w:r>
      <w:r w:rsidRPr="009E0769">
        <w:rPr>
          <w:rFonts w:ascii="Arial" w:hAnsi="Arial" w:cs="Arial"/>
          <w:noProof/>
          <w:sz w:val="16"/>
          <w:szCs w:val="16"/>
        </w:rPr>
        <w:tab/>
        <w:t xml:space="preserve">Roriz-Cruz M, Rosset I, Wada T, et al. Cognitive impairment and frontal-subcortical geriatric syndrome are associated with metabolic syndrome in a stroke-free population. </w:t>
      </w:r>
      <w:r w:rsidRPr="009E0769">
        <w:rPr>
          <w:rFonts w:ascii="Arial" w:hAnsi="Arial" w:cs="Arial"/>
          <w:i/>
          <w:iCs/>
          <w:noProof/>
          <w:sz w:val="16"/>
          <w:szCs w:val="16"/>
        </w:rPr>
        <w:t>Neurobiol Aging</w:t>
      </w:r>
      <w:r w:rsidRPr="009E0769">
        <w:rPr>
          <w:rFonts w:ascii="Arial" w:hAnsi="Arial" w:cs="Arial"/>
          <w:noProof/>
          <w:sz w:val="16"/>
          <w:szCs w:val="16"/>
        </w:rPr>
        <w:t>. 2007;28(11):1723-1736. internal-pdf://0670818238/Roriz-Cruz-2007-Cognitive impairment and front.pdf.</w:t>
      </w:r>
    </w:p>
    <w:p w14:paraId="55467C1C"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31. </w:t>
      </w:r>
      <w:r w:rsidRPr="009E0769">
        <w:rPr>
          <w:rFonts w:ascii="Arial" w:hAnsi="Arial" w:cs="Arial"/>
          <w:noProof/>
          <w:sz w:val="16"/>
          <w:szCs w:val="16"/>
        </w:rPr>
        <w:tab/>
        <w:t xml:space="preserve">Neumann AICP, Martins IS, Marcopito LF, Araujo EAC. [Dietary patterns associated with risk factors for cardiovascular disease in a Brazilian city]. </w:t>
      </w:r>
      <w:r w:rsidRPr="00665066">
        <w:rPr>
          <w:rFonts w:ascii="Arial" w:hAnsi="Arial" w:cs="Arial"/>
          <w:i/>
          <w:iCs/>
          <w:noProof/>
          <w:sz w:val="16"/>
          <w:szCs w:val="16"/>
          <w:lang w:val="es-PE"/>
        </w:rPr>
        <w:t>Padroes Aliment Assoc a fatores risco para doencas Cardiovasc entre Resid um Munic Bras</w:t>
      </w:r>
      <w:r w:rsidRPr="00665066">
        <w:rPr>
          <w:rFonts w:ascii="Arial" w:hAnsi="Arial" w:cs="Arial"/>
          <w:noProof/>
          <w:sz w:val="16"/>
          <w:szCs w:val="16"/>
          <w:lang w:val="es-PE"/>
        </w:rPr>
        <w:t>. 2007;22(5):329-339. http://ovidsp.ovid.com/ovidweb.cgi?T=JS&amp;PAGE=reference&amp;D=med5&amp;NEWS=N&amp;AN=18198042.</w:t>
      </w:r>
    </w:p>
    <w:p w14:paraId="0C141DDC"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32. </w:t>
      </w:r>
      <w:r w:rsidRPr="00665066">
        <w:rPr>
          <w:rFonts w:ascii="Arial" w:hAnsi="Arial" w:cs="Arial"/>
          <w:noProof/>
          <w:sz w:val="16"/>
          <w:szCs w:val="16"/>
          <w:lang w:val="es-PE"/>
        </w:rPr>
        <w:tab/>
        <w:t xml:space="preserve">Nunes Filho JR, Debastiani D, Nunes A, Daros  ra, Peres KG. Prevalência de Fatores de risco cardiovascular em adultos de Luzerna, Santa Catarina, 2006. </w:t>
      </w:r>
      <w:r w:rsidRPr="00665066">
        <w:rPr>
          <w:rFonts w:ascii="Arial" w:hAnsi="Arial" w:cs="Arial"/>
          <w:i/>
          <w:iCs/>
          <w:noProof/>
          <w:sz w:val="16"/>
          <w:szCs w:val="16"/>
          <w:lang w:val="es-PE"/>
        </w:rPr>
        <w:t>Arq Bras Cardiol</w:t>
      </w:r>
      <w:r w:rsidRPr="00665066">
        <w:rPr>
          <w:rFonts w:ascii="Arial" w:hAnsi="Arial" w:cs="Arial"/>
          <w:noProof/>
          <w:sz w:val="16"/>
          <w:szCs w:val="16"/>
          <w:lang w:val="es-PE"/>
        </w:rPr>
        <w:t>. 2007;89(5):319-324. internal-pdf://0591254487/Prevalência de Fatores de risco cardiovascular.pdf.</w:t>
      </w:r>
    </w:p>
    <w:p w14:paraId="7ACA32AC"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33. </w:t>
      </w:r>
      <w:r w:rsidRPr="00665066">
        <w:rPr>
          <w:rFonts w:ascii="Arial" w:hAnsi="Arial" w:cs="Arial"/>
          <w:noProof/>
          <w:sz w:val="16"/>
          <w:szCs w:val="16"/>
          <w:lang w:val="es-PE"/>
        </w:rPr>
        <w:tab/>
        <w:t xml:space="preserve">Gimeno SGA, Mondini L, Moraes SA de, Freitas ICM de. Padrões de consumo de alimentos e fatores associados em adultos de Ribeirão Preto, São Paulo, Brasil: Projeto OBEDIARP. </w:t>
      </w:r>
      <w:r w:rsidRPr="00665066">
        <w:rPr>
          <w:rFonts w:ascii="Arial" w:hAnsi="Arial" w:cs="Arial"/>
          <w:i/>
          <w:iCs/>
          <w:noProof/>
          <w:sz w:val="16"/>
          <w:szCs w:val="16"/>
          <w:lang w:val="es-PE"/>
        </w:rPr>
        <w:t>Cad Saude Publica</w:t>
      </w:r>
      <w:r w:rsidRPr="00665066">
        <w:rPr>
          <w:rFonts w:ascii="Arial" w:hAnsi="Arial" w:cs="Arial"/>
          <w:noProof/>
          <w:sz w:val="16"/>
          <w:szCs w:val="16"/>
          <w:lang w:val="es-PE"/>
        </w:rPr>
        <w:t>. 2011;27(3):533-545. http://www.scielo.br/scielo.php?script=sci_arttext&amp;pid=S0102-311X2011000300013 http://www.scielo.br/pdf/csp/v27n3/13.pdf.</w:t>
      </w:r>
    </w:p>
    <w:p w14:paraId="3A06E1B4"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34. </w:t>
      </w:r>
      <w:r w:rsidRPr="00665066">
        <w:rPr>
          <w:rFonts w:ascii="Arial" w:hAnsi="Arial" w:cs="Arial"/>
          <w:noProof/>
          <w:sz w:val="16"/>
          <w:szCs w:val="16"/>
          <w:lang w:val="es-PE"/>
        </w:rPr>
        <w:tab/>
        <w:t xml:space="preserve">Moraes SA de, Checchio MV, Freitas ICM de. Dislipidemia e fatores associados em adultos residentes em Ribeirão Preto, SP: resultados do Projeto EPIDCV. </w:t>
      </w:r>
      <w:r w:rsidRPr="00665066">
        <w:rPr>
          <w:rFonts w:ascii="Arial" w:hAnsi="Arial" w:cs="Arial"/>
          <w:i/>
          <w:iCs/>
          <w:noProof/>
          <w:sz w:val="16"/>
          <w:szCs w:val="16"/>
          <w:lang w:val="es-PE"/>
        </w:rPr>
        <w:t>Arq Bras Endocrinol Metab</w:t>
      </w:r>
      <w:r w:rsidRPr="00665066">
        <w:rPr>
          <w:rFonts w:ascii="Arial" w:hAnsi="Arial" w:cs="Arial"/>
          <w:noProof/>
          <w:sz w:val="16"/>
          <w:szCs w:val="16"/>
          <w:lang w:val="es-PE"/>
        </w:rPr>
        <w:t>. 2013;57(9):691-701. http://www.scielo.br/scielo.php?script=sci_arttext&amp;pid=S0004-27302013000900004 http://www.scielo.br/pdf/abem/v57n9/a04v57n9.pdf.</w:t>
      </w:r>
    </w:p>
    <w:p w14:paraId="350D7B8D"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35. </w:t>
      </w:r>
      <w:r w:rsidRPr="00665066">
        <w:rPr>
          <w:rFonts w:ascii="Arial" w:hAnsi="Arial" w:cs="Arial"/>
          <w:noProof/>
          <w:sz w:val="16"/>
          <w:szCs w:val="16"/>
          <w:lang w:val="es-PE"/>
        </w:rPr>
        <w:tab/>
        <w:t xml:space="preserve">Garcez MR, Pereira JL, de Mello Fontanelli M, Marchioni DML, Fisberg RM. </w:t>
      </w:r>
      <w:r w:rsidRPr="009E0769">
        <w:rPr>
          <w:rFonts w:ascii="Arial" w:hAnsi="Arial" w:cs="Arial"/>
          <w:noProof/>
          <w:sz w:val="16"/>
          <w:szCs w:val="16"/>
        </w:rPr>
        <w:t xml:space="preserve">Prevalence of dyslipidemia according to the nutritional status in a representative sample of São Paulo. </w:t>
      </w:r>
      <w:r w:rsidRPr="00366461">
        <w:rPr>
          <w:rFonts w:ascii="Arial" w:hAnsi="Arial" w:cs="Arial"/>
          <w:i/>
          <w:iCs/>
          <w:noProof/>
          <w:sz w:val="16"/>
          <w:szCs w:val="16"/>
          <w:lang w:val="es-PE"/>
        </w:rPr>
        <w:t>Arq Bras Cardiol</w:t>
      </w:r>
      <w:r w:rsidRPr="00366461">
        <w:rPr>
          <w:rFonts w:ascii="Arial" w:hAnsi="Arial" w:cs="Arial"/>
          <w:noProof/>
          <w:sz w:val="16"/>
          <w:szCs w:val="16"/>
          <w:lang w:val="es-PE"/>
        </w:rPr>
        <w:t>. 2014;103(6):476-484. https://www.scopus.com/inward/record.uri?eid=2-s2.0-84923261698&amp;doi=10.5935%2Fabc.20140156&amp;partnerID=40&amp;md5=4767ec36b6a4fcff752e772c75b1e2aa https://www.ncbi.nlm.nih.gov/pmc/articles/PMC4290738/pdf/abc-103-06-0476.pdf.</w:t>
      </w:r>
    </w:p>
    <w:p w14:paraId="61499CCC"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36. </w:t>
      </w:r>
      <w:r w:rsidRPr="009E0769">
        <w:rPr>
          <w:rFonts w:ascii="Arial" w:hAnsi="Arial" w:cs="Arial"/>
          <w:noProof/>
          <w:sz w:val="16"/>
          <w:szCs w:val="16"/>
        </w:rPr>
        <w:tab/>
        <w:t xml:space="preserve">Gomes IC, Santos VR, Christofaro DGD, Santos LL, Freitas Junior IF. The most frequent cardiovascular risk factors in Brazilian aged 80 years or older. </w:t>
      </w:r>
      <w:r w:rsidRPr="009E0769">
        <w:rPr>
          <w:rFonts w:ascii="Arial" w:hAnsi="Arial" w:cs="Arial"/>
          <w:i/>
          <w:iCs/>
          <w:noProof/>
          <w:sz w:val="16"/>
          <w:szCs w:val="16"/>
        </w:rPr>
        <w:t>J Appl Gerontol</w:t>
      </w:r>
      <w:r w:rsidRPr="009E0769">
        <w:rPr>
          <w:rFonts w:ascii="Arial" w:hAnsi="Arial" w:cs="Arial"/>
          <w:noProof/>
          <w:sz w:val="16"/>
          <w:szCs w:val="16"/>
        </w:rPr>
        <w:t>. 2013;32(4):408-421. http://ovidsp.ovid.com/ovidweb.cgi?T=JS&amp;PAGE=reference&amp;D=med7&amp;NEWS=N&amp;AN=25474682.</w:t>
      </w:r>
    </w:p>
    <w:p w14:paraId="60113060"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37. </w:t>
      </w:r>
      <w:r w:rsidRPr="009E0769">
        <w:rPr>
          <w:rFonts w:ascii="Arial" w:hAnsi="Arial" w:cs="Arial"/>
          <w:noProof/>
          <w:sz w:val="16"/>
          <w:szCs w:val="16"/>
        </w:rPr>
        <w:tab/>
        <w:t xml:space="preserve">Kaestner TL, Bento VF, Pazin DC, et al. Prevalence of high cholesterol levels suggestive of familial hypercholesterolemia in Brazilian adolescents: Data from the study of cardiovascular risk in adolescents. </w:t>
      </w:r>
      <w:r w:rsidRPr="009E0769">
        <w:rPr>
          <w:rFonts w:ascii="Arial" w:hAnsi="Arial" w:cs="Arial"/>
          <w:i/>
          <w:iCs/>
          <w:noProof/>
          <w:sz w:val="16"/>
          <w:szCs w:val="16"/>
        </w:rPr>
        <w:t>J Clin Lipidol</w:t>
      </w:r>
      <w:r w:rsidRPr="009E0769">
        <w:rPr>
          <w:rFonts w:ascii="Arial" w:hAnsi="Arial" w:cs="Arial"/>
          <w:noProof/>
          <w:sz w:val="16"/>
          <w:szCs w:val="16"/>
        </w:rPr>
        <w:t>. 2018;12(2):403-408. http://ovidsp.ovid.com/ovidweb.cgi?T=JS&amp;PAGE=reference&amp;D=prem&amp;NEWS=N&amp;AN=29429893 https://ac.els-cdn.com/S1933287417305445/1-s2.0-S1933287417305445-main.pdf?_tid=adb15a01-f923-4e81-9860-b1c94e39ee86&amp;acdnat=1551036759_d7402dc6921c927c4150b654fa933f51.</w:t>
      </w:r>
    </w:p>
    <w:p w14:paraId="0E79ACCB"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366461">
        <w:rPr>
          <w:rFonts w:ascii="Arial" w:hAnsi="Arial" w:cs="Arial"/>
          <w:noProof/>
          <w:sz w:val="16"/>
          <w:szCs w:val="16"/>
          <w:lang w:val="es-PE"/>
        </w:rPr>
        <w:t xml:space="preserve">38. </w:t>
      </w:r>
      <w:r w:rsidRPr="00366461">
        <w:rPr>
          <w:rFonts w:ascii="Arial" w:hAnsi="Arial" w:cs="Arial"/>
          <w:noProof/>
          <w:sz w:val="16"/>
          <w:szCs w:val="16"/>
          <w:lang w:val="es-PE"/>
        </w:rPr>
        <w:tab/>
        <w:t xml:space="preserve">Fontanelli M de M, Nogueira LR, Garcez MR, et al. </w:t>
      </w:r>
      <w:r w:rsidRPr="009E0769">
        <w:rPr>
          <w:rFonts w:ascii="Arial" w:hAnsi="Arial" w:cs="Arial"/>
          <w:noProof/>
          <w:sz w:val="16"/>
          <w:szCs w:val="16"/>
        </w:rPr>
        <w:t xml:space="preserve">[Validity of self-reported high cholesterol in the city of Sao Paulo, Brazil, and factors associated with this information’s sensitivity]. </w:t>
      </w:r>
      <w:r w:rsidRPr="00366461">
        <w:rPr>
          <w:rFonts w:ascii="Arial" w:hAnsi="Arial" w:cs="Arial"/>
          <w:i/>
          <w:iCs/>
          <w:noProof/>
          <w:sz w:val="16"/>
          <w:szCs w:val="16"/>
          <w:lang w:val="es-PE"/>
        </w:rPr>
        <w:t>Validade da autorreferencia Colest Elev na Cid Sao Paulo, Bras e fatores Assoc a Sensib dessa Inf</w:t>
      </w:r>
      <w:r w:rsidRPr="00366461">
        <w:rPr>
          <w:rFonts w:ascii="Arial" w:hAnsi="Arial" w:cs="Arial"/>
          <w:noProof/>
          <w:sz w:val="16"/>
          <w:szCs w:val="16"/>
          <w:lang w:val="es-PE"/>
        </w:rPr>
        <w:t>. 2018;34(12):e00034718. http://ovidsp.ovid.com/ovidweb.cgi?T=JS&amp;PAGE=reference&amp;D=prem&amp;NEWS=N&amp;AN=30517313 http://www.scielo.br/pdf/csp/v34n12/1678-4464-csp-34-12-e00034718.pdf.</w:t>
      </w:r>
    </w:p>
    <w:p w14:paraId="6CE69A05"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39. </w:t>
      </w:r>
      <w:r w:rsidRPr="00366461">
        <w:rPr>
          <w:rFonts w:ascii="Arial" w:hAnsi="Arial" w:cs="Arial"/>
          <w:noProof/>
          <w:sz w:val="16"/>
          <w:szCs w:val="16"/>
          <w:lang w:val="es-PE"/>
        </w:rPr>
        <w:tab/>
        <w:t xml:space="preserve">Marquezine GF, Oliveira CM, Pereira AC, Krieger JE, Mill JG. </w:t>
      </w:r>
      <w:r w:rsidRPr="009E0769">
        <w:rPr>
          <w:rFonts w:ascii="Arial" w:hAnsi="Arial" w:cs="Arial"/>
          <w:noProof/>
          <w:sz w:val="16"/>
          <w:szCs w:val="16"/>
        </w:rPr>
        <w:t xml:space="preserve">Metabolic syndrome determinants in an urban population from Brazil: Social class and gender-specific interaction. </w:t>
      </w:r>
      <w:r w:rsidRPr="009E0769">
        <w:rPr>
          <w:rFonts w:ascii="Arial" w:hAnsi="Arial" w:cs="Arial"/>
          <w:i/>
          <w:iCs/>
          <w:noProof/>
          <w:sz w:val="16"/>
          <w:szCs w:val="16"/>
        </w:rPr>
        <w:t>Int J Cardiol</w:t>
      </w:r>
      <w:r w:rsidRPr="009E0769">
        <w:rPr>
          <w:rFonts w:ascii="Arial" w:hAnsi="Arial" w:cs="Arial"/>
          <w:noProof/>
          <w:sz w:val="16"/>
          <w:szCs w:val="16"/>
        </w:rPr>
        <w:t>. 2008;129(2):259-265. https://www.scopus.com/inward/record.uri?eid=2-s2.0-50349097935&amp;doi=10.1016%2Fj.ijcard.2007.07.097&amp;partnerID=40&amp;md5=6ead8904463dc2ac8a304dfe0d55c292 https://ac.els-cdn.com/S0167527307016543/1-s2.0-S0167527307016543-main.pdf?_tid=ffedde13-9c38-45b4-b26a-3e.</w:t>
      </w:r>
    </w:p>
    <w:p w14:paraId="65AFAD72"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366461">
        <w:rPr>
          <w:rFonts w:ascii="Arial" w:hAnsi="Arial" w:cs="Arial"/>
          <w:noProof/>
          <w:sz w:val="16"/>
          <w:szCs w:val="16"/>
          <w:lang w:val="es-PE"/>
        </w:rPr>
        <w:t xml:space="preserve">40. </w:t>
      </w:r>
      <w:r w:rsidRPr="00366461">
        <w:rPr>
          <w:rFonts w:ascii="Arial" w:hAnsi="Arial" w:cs="Arial"/>
          <w:noProof/>
          <w:sz w:val="16"/>
          <w:szCs w:val="16"/>
          <w:lang w:val="es-PE"/>
        </w:rPr>
        <w:tab/>
        <w:t xml:space="preserve">Mendes-Lana A, Pena GG, Freitas SN, et al. </w:t>
      </w:r>
      <w:r w:rsidRPr="009E0769">
        <w:rPr>
          <w:rFonts w:ascii="Arial" w:hAnsi="Arial" w:cs="Arial"/>
          <w:noProof/>
          <w:sz w:val="16"/>
          <w:szCs w:val="16"/>
        </w:rPr>
        <w:t xml:space="preserve">Apolipoprotein E polymorphism in Brazilian dyslipidemic individuals: Ouro Preto study. </w:t>
      </w:r>
      <w:r w:rsidRPr="00366461">
        <w:rPr>
          <w:rFonts w:ascii="Arial" w:hAnsi="Arial" w:cs="Arial"/>
          <w:i/>
          <w:iCs/>
          <w:noProof/>
          <w:sz w:val="16"/>
          <w:szCs w:val="16"/>
          <w:lang w:val="es-PE"/>
        </w:rPr>
        <w:t>Brazilian J Med Biol Res = Rev Bras Pesqui medicas e Biol</w:t>
      </w:r>
      <w:r w:rsidRPr="00366461">
        <w:rPr>
          <w:rFonts w:ascii="Arial" w:hAnsi="Arial" w:cs="Arial"/>
          <w:noProof/>
          <w:sz w:val="16"/>
          <w:szCs w:val="16"/>
          <w:lang w:val="es-PE"/>
        </w:rPr>
        <w:t>. 2007;40(1):49-56. http://ovidsp.ovid.com/ovidweb.cgi?T=JS&amp;PAGE=reference&amp;D=med5&amp;NEWS=N&amp;AN=17224996 http://www.scielo.br/pdf/bjmbr/v40n1/6491.pdf.</w:t>
      </w:r>
    </w:p>
    <w:p w14:paraId="1F9DE387"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41. </w:t>
      </w:r>
      <w:r w:rsidRPr="00366461">
        <w:rPr>
          <w:rFonts w:ascii="Arial" w:hAnsi="Arial" w:cs="Arial"/>
          <w:noProof/>
          <w:sz w:val="16"/>
          <w:szCs w:val="16"/>
          <w:lang w:val="es-PE"/>
        </w:rPr>
        <w:tab/>
        <w:t xml:space="preserve">Pena GG, Martinez-Perez A, Dutra MS, et al. </w:t>
      </w:r>
      <w:r w:rsidRPr="009E0769">
        <w:rPr>
          <w:rFonts w:ascii="Arial" w:hAnsi="Arial" w:cs="Arial"/>
          <w:noProof/>
          <w:sz w:val="16"/>
          <w:szCs w:val="16"/>
        </w:rPr>
        <w:t xml:space="preserve">Genetic determinants of cardiometabolic risk factors in rural families in Brazil. </w:t>
      </w:r>
      <w:r w:rsidRPr="009E0769">
        <w:rPr>
          <w:rFonts w:ascii="Arial" w:hAnsi="Arial" w:cs="Arial"/>
          <w:i/>
          <w:iCs/>
          <w:noProof/>
          <w:sz w:val="16"/>
          <w:szCs w:val="16"/>
        </w:rPr>
        <w:t>Am J Hum Biol</w:t>
      </w:r>
      <w:r w:rsidRPr="009E0769">
        <w:rPr>
          <w:rFonts w:ascii="Arial" w:hAnsi="Arial" w:cs="Arial"/>
          <w:noProof/>
          <w:sz w:val="16"/>
          <w:szCs w:val="16"/>
        </w:rPr>
        <w:t>. 2016;28(5):619-626. internal-pdf://197.85.216.216/Pena-2016-Genetic determinants of cardiometabo.pdf.</w:t>
      </w:r>
    </w:p>
    <w:p w14:paraId="072E8837"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366461">
        <w:rPr>
          <w:rFonts w:ascii="Arial" w:hAnsi="Arial" w:cs="Arial"/>
          <w:noProof/>
          <w:sz w:val="16"/>
          <w:szCs w:val="16"/>
          <w:lang w:val="es-PE"/>
        </w:rPr>
        <w:t xml:space="preserve">42. </w:t>
      </w:r>
      <w:r w:rsidRPr="00366461">
        <w:rPr>
          <w:rFonts w:ascii="Arial" w:hAnsi="Arial" w:cs="Arial"/>
          <w:noProof/>
          <w:sz w:val="16"/>
          <w:szCs w:val="16"/>
          <w:lang w:val="es-PE"/>
        </w:rPr>
        <w:tab/>
        <w:t xml:space="preserve">Bielemann RM, Ramires VV, Gigante DP, Hallal PC, Horta BL. </w:t>
      </w:r>
      <w:r w:rsidRPr="009E0769">
        <w:rPr>
          <w:rFonts w:ascii="Arial" w:hAnsi="Arial" w:cs="Arial"/>
          <w:noProof/>
          <w:sz w:val="16"/>
          <w:szCs w:val="16"/>
        </w:rPr>
        <w:t xml:space="preserve">Longitudinal and cross-sectional associations of physical activity with triglyceride and HDLc levels in young male adults. </w:t>
      </w:r>
      <w:r w:rsidRPr="00366461">
        <w:rPr>
          <w:rFonts w:ascii="Arial" w:hAnsi="Arial" w:cs="Arial"/>
          <w:i/>
          <w:iCs/>
          <w:noProof/>
          <w:sz w:val="16"/>
          <w:szCs w:val="16"/>
          <w:lang w:val="es-PE"/>
        </w:rPr>
        <w:t>J Phys Act Heal</w:t>
      </w:r>
      <w:r w:rsidRPr="00366461">
        <w:rPr>
          <w:rFonts w:ascii="Arial" w:hAnsi="Arial" w:cs="Arial"/>
          <w:noProof/>
          <w:sz w:val="16"/>
          <w:szCs w:val="16"/>
          <w:lang w:val="es-PE"/>
        </w:rPr>
        <w:t>. 2014;11(4):784-789. doi:10.1123/jpah.2012-0175</w:t>
      </w:r>
    </w:p>
    <w:p w14:paraId="1F2C551D"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366461">
        <w:rPr>
          <w:rFonts w:ascii="Arial" w:hAnsi="Arial" w:cs="Arial"/>
          <w:noProof/>
          <w:sz w:val="16"/>
          <w:szCs w:val="16"/>
          <w:lang w:val="es-PE"/>
        </w:rPr>
        <w:t xml:space="preserve">43. </w:t>
      </w:r>
      <w:r w:rsidRPr="00366461">
        <w:rPr>
          <w:rFonts w:ascii="Arial" w:hAnsi="Arial" w:cs="Arial"/>
          <w:noProof/>
          <w:sz w:val="16"/>
          <w:szCs w:val="16"/>
          <w:lang w:val="es-PE"/>
        </w:rPr>
        <w:tab/>
        <w:t xml:space="preserve">Cardoso E, Salas Martins I, Fornari L, C.Monachini M, De Pádua Mansur A, Caramelli B. ALTERAÇÕES ELETROCARDIOGRÁFICAS E SUA RELAÇÃO COM OS FATORES DE RISCO PARA DOENÇA ISQUÊMICA DO CORAÇÃO EM POPULAÇÃO DA ÁREA METROPOLITANA DE SÃO PAULO. </w:t>
      </w:r>
      <w:r w:rsidRPr="009E0769">
        <w:rPr>
          <w:rFonts w:ascii="Arial" w:hAnsi="Arial" w:cs="Arial"/>
          <w:i/>
          <w:iCs/>
          <w:noProof/>
          <w:sz w:val="16"/>
          <w:szCs w:val="16"/>
        </w:rPr>
        <w:t>Rev Assoc Med Bras</w:t>
      </w:r>
      <w:r w:rsidRPr="009E0769">
        <w:rPr>
          <w:rFonts w:ascii="Arial" w:hAnsi="Arial" w:cs="Arial"/>
          <w:noProof/>
          <w:sz w:val="16"/>
          <w:szCs w:val="16"/>
        </w:rPr>
        <w:t xml:space="preserve">. 2002;1(12):8. </w:t>
      </w:r>
      <w:r w:rsidRPr="009E0769">
        <w:rPr>
          <w:rFonts w:ascii="Arial" w:hAnsi="Arial" w:cs="Arial"/>
          <w:noProof/>
          <w:sz w:val="16"/>
          <w:szCs w:val="16"/>
        </w:rPr>
        <w:lastRenderedPageBreak/>
        <w:t xml:space="preserve">file:///C:/Users/Usuario/Downloads/base de datos/44. </w:t>
      </w:r>
      <w:r w:rsidRPr="00366461">
        <w:rPr>
          <w:rFonts w:ascii="Arial" w:hAnsi="Arial" w:cs="Arial"/>
          <w:noProof/>
          <w:sz w:val="16"/>
          <w:szCs w:val="16"/>
          <w:lang w:val="es-PE"/>
        </w:rPr>
        <w:t>BRA_1991_Cardoso.pdf.</w:t>
      </w:r>
    </w:p>
    <w:p w14:paraId="02C9F6A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44. </w:t>
      </w:r>
      <w:r w:rsidRPr="00366461">
        <w:rPr>
          <w:rFonts w:ascii="Arial" w:hAnsi="Arial" w:cs="Arial"/>
          <w:noProof/>
          <w:sz w:val="16"/>
          <w:szCs w:val="16"/>
          <w:lang w:val="es-PE"/>
        </w:rPr>
        <w:tab/>
        <w:t xml:space="preserve">Buffarini R, Restrepo-Méndez MC, Silveira VM, et al. </w:t>
      </w:r>
      <w:r w:rsidRPr="009E0769">
        <w:rPr>
          <w:rFonts w:ascii="Arial" w:hAnsi="Arial" w:cs="Arial"/>
          <w:noProof/>
          <w:sz w:val="16"/>
          <w:szCs w:val="16"/>
        </w:rPr>
        <w:t xml:space="preserve">Growth across life course and cardiovascular risk markers in 18-year-old adolescents: The 1993 Pelotas birth cohort. </w:t>
      </w:r>
      <w:r w:rsidRPr="009E0769">
        <w:rPr>
          <w:rFonts w:ascii="Arial" w:hAnsi="Arial" w:cs="Arial"/>
          <w:i/>
          <w:iCs/>
          <w:noProof/>
          <w:sz w:val="16"/>
          <w:szCs w:val="16"/>
        </w:rPr>
        <w:t>BMJ Open</w:t>
      </w:r>
      <w:r w:rsidRPr="009E0769">
        <w:rPr>
          <w:rFonts w:ascii="Arial" w:hAnsi="Arial" w:cs="Arial"/>
          <w:noProof/>
          <w:sz w:val="16"/>
          <w:szCs w:val="16"/>
        </w:rPr>
        <w:t>. 2018;8(1):1-8. doi:10.1136/bmjopen-2017-019164</w:t>
      </w:r>
    </w:p>
    <w:p w14:paraId="19092D15"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45. </w:t>
      </w:r>
      <w:r w:rsidRPr="009E0769">
        <w:rPr>
          <w:rFonts w:ascii="Arial" w:hAnsi="Arial" w:cs="Arial"/>
          <w:noProof/>
          <w:sz w:val="16"/>
          <w:szCs w:val="16"/>
        </w:rPr>
        <w:tab/>
        <w:t xml:space="preserve">Alvim RO, Freitas SR, Ferreira NE, et al. APOE polymorphism is associated with lipid profile, but not with arterial stiffness in the general population. </w:t>
      </w:r>
      <w:r w:rsidRPr="009E0769">
        <w:rPr>
          <w:rFonts w:ascii="Arial" w:hAnsi="Arial" w:cs="Arial"/>
          <w:i/>
          <w:iCs/>
          <w:noProof/>
          <w:sz w:val="16"/>
          <w:szCs w:val="16"/>
        </w:rPr>
        <w:t>Lipids Health Dis</w:t>
      </w:r>
      <w:r w:rsidRPr="009E0769">
        <w:rPr>
          <w:rFonts w:ascii="Arial" w:hAnsi="Arial" w:cs="Arial"/>
          <w:noProof/>
          <w:sz w:val="16"/>
          <w:szCs w:val="16"/>
        </w:rPr>
        <w:t>. 2010;9(1):128. doi:10.1186/1476-511X-9-128</w:t>
      </w:r>
    </w:p>
    <w:p w14:paraId="10133721"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46. </w:t>
      </w:r>
      <w:r w:rsidRPr="009E0769">
        <w:rPr>
          <w:rFonts w:ascii="Arial" w:hAnsi="Arial" w:cs="Arial"/>
          <w:noProof/>
          <w:sz w:val="16"/>
          <w:szCs w:val="16"/>
        </w:rPr>
        <w:tab/>
        <w:t xml:space="preserve">Martins IS, Coelho LT, Matos IM, Mazzilli RN, Trigo M, Wilson D. [Dyslipidemia and some risk factors in the population outside of the metropolitan region of Sao Paulo, SP-Brazil. </w:t>
      </w:r>
      <w:r w:rsidRPr="00366461">
        <w:rPr>
          <w:rFonts w:ascii="Arial" w:hAnsi="Arial" w:cs="Arial"/>
          <w:noProof/>
          <w:sz w:val="16"/>
          <w:szCs w:val="16"/>
          <w:lang w:val="es-PE"/>
        </w:rPr>
        <w:t xml:space="preserve">A pilot study]. </w:t>
      </w:r>
      <w:r w:rsidRPr="00366461">
        <w:rPr>
          <w:rFonts w:ascii="Arial" w:hAnsi="Arial" w:cs="Arial"/>
          <w:i/>
          <w:iCs/>
          <w:noProof/>
          <w:sz w:val="16"/>
          <w:szCs w:val="16"/>
          <w:lang w:val="es-PE"/>
        </w:rPr>
        <w:t>Dislipidemias e alguns fatores risco Assoc em uma Popul periferica da Reg Metrop Sao Paulo, SP-Brasil Um Estud Pilot</w:t>
      </w:r>
      <w:r w:rsidRPr="00366461">
        <w:rPr>
          <w:rFonts w:ascii="Arial" w:hAnsi="Arial" w:cs="Arial"/>
          <w:noProof/>
          <w:sz w:val="16"/>
          <w:szCs w:val="16"/>
          <w:lang w:val="es-PE"/>
        </w:rPr>
        <w:t>. 1989;23(3):236-243. http://ovidsp.ovid.com/ovidweb.cgi?T=JS&amp;PAGE=reference&amp;D=med3&amp;NEWS=N&amp;AN=2617118.</w:t>
      </w:r>
    </w:p>
    <w:p w14:paraId="4C36B5D1"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47. </w:t>
      </w:r>
      <w:r w:rsidRPr="009E0769">
        <w:rPr>
          <w:rFonts w:ascii="Arial" w:hAnsi="Arial" w:cs="Arial"/>
          <w:noProof/>
          <w:sz w:val="16"/>
          <w:szCs w:val="16"/>
        </w:rPr>
        <w:tab/>
        <w:t xml:space="preserve">Fornés NS, Martins IS, Hernan M, Velásquez-Meléndez G, Ascherio A. Food frequency consumption and lipoproteins serum levels in the population of an urban area, Brazil. </w:t>
      </w:r>
      <w:r w:rsidRPr="009E0769">
        <w:rPr>
          <w:rFonts w:ascii="Arial" w:hAnsi="Arial" w:cs="Arial"/>
          <w:i/>
          <w:iCs/>
          <w:noProof/>
          <w:sz w:val="16"/>
          <w:szCs w:val="16"/>
        </w:rPr>
        <w:t>Rev Saude Publica</w:t>
      </w:r>
      <w:r w:rsidRPr="009E0769">
        <w:rPr>
          <w:rFonts w:ascii="Arial" w:hAnsi="Arial" w:cs="Arial"/>
          <w:noProof/>
          <w:sz w:val="16"/>
          <w:szCs w:val="16"/>
        </w:rPr>
        <w:t>. 2000;34(4):380-387. http://www.scielo.br/scielo.php?script=sci_arttext&amp;pid=S0034-89102000000400011&amp;lng=en&amp;nrm=iso http://www.scielo.br/pdf/rsp/v34n4/2536.pdf.</w:t>
      </w:r>
    </w:p>
    <w:p w14:paraId="69EA020B"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48. </w:t>
      </w:r>
      <w:r w:rsidRPr="009E0769">
        <w:rPr>
          <w:rFonts w:ascii="Arial" w:hAnsi="Arial" w:cs="Arial"/>
          <w:noProof/>
          <w:sz w:val="16"/>
          <w:szCs w:val="16"/>
        </w:rPr>
        <w:tab/>
        <w:t xml:space="preserve">Martins IS, Nunes Marucci MDF, Cervato AM, Okani ET, Mazzilli RN, Casajus MI. Atherosclerotic cardiovascular disease, lipemic disorders, hypertension, obesity and diabetes millitus in the population of a metropolitan area of southeastern Brazil. II - Lipemic disorders. </w:t>
      </w:r>
      <w:r w:rsidRPr="009E0769">
        <w:rPr>
          <w:rFonts w:ascii="Arial" w:hAnsi="Arial" w:cs="Arial"/>
          <w:i/>
          <w:iCs/>
          <w:noProof/>
          <w:sz w:val="16"/>
          <w:szCs w:val="16"/>
        </w:rPr>
        <w:t>Rev Saude Publica</w:t>
      </w:r>
      <w:r w:rsidRPr="009E0769">
        <w:rPr>
          <w:rFonts w:ascii="Arial" w:hAnsi="Arial" w:cs="Arial"/>
          <w:noProof/>
          <w:sz w:val="16"/>
          <w:szCs w:val="16"/>
        </w:rPr>
        <w:t>. 1996;30(1):75-84. https://www.scopus.com/inward/record.uri?eid=2-s2.0-0030072895&amp;partnerID=40&amp;md5=7eb4d180374604fcdebf15eceff114f9.</w:t>
      </w:r>
    </w:p>
    <w:p w14:paraId="515D4825"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49. </w:t>
      </w:r>
      <w:r w:rsidRPr="00366461">
        <w:rPr>
          <w:rFonts w:ascii="Arial" w:hAnsi="Arial" w:cs="Arial"/>
          <w:noProof/>
          <w:sz w:val="16"/>
          <w:szCs w:val="16"/>
          <w:lang w:val="es-PE"/>
        </w:rPr>
        <w:tab/>
        <w:t xml:space="preserve">Léa Correa Leite M, Fernanda Lima-Costa M, Moriguchi EH. </w:t>
      </w:r>
      <w:r w:rsidRPr="009E0769">
        <w:rPr>
          <w:rFonts w:ascii="Arial" w:hAnsi="Arial" w:cs="Arial"/>
          <w:noProof/>
          <w:sz w:val="16"/>
          <w:szCs w:val="16"/>
        </w:rPr>
        <w:t xml:space="preserve">Age-related trends of blood pressure levels by apolipoprotein E genotype: the Bambuì cohort study of ageing (1997–2008). </w:t>
      </w:r>
      <w:r w:rsidRPr="009E0769">
        <w:rPr>
          <w:rFonts w:ascii="Arial" w:hAnsi="Arial" w:cs="Arial"/>
          <w:i/>
          <w:iCs/>
          <w:noProof/>
          <w:sz w:val="16"/>
          <w:szCs w:val="16"/>
        </w:rPr>
        <w:t>Hypertens Res</w:t>
      </w:r>
      <w:r w:rsidRPr="009E0769">
        <w:rPr>
          <w:rFonts w:ascii="Arial" w:hAnsi="Arial" w:cs="Arial"/>
          <w:noProof/>
          <w:sz w:val="16"/>
          <w:szCs w:val="16"/>
        </w:rPr>
        <w:t>. 2013;36(3):270-276. doi:10.1038/hr.2012.175</w:t>
      </w:r>
    </w:p>
    <w:p w14:paraId="02A59FB8"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50. </w:t>
      </w:r>
      <w:r w:rsidRPr="009E0769">
        <w:rPr>
          <w:rFonts w:ascii="Arial" w:hAnsi="Arial" w:cs="Arial"/>
          <w:noProof/>
          <w:sz w:val="16"/>
          <w:szCs w:val="16"/>
        </w:rPr>
        <w:tab/>
        <w:t xml:space="preserve">Gus I, Fischmann A, Medina C. Prevalence of risk factors for coronary artery disease in the Brazilian State of Rio Grande do Sul. </w:t>
      </w:r>
      <w:r w:rsidRPr="00665066">
        <w:rPr>
          <w:rFonts w:ascii="Arial" w:hAnsi="Arial" w:cs="Arial"/>
          <w:i/>
          <w:iCs/>
          <w:noProof/>
          <w:sz w:val="16"/>
          <w:szCs w:val="16"/>
          <w:lang w:val="es-PE"/>
        </w:rPr>
        <w:t>Arq Bras Cardiol</w:t>
      </w:r>
      <w:r w:rsidRPr="00665066">
        <w:rPr>
          <w:rFonts w:ascii="Arial" w:hAnsi="Arial" w:cs="Arial"/>
          <w:noProof/>
          <w:sz w:val="16"/>
          <w:szCs w:val="16"/>
          <w:lang w:val="es-PE"/>
        </w:rPr>
        <w:t>. 2002;78(5):478-490. http://ovidsp.ovid.com/ovidweb.cgi?T=JS&amp;PAGE=reference&amp;D=med4&amp;NEWS=N&amp;AN=12045846 http://www.scielo.br/pdf/abc/v78n5/9378.pdf.</w:t>
      </w:r>
    </w:p>
    <w:p w14:paraId="26ECF504"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51. </w:t>
      </w:r>
      <w:r w:rsidRPr="00665066">
        <w:rPr>
          <w:rFonts w:ascii="Arial" w:hAnsi="Arial" w:cs="Arial"/>
          <w:noProof/>
          <w:sz w:val="16"/>
          <w:szCs w:val="16"/>
          <w:lang w:val="es-PE"/>
        </w:rPr>
        <w:tab/>
        <w:t xml:space="preserve">Marcopito LF, Rodrigues SSF, Pacheco MA, Shirassu MM, Goldfeder AJ, Moraes MA de. </w:t>
      </w:r>
      <w:r w:rsidRPr="009E0769">
        <w:rPr>
          <w:rFonts w:ascii="Arial" w:hAnsi="Arial" w:cs="Arial"/>
          <w:noProof/>
          <w:sz w:val="16"/>
          <w:szCs w:val="16"/>
        </w:rPr>
        <w:t xml:space="preserve">[Prevalence of a set of risk factors for chronic diseases in the city of Sao Paulo, Brazil]. </w:t>
      </w:r>
      <w:r w:rsidRPr="00665066">
        <w:rPr>
          <w:rFonts w:ascii="Arial" w:hAnsi="Arial" w:cs="Arial"/>
          <w:i/>
          <w:iCs/>
          <w:noProof/>
          <w:sz w:val="16"/>
          <w:szCs w:val="16"/>
          <w:lang w:val="es-PE"/>
        </w:rPr>
        <w:t>Prevalencia alguns fatores risco para doencas cronicas na Cid Sao Paulo</w:t>
      </w:r>
      <w:r w:rsidRPr="00665066">
        <w:rPr>
          <w:rFonts w:ascii="Arial" w:hAnsi="Arial" w:cs="Arial"/>
          <w:noProof/>
          <w:sz w:val="16"/>
          <w:szCs w:val="16"/>
          <w:lang w:val="es-PE"/>
        </w:rPr>
        <w:t xml:space="preserve">. </w:t>
      </w:r>
      <w:r w:rsidRPr="00366461">
        <w:rPr>
          <w:rFonts w:ascii="Arial" w:hAnsi="Arial" w:cs="Arial"/>
          <w:noProof/>
          <w:sz w:val="16"/>
          <w:szCs w:val="16"/>
          <w:lang w:val="es-PE"/>
        </w:rPr>
        <w:t>2005;39(5):738-745. http://ovidsp.ovid.com/ovidweb.cgi?T=JS&amp;PAGE=reference&amp;D=med5&amp;NEWS=N&amp;AN=16254649.</w:t>
      </w:r>
    </w:p>
    <w:p w14:paraId="6B806382"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52. </w:t>
      </w:r>
      <w:r w:rsidRPr="00366461">
        <w:rPr>
          <w:rFonts w:ascii="Arial" w:hAnsi="Arial" w:cs="Arial"/>
          <w:noProof/>
          <w:sz w:val="16"/>
          <w:szCs w:val="16"/>
          <w:lang w:val="es-PE"/>
        </w:rPr>
        <w:tab/>
        <w:t xml:space="preserve">de Oliveira CM, Pereira AC, de Andrade M, Soler JM, Krieger JE. </w:t>
      </w:r>
      <w:r w:rsidRPr="009E0769">
        <w:rPr>
          <w:rFonts w:ascii="Arial" w:hAnsi="Arial" w:cs="Arial"/>
          <w:noProof/>
          <w:sz w:val="16"/>
          <w:szCs w:val="16"/>
        </w:rPr>
        <w:t xml:space="preserve">Heritability of cardiovascular risk factors in a Brazilian population: Baependi Heart Study. </w:t>
      </w:r>
      <w:r w:rsidRPr="009E0769">
        <w:rPr>
          <w:rFonts w:ascii="Arial" w:hAnsi="Arial" w:cs="Arial"/>
          <w:i/>
          <w:iCs/>
          <w:noProof/>
          <w:sz w:val="16"/>
          <w:szCs w:val="16"/>
        </w:rPr>
        <w:t>BMC Med Genet</w:t>
      </w:r>
      <w:r w:rsidRPr="009E0769">
        <w:rPr>
          <w:rFonts w:ascii="Arial" w:hAnsi="Arial" w:cs="Arial"/>
          <w:noProof/>
          <w:sz w:val="16"/>
          <w:szCs w:val="16"/>
        </w:rPr>
        <w:t>. 2008;9. doi:10.1186/1471-2350-9-32</w:t>
      </w:r>
    </w:p>
    <w:p w14:paraId="377666E4"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53. </w:t>
      </w:r>
      <w:r w:rsidRPr="009E0769">
        <w:rPr>
          <w:rFonts w:ascii="Arial" w:hAnsi="Arial" w:cs="Arial"/>
          <w:noProof/>
          <w:sz w:val="16"/>
          <w:szCs w:val="16"/>
        </w:rPr>
        <w:tab/>
        <w:t xml:space="preserve">de Castro MA, Baltar VT, Marchioni DML, Fisberg RM. Sex differences in serum leptin and its relation to markers of cardiometabolic risk in middle-aged adults: Evidence from a population-based study. </w:t>
      </w:r>
      <w:r w:rsidRPr="009E0769">
        <w:rPr>
          <w:rFonts w:ascii="Arial" w:hAnsi="Arial" w:cs="Arial"/>
          <w:i/>
          <w:iCs/>
          <w:noProof/>
          <w:sz w:val="16"/>
          <w:szCs w:val="16"/>
        </w:rPr>
        <w:t>Nutrition</w:t>
      </w:r>
      <w:r w:rsidRPr="009E0769">
        <w:rPr>
          <w:rFonts w:ascii="Arial" w:hAnsi="Arial" w:cs="Arial"/>
          <w:noProof/>
          <w:sz w:val="16"/>
          <w:szCs w:val="16"/>
        </w:rPr>
        <w:t>. 2015;31(3):491-497. doi:10.1016/j.nut.2014.09.007</w:t>
      </w:r>
    </w:p>
    <w:p w14:paraId="54560B9F"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54. </w:t>
      </w:r>
      <w:r w:rsidRPr="009E0769">
        <w:rPr>
          <w:rFonts w:ascii="Arial" w:hAnsi="Arial" w:cs="Arial"/>
          <w:noProof/>
          <w:sz w:val="16"/>
          <w:szCs w:val="16"/>
        </w:rPr>
        <w:tab/>
        <w:t xml:space="preserve">de Souza WN, Norde MM, Oki É, et al. Association between 25-hydroxyvitamin D and inflammatory biomarker levels in a cross-sectional population-based study, São Paulo, Brazil. </w:t>
      </w:r>
      <w:r w:rsidRPr="00366461">
        <w:rPr>
          <w:rFonts w:ascii="Arial" w:hAnsi="Arial" w:cs="Arial"/>
          <w:i/>
          <w:iCs/>
          <w:noProof/>
          <w:sz w:val="16"/>
          <w:szCs w:val="16"/>
          <w:lang w:val="es-PE"/>
        </w:rPr>
        <w:t>Nutr Res</w:t>
      </w:r>
      <w:r w:rsidRPr="00366461">
        <w:rPr>
          <w:rFonts w:ascii="Arial" w:hAnsi="Arial" w:cs="Arial"/>
          <w:noProof/>
          <w:sz w:val="16"/>
          <w:szCs w:val="16"/>
          <w:lang w:val="es-PE"/>
        </w:rPr>
        <w:t>. 2016;36(1):1-8. doi:10.1016/j.nutres.2015.10.006</w:t>
      </w:r>
    </w:p>
    <w:p w14:paraId="0408C7F4"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366461">
        <w:rPr>
          <w:rFonts w:ascii="Arial" w:hAnsi="Arial" w:cs="Arial"/>
          <w:noProof/>
          <w:sz w:val="16"/>
          <w:szCs w:val="16"/>
          <w:lang w:val="es-PE"/>
        </w:rPr>
        <w:t xml:space="preserve">55. </w:t>
      </w:r>
      <w:r w:rsidRPr="00366461">
        <w:rPr>
          <w:rFonts w:ascii="Arial" w:hAnsi="Arial" w:cs="Arial"/>
          <w:noProof/>
          <w:sz w:val="16"/>
          <w:szCs w:val="16"/>
          <w:lang w:val="es-PE"/>
        </w:rPr>
        <w:tab/>
        <w:t>Drumond MG, Da E, Metabólica S. Estabilidade da síndrome metabólica e dos seus componentes em duas comunidades rurais de Minas Gerais. 2011. file:///C:/Users/Usuario/Downloads/base de datos/48. BRA_2009_Drumond.PDF.</w:t>
      </w:r>
    </w:p>
    <w:p w14:paraId="5FEB9269"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56. </w:t>
      </w:r>
      <w:r w:rsidRPr="00366461">
        <w:rPr>
          <w:rFonts w:ascii="Arial" w:hAnsi="Arial" w:cs="Arial"/>
          <w:noProof/>
          <w:sz w:val="16"/>
          <w:szCs w:val="16"/>
          <w:lang w:val="es-PE"/>
        </w:rPr>
        <w:tab/>
        <w:t xml:space="preserve">Felisbino-Mendes MS, Jansen AK, Gomes CS, Velásquez-Meléndez G. Avaliação dos fatores de risco cardiovasculares em uma população rural Brasileira. </w:t>
      </w:r>
      <w:r w:rsidRPr="009E0769">
        <w:rPr>
          <w:rFonts w:ascii="Arial" w:hAnsi="Arial" w:cs="Arial"/>
          <w:i/>
          <w:iCs/>
          <w:noProof/>
          <w:sz w:val="16"/>
          <w:szCs w:val="16"/>
        </w:rPr>
        <w:t>Cad Saude Publica</w:t>
      </w:r>
      <w:r w:rsidRPr="009E0769">
        <w:rPr>
          <w:rFonts w:ascii="Arial" w:hAnsi="Arial" w:cs="Arial"/>
          <w:noProof/>
          <w:sz w:val="16"/>
          <w:szCs w:val="16"/>
        </w:rPr>
        <w:t>. 2014;30(6):1183-1194. doi:10.1590/0102-311X00103213</w:t>
      </w:r>
    </w:p>
    <w:p w14:paraId="6B5CBDE1"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57. </w:t>
      </w:r>
      <w:r w:rsidRPr="009E0769">
        <w:rPr>
          <w:rFonts w:ascii="Arial" w:hAnsi="Arial" w:cs="Arial"/>
          <w:noProof/>
          <w:sz w:val="16"/>
          <w:szCs w:val="16"/>
        </w:rPr>
        <w:tab/>
        <w:t xml:space="preserve">Castro MA, Baltar VT, Marchioni DM, Fisberg RM. Examining associations between dietary patterns and metabolic CVD risk factors: A novel use of structural equation modelling. </w:t>
      </w:r>
      <w:r w:rsidRPr="009E0769">
        <w:rPr>
          <w:rFonts w:ascii="Arial" w:hAnsi="Arial" w:cs="Arial"/>
          <w:i/>
          <w:iCs/>
          <w:noProof/>
          <w:sz w:val="16"/>
          <w:szCs w:val="16"/>
        </w:rPr>
        <w:t>Br J Nutr</w:t>
      </w:r>
      <w:r w:rsidRPr="009E0769">
        <w:rPr>
          <w:rFonts w:ascii="Arial" w:hAnsi="Arial" w:cs="Arial"/>
          <w:noProof/>
          <w:sz w:val="16"/>
          <w:szCs w:val="16"/>
        </w:rPr>
        <w:t>. 2016;115(9):1586-1597. doi:10.1017/S0007114516000556</w:t>
      </w:r>
    </w:p>
    <w:p w14:paraId="5FED449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lastRenderedPageBreak/>
        <w:t xml:space="preserve">58. </w:t>
      </w:r>
      <w:r w:rsidRPr="009E0769">
        <w:rPr>
          <w:rFonts w:ascii="Arial" w:hAnsi="Arial" w:cs="Arial"/>
          <w:noProof/>
          <w:sz w:val="16"/>
          <w:szCs w:val="16"/>
        </w:rPr>
        <w:tab/>
        <w:t xml:space="preserve">Cocate PG, de Oliveira A, Hermsdorff HHM, et al. Benefits and relationship of steps walked per day to cardiometabolic risk factor in Brazilian middle-aged men. </w:t>
      </w:r>
      <w:r w:rsidRPr="009E0769">
        <w:rPr>
          <w:rFonts w:ascii="Arial" w:hAnsi="Arial" w:cs="Arial"/>
          <w:i/>
          <w:iCs/>
          <w:noProof/>
          <w:sz w:val="16"/>
          <w:szCs w:val="16"/>
        </w:rPr>
        <w:t>J Sci Med Sport</w:t>
      </w:r>
      <w:r w:rsidRPr="009E0769">
        <w:rPr>
          <w:rFonts w:ascii="Arial" w:hAnsi="Arial" w:cs="Arial"/>
          <w:noProof/>
          <w:sz w:val="16"/>
          <w:szCs w:val="16"/>
        </w:rPr>
        <w:t>. 2014;17(3):283-287. doi:10.1016/j.jsams.2013.04.017</w:t>
      </w:r>
    </w:p>
    <w:p w14:paraId="2C6E402F"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59. </w:t>
      </w:r>
      <w:r w:rsidRPr="009E0769">
        <w:rPr>
          <w:rFonts w:ascii="Arial" w:hAnsi="Arial" w:cs="Arial"/>
          <w:noProof/>
          <w:sz w:val="16"/>
          <w:szCs w:val="16"/>
        </w:rPr>
        <w:tab/>
        <w:t xml:space="preserve">Fagundes LC, Fernandes MH, Brito TA, Coqueiro R da S, Carneiro JAO. </w:t>
      </w:r>
      <w:r w:rsidRPr="00366461">
        <w:rPr>
          <w:rFonts w:ascii="Arial" w:hAnsi="Arial" w:cs="Arial"/>
          <w:noProof/>
          <w:sz w:val="16"/>
          <w:szCs w:val="16"/>
          <w:lang w:val="es-PE"/>
        </w:rPr>
        <w:t xml:space="preserve">Prevalência e fatores associados à cintura hipertrigliceridêmica em idosos: Um estudo de base populacional. </w:t>
      </w:r>
      <w:r w:rsidRPr="00366461">
        <w:rPr>
          <w:rFonts w:ascii="Arial" w:hAnsi="Arial" w:cs="Arial"/>
          <w:i/>
          <w:iCs/>
          <w:noProof/>
          <w:sz w:val="16"/>
          <w:szCs w:val="16"/>
          <w:lang w:val="es-PE"/>
        </w:rPr>
        <w:t>Cienc e Saude Coletiva</w:t>
      </w:r>
      <w:r w:rsidRPr="00366461">
        <w:rPr>
          <w:rFonts w:ascii="Arial" w:hAnsi="Arial" w:cs="Arial"/>
          <w:noProof/>
          <w:sz w:val="16"/>
          <w:szCs w:val="16"/>
          <w:lang w:val="es-PE"/>
        </w:rPr>
        <w:t>. 2018;23(2):607-616. doi:10.1590/1413-81232018232.02862016</w:t>
      </w:r>
    </w:p>
    <w:p w14:paraId="1CA11C4D" w14:textId="77777777" w:rsidR="00665066" w:rsidRPr="0054001C"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366461">
        <w:rPr>
          <w:rFonts w:ascii="Arial" w:hAnsi="Arial" w:cs="Arial"/>
          <w:noProof/>
          <w:sz w:val="16"/>
          <w:szCs w:val="16"/>
          <w:lang w:val="es-PE"/>
        </w:rPr>
        <w:t xml:space="preserve">60. </w:t>
      </w:r>
      <w:r w:rsidRPr="00366461">
        <w:rPr>
          <w:rFonts w:ascii="Arial" w:hAnsi="Arial" w:cs="Arial"/>
          <w:noProof/>
          <w:sz w:val="16"/>
          <w:szCs w:val="16"/>
          <w:lang w:val="es-PE"/>
        </w:rPr>
        <w:tab/>
        <w:t xml:space="preserve">Barbosa JB, dos Santos AM, Barbosa MM, et al. Síndrome metabólica, resistência insulínica e outros fatores de risco cardiovascular em universitários. </w:t>
      </w:r>
      <w:r w:rsidRPr="0054001C">
        <w:rPr>
          <w:rFonts w:ascii="Arial" w:hAnsi="Arial" w:cs="Arial"/>
          <w:i/>
          <w:iCs/>
          <w:noProof/>
          <w:sz w:val="16"/>
          <w:szCs w:val="16"/>
          <w:lang w:val="es-PE"/>
        </w:rPr>
        <w:t>Cienc e Saude Coletiva</w:t>
      </w:r>
      <w:r w:rsidRPr="0054001C">
        <w:rPr>
          <w:rFonts w:ascii="Arial" w:hAnsi="Arial" w:cs="Arial"/>
          <w:noProof/>
          <w:sz w:val="16"/>
          <w:szCs w:val="16"/>
          <w:lang w:val="es-PE"/>
        </w:rPr>
        <w:t>. 2016;21(4):1123-1136. doi:10.1590/1413-81232015214.10472015</w:t>
      </w:r>
    </w:p>
    <w:p w14:paraId="6BC7658D"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54001C">
        <w:rPr>
          <w:rFonts w:ascii="Arial" w:hAnsi="Arial" w:cs="Arial"/>
          <w:noProof/>
          <w:sz w:val="16"/>
          <w:szCs w:val="16"/>
          <w:lang w:val="es-PE"/>
        </w:rPr>
        <w:t xml:space="preserve">61. </w:t>
      </w:r>
      <w:r w:rsidRPr="0054001C">
        <w:rPr>
          <w:rFonts w:ascii="Arial" w:hAnsi="Arial" w:cs="Arial"/>
          <w:noProof/>
          <w:sz w:val="16"/>
          <w:szCs w:val="16"/>
          <w:lang w:val="es-PE"/>
        </w:rPr>
        <w:tab/>
        <w:t xml:space="preserve">Bernardi JR, Pinheiro TV, Mueller NT, et al. </w:t>
      </w:r>
      <w:r w:rsidRPr="009E0769">
        <w:rPr>
          <w:rFonts w:ascii="Arial" w:hAnsi="Arial" w:cs="Arial"/>
          <w:noProof/>
          <w:sz w:val="16"/>
          <w:szCs w:val="16"/>
        </w:rPr>
        <w:t xml:space="preserve">Cesarean delivery and metabolic risk factors in young adults: A Brazilian birth cohort study. </w:t>
      </w:r>
      <w:r w:rsidRPr="009E0769">
        <w:rPr>
          <w:rFonts w:ascii="Arial" w:hAnsi="Arial" w:cs="Arial"/>
          <w:i/>
          <w:iCs/>
          <w:noProof/>
          <w:sz w:val="16"/>
          <w:szCs w:val="16"/>
        </w:rPr>
        <w:t>Am J Clin Nutr</w:t>
      </w:r>
      <w:r w:rsidRPr="009E0769">
        <w:rPr>
          <w:rFonts w:ascii="Arial" w:hAnsi="Arial" w:cs="Arial"/>
          <w:noProof/>
          <w:sz w:val="16"/>
          <w:szCs w:val="16"/>
        </w:rPr>
        <w:t>. 2015;102(2):295-301. doi:10.3945/ajcn.114.105205</w:t>
      </w:r>
    </w:p>
    <w:p w14:paraId="5B8FB92C"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54001C">
        <w:rPr>
          <w:rFonts w:ascii="Arial" w:hAnsi="Arial" w:cs="Arial"/>
          <w:noProof/>
          <w:sz w:val="16"/>
          <w:szCs w:val="16"/>
        </w:rPr>
        <w:t xml:space="preserve">62. </w:t>
      </w:r>
      <w:r w:rsidRPr="0054001C">
        <w:rPr>
          <w:rFonts w:ascii="Arial" w:hAnsi="Arial" w:cs="Arial"/>
          <w:noProof/>
          <w:sz w:val="16"/>
          <w:szCs w:val="16"/>
        </w:rPr>
        <w:tab/>
        <w:t xml:space="preserve">Cândido APC, Ferreira S, Lima AA, et al. </w:t>
      </w:r>
      <w:r w:rsidRPr="009E0769">
        <w:rPr>
          <w:rFonts w:ascii="Arial" w:hAnsi="Arial" w:cs="Arial"/>
          <w:noProof/>
          <w:sz w:val="16"/>
          <w:szCs w:val="16"/>
        </w:rPr>
        <w:t xml:space="preserve">Lipoprotein(a) as a risk factor associated with ischemic heart disease: Ouro Preto Study. </w:t>
      </w:r>
      <w:r w:rsidRPr="00366461">
        <w:rPr>
          <w:rFonts w:ascii="Arial" w:hAnsi="Arial" w:cs="Arial"/>
          <w:i/>
          <w:iCs/>
          <w:noProof/>
          <w:sz w:val="16"/>
          <w:szCs w:val="16"/>
          <w:lang w:val="es-PE"/>
        </w:rPr>
        <w:t>Atherosclerosis</w:t>
      </w:r>
      <w:r w:rsidRPr="00366461">
        <w:rPr>
          <w:rFonts w:ascii="Arial" w:hAnsi="Arial" w:cs="Arial"/>
          <w:noProof/>
          <w:sz w:val="16"/>
          <w:szCs w:val="16"/>
          <w:lang w:val="es-PE"/>
        </w:rPr>
        <w:t>. 2007;191(2):454-459. doi:10.1016/j.atherosclerosis.2006.04.031</w:t>
      </w:r>
    </w:p>
    <w:p w14:paraId="33BFBD01"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366461">
        <w:rPr>
          <w:rFonts w:ascii="Arial" w:hAnsi="Arial" w:cs="Arial"/>
          <w:noProof/>
          <w:sz w:val="16"/>
          <w:szCs w:val="16"/>
          <w:lang w:val="es-PE"/>
        </w:rPr>
        <w:t xml:space="preserve">63. </w:t>
      </w:r>
      <w:r w:rsidRPr="00366461">
        <w:rPr>
          <w:rFonts w:ascii="Arial" w:hAnsi="Arial" w:cs="Arial"/>
          <w:noProof/>
          <w:sz w:val="16"/>
          <w:szCs w:val="16"/>
          <w:lang w:val="es-PE"/>
        </w:rPr>
        <w:tab/>
        <w:t xml:space="preserve">Alvim RDO, Santos PCJL, Nascimento RM, et al. </w:t>
      </w:r>
      <w:r w:rsidRPr="009E0769">
        <w:rPr>
          <w:rFonts w:ascii="Arial" w:hAnsi="Arial" w:cs="Arial"/>
          <w:noProof/>
          <w:sz w:val="16"/>
          <w:szCs w:val="16"/>
        </w:rPr>
        <w:t xml:space="preserve">BDKRB2 +9/-9 polymorphism is associated with higher risk for diabetes mellitus in the Brazilian general population. </w:t>
      </w:r>
      <w:r w:rsidRPr="00366461">
        <w:rPr>
          <w:rFonts w:ascii="Arial" w:hAnsi="Arial" w:cs="Arial"/>
          <w:i/>
          <w:iCs/>
          <w:noProof/>
          <w:sz w:val="16"/>
          <w:szCs w:val="16"/>
          <w:lang w:val="es-PE"/>
        </w:rPr>
        <w:t>Exp Diabetes Res</w:t>
      </w:r>
      <w:r w:rsidRPr="00366461">
        <w:rPr>
          <w:rFonts w:ascii="Arial" w:hAnsi="Arial" w:cs="Arial"/>
          <w:noProof/>
          <w:sz w:val="16"/>
          <w:szCs w:val="16"/>
          <w:lang w:val="es-PE"/>
        </w:rPr>
        <w:t>. 2012;2012. doi:10.1155/2012/480251</w:t>
      </w:r>
    </w:p>
    <w:p w14:paraId="5DC2980B"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64. </w:t>
      </w:r>
      <w:r w:rsidRPr="00366461">
        <w:rPr>
          <w:rFonts w:ascii="Arial" w:hAnsi="Arial" w:cs="Arial"/>
          <w:noProof/>
          <w:sz w:val="16"/>
          <w:szCs w:val="16"/>
          <w:lang w:val="es-PE"/>
        </w:rPr>
        <w:tab/>
        <w:t xml:space="preserve">De Oliveira Alvim R, Santos PCJL, Musso MM, et al. </w:t>
      </w:r>
      <w:r w:rsidRPr="009E0769">
        <w:rPr>
          <w:rFonts w:ascii="Arial" w:hAnsi="Arial" w:cs="Arial"/>
          <w:noProof/>
          <w:sz w:val="16"/>
          <w:szCs w:val="16"/>
        </w:rPr>
        <w:t xml:space="preserve">Impact of diabetes mellitus on arterial stiffness in a representative sample of an urban Brazilian population. </w:t>
      </w:r>
      <w:r w:rsidRPr="009E0769">
        <w:rPr>
          <w:rFonts w:ascii="Arial" w:hAnsi="Arial" w:cs="Arial"/>
          <w:i/>
          <w:iCs/>
          <w:noProof/>
          <w:sz w:val="16"/>
          <w:szCs w:val="16"/>
        </w:rPr>
        <w:t>Diabetol Metab Syndr</w:t>
      </w:r>
      <w:r w:rsidRPr="009E0769">
        <w:rPr>
          <w:rFonts w:ascii="Arial" w:hAnsi="Arial" w:cs="Arial"/>
          <w:noProof/>
          <w:sz w:val="16"/>
          <w:szCs w:val="16"/>
        </w:rPr>
        <w:t>. 2013;5(1):1-8. doi:10.1186/1758-5996-5-45</w:t>
      </w:r>
    </w:p>
    <w:p w14:paraId="0D4FBF2E"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65. </w:t>
      </w:r>
      <w:r w:rsidRPr="009E0769">
        <w:rPr>
          <w:rFonts w:ascii="Arial" w:hAnsi="Arial" w:cs="Arial"/>
          <w:noProof/>
          <w:sz w:val="16"/>
          <w:szCs w:val="16"/>
        </w:rPr>
        <w:tab/>
        <w:t xml:space="preserve">Alvim R de O, Mourao-Junior CA, Magalhães GL, et al. Non-hdl cholesterol is a good predictor of the risk of increased arterial stiffness in postmenopausal women in an urban brazilian population. </w:t>
      </w:r>
      <w:r w:rsidRPr="00366461">
        <w:rPr>
          <w:rFonts w:ascii="Arial" w:hAnsi="Arial" w:cs="Arial"/>
          <w:i/>
          <w:iCs/>
          <w:noProof/>
          <w:sz w:val="16"/>
          <w:szCs w:val="16"/>
          <w:lang w:val="es-PE"/>
        </w:rPr>
        <w:t>Clinics</w:t>
      </w:r>
      <w:r w:rsidRPr="00366461">
        <w:rPr>
          <w:rFonts w:ascii="Arial" w:hAnsi="Arial" w:cs="Arial"/>
          <w:noProof/>
          <w:sz w:val="16"/>
          <w:szCs w:val="16"/>
          <w:lang w:val="es-PE"/>
        </w:rPr>
        <w:t>. 2017;72(2):106-110. doi:10.6061/clinics/2017(02)07</w:t>
      </w:r>
    </w:p>
    <w:p w14:paraId="476611BD"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366461">
        <w:rPr>
          <w:rFonts w:ascii="Arial" w:hAnsi="Arial" w:cs="Arial"/>
          <w:noProof/>
          <w:sz w:val="16"/>
          <w:szCs w:val="16"/>
          <w:lang w:val="es-PE"/>
        </w:rPr>
        <w:t xml:space="preserve">66. </w:t>
      </w:r>
      <w:r w:rsidRPr="00366461">
        <w:rPr>
          <w:rFonts w:ascii="Arial" w:hAnsi="Arial" w:cs="Arial"/>
          <w:noProof/>
          <w:sz w:val="16"/>
          <w:szCs w:val="16"/>
          <w:lang w:val="es-PE"/>
        </w:rPr>
        <w:tab/>
        <w:t xml:space="preserve">Dressler WW, Balieiro MC, Ribeiro RP, Dos Santos JE. </w:t>
      </w:r>
      <w:r w:rsidRPr="009E0769">
        <w:rPr>
          <w:rFonts w:ascii="Arial" w:hAnsi="Arial" w:cs="Arial"/>
          <w:noProof/>
          <w:sz w:val="16"/>
          <w:szCs w:val="16"/>
        </w:rPr>
        <w:t xml:space="preserve">Depressive symptoms and C-reactive protein in a Brazilian urban community. </w:t>
      </w:r>
      <w:r w:rsidRPr="00366461">
        <w:rPr>
          <w:rFonts w:ascii="Arial" w:hAnsi="Arial" w:cs="Arial"/>
          <w:i/>
          <w:iCs/>
          <w:noProof/>
          <w:sz w:val="16"/>
          <w:szCs w:val="16"/>
          <w:lang w:val="es-PE"/>
        </w:rPr>
        <w:t>Brazilian J Med Biol Res</w:t>
      </w:r>
      <w:r w:rsidRPr="00366461">
        <w:rPr>
          <w:rFonts w:ascii="Arial" w:hAnsi="Arial" w:cs="Arial"/>
          <w:noProof/>
          <w:sz w:val="16"/>
          <w:szCs w:val="16"/>
          <w:lang w:val="es-PE"/>
        </w:rPr>
        <w:t>. 2006;39(8):1013-1019. doi:10.1590/S0100-879X2006000800003</w:t>
      </w:r>
    </w:p>
    <w:p w14:paraId="31C36B2F"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67. </w:t>
      </w:r>
      <w:r w:rsidRPr="00366461">
        <w:rPr>
          <w:rFonts w:ascii="Arial" w:hAnsi="Arial" w:cs="Arial"/>
          <w:noProof/>
          <w:sz w:val="16"/>
          <w:szCs w:val="16"/>
          <w:lang w:val="es-PE"/>
        </w:rPr>
        <w:tab/>
        <w:t xml:space="preserve">Beleigoli AM, Diniz MDFH, Boersma E, Silva JL, Lima-Costa MF, Ribeiro AL. </w:t>
      </w:r>
      <w:r w:rsidRPr="009E0769">
        <w:rPr>
          <w:rFonts w:ascii="Arial" w:hAnsi="Arial" w:cs="Arial"/>
          <w:noProof/>
          <w:sz w:val="16"/>
          <w:szCs w:val="16"/>
        </w:rPr>
        <w:t xml:space="preserve">The effects of weight and waist change on the risk of long-term mortality in older adults- The Bambuí (Brazil) Cohort Study of Aging. </w:t>
      </w:r>
      <w:r w:rsidRPr="009E0769">
        <w:rPr>
          <w:rFonts w:ascii="Arial" w:hAnsi="Arial" w:cs="Arial"/>
          <w:i/>
          <w:iCs/>
          <w:noProof/>
          <w:sz w:val="16"/>
          <w:szCs w:val="16"/>
        </w:rPr>
        <w:t>J Nutr Heal Aging</w:t>
      </w:r>
      <w:r w:rsidRPr="009E0769">
        <w:rPr>
          <w:rFonts w:ascii="Arial" w:hAnsi="Arial" w:cs="Arial"/>
          <w:noProof/>
          <w:sz w:val="16"/>
          <w:szCs w:val="16"/>
        </w:rPr>
        <w:t>. 2017;21(8):861-866. doi:10.1007/s12603-016-0858-z</w:t>
      </w:r>
    </w:p>
    <w:p w14:paraId="30F3B6A7" w14:textId="77777777" w:rsidR="00665066" w:rsidRPr="0054001C"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68. </w:t>
      </w:r>
      <w:r w:rsidRPr="009E0769">
        <w:rPr>
          <w:rFonts w:ascii="Arial" w:hAnsi="Arial" w:cs="Arial"/>
          <w:noProof/>
          <w:sz w:val="16"/>
          <w:szCs w:val="16"/>
        </w:rPr>
        <w:tab/>
        <w:t xml:space="preserve">Bustos P, da Silva AAM, Amigo H, Bettiol H, Barbieri MA. Metabolic syndrome in young adults from two socioeconomic Latin American settings. </w:t>
      </w:r>
      <w:r w:rsidRPr="0054001C">
        <w:rPr>
          <w:rFonts w:ascii="Arial" w:hAnsi="Arial" w:cs="Arial"/>
          <w:i/>
          <w:iCs/>
          <w:noProof/>
          <w:sz w:val="16"/>
          <w:szCs w:val="16"/>
          <w:lang w:val="es-PE"/>
        </w:rPr>
        <w:t>Nutr Metab Cardiovasc Dis</w:t>
      </w:r>
      <w:r w:rsidRPr="0054001C">
        <w:rPr>
          <w:rFonts w:ascii="Arial" w:hAnsi="Arial" w:cs="Arial"/>
          <w:noProof/>
          <w:sz w:val="16"/>
          <w:szCs w:val="16"/>
          <w:lang w:val="es-PE"/>
        </w:rPr>
        <w:t>. 2007;17(8):581-589. doi:10.1016/j.numecd.2006.06.001</w:t>
      </w:r>
    </w:p>
    <w:p w14:paraId="10B2F093"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54001C">
        <w:rPr>
          <w:rFonts w:ascii="Arial" w:hAnsi="Arial" w:cs="Arial"/>
          <w:noProof/>
          <w:sz w:val="16"/>
          <w:szCs w:val="16"/>
          <w:lang w:val="es-PE"/>
        </w:rPr>
        <w:t xml:space="preserve">69. </w:t>
      </w:r>
      <w:r w:rsidRPr="0054001C">
        <w:rPr>
          <w:rFonts w:ascii="Arial" w:hAnsi="Arial" w:cs="Arial"/>
          <w:noProof/>
          <w:sz w:val="16"/>
          <w:szCs w:val="16"/>
          <w:lang w:val="es-PE"/>
        </w:rPr>
        <w:tab/>
        <w:t xml:space="preserve">Costa LC. </w:t>
      </w:r>
      <w:r w:rsidRPr="00665066">
        <w:rPr>
          <w:rFonts w:ascii="Arial" w:hAnsi="Arial" w:cs="Arial"/>
          <w:noProof/>
          <w:sz w:val="16"/>
          <w:szCs w:val="16"/>
          <w:lang w:val="es-PE"/>
        </w:rPr>
        <w:t xml:space="preserve">Prevalência de fatores de risco para doenças não transmissíveis na população adulta de 18 capitais brasileiras: um inquérito domiciliar. </w:t>
      </w:r>
      <w:r w:rsidRPr="00366461">
        <w:rPr>
          <w:rFonts w:ascii="Arial" w:hAnsi="Arial" w:cs="Arial"/>
          <w:noProof/>
          <w:sz w:val="16"/>
          <w:szCs w:val="16"/>
          <w:lang w:val="es-PE"/>
        </w:rPr>
        <w:t>2010:83-83.</w:t>
      </w:r>
    </w:p>
    <w:p w14:paraId="3BC3EAF4"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366461">
        <w:rPr>
          <w:rFonts w:ascii="Arial" w:hAnsi="Arial" w:cs="Arial"/>
          <w:noProof/>
          <w:sz w:val="16"/>
          <w:szCs w:val="16"/>
          <w:lang w:val="es-PE"/>
        </w:rPr>
        <w:t xml:space="preserve">70. </w:t>
      </w:r>
      <w:r w:rsidRPr="00366461">
        <w:rPr>
          <w:rFonts w:ascii="Arial" w:hAnsi="Arial" w:cs="Arial"/>
          <w:noProof/>
          <w:sz w:val="16"/>
          <w:szCs w:val="16"/>
          <w:lang w:val="es-PE"/>
        </w:rPr>
        <w:tab/>
        <w:t xml:space="preserve">Carnelosso ML, Barbosa MA, Porto CC, e Silva SA, de Carvalho MM, Oliveira ALI. Prevalência de fatores de risco para doenças cardiovasculares na região leste de Goiânia (GO). </w:t>
      </w:r>
      <w:r w:rsidRPr="00366461">
        <w:rPr>
          <w:rFonts w:ascii="Arial" w:hAnsi="Arial" w:cs="Arial"/>
          <w:i/>
          <w:iCs/>
          <w:noProof/>
          <w:sz w:val="16"/>
          <w:szCs w:val="16"/>
          <w:lang w:val="es-PE"/>
        </w:rPr>
        <w:t>Cienc e Saude Coletiva</w:t>
      </w:r>
      <w:r w:rsidRPr="00366461">
        <w:rPr>
          <w:rFonts w:ascii="Arial" w:hAnsi="Arial" w:cs="Arial"/>
          <w:noProof/>
          <w:sz w:val="16"/>
          <w:szCs w:val="16"/>
          <w:lang w:val="es-PE"/>
        </w:rPr>
        <w:t>. 2010;15(SUPPL. 1):1073-1080. doi:10.1590/s1413-81232010000700014</w:t>
      </w:r>
    </w:p>
    <w:p w14:paraId="66196B47" w14:textId="77777777" w:rsidR="00665066" w:rsidRPr="0054001C"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71. </w:t>
      </w:r>
      <w:r w:rsidRPr="00366461">
        <w:rPr>
          <w:rFonts w:ascii="Arial" w:hAnsi="Arial" w:cs="Arial"/>
          <w:noProof/>
          <w:sz w:val="16"/>
          <w:szCs w:val="16"/>
          <w:lang w:val="es-PE"/>
        </w:rPr>
        <w:tab/>
        <w:t xml:space="preserve">Cabral da Rocha AL, Pereira PF, Pessoa MC, et al. Fenotipo cintura hipertrigliceridémica y alteraciones cardiometabólicas en adultos Brasileños. </w:t>
      </w:r>
      <w:r w:rsidRPr="0054001C">
        <w:rPr>
          <w:rFonts w:ascii="Arial" w:hAnsi="Arial" w:cs="Arial"/>
          <w:i/>
          <w:iCs/>
          <w:noProof/>
          <w:sz w:val="16"/>
          <w:szCs w:val="16"/>
        </w:rPr>
        <w:t>Nutr Hosp</w:t>
      </w:r>
      <w:r w:rsidRPr="0054001C">
        <w:rPr>
          <w:rFonts w:ascii="Arial" w:hAnsi="Arial" w:cs="Arial"/>
          <w:noProof/>
          <w:sz w:val="16"/>
          <w:szCs w:val="16"/>
        </w:rPr>
        <w:t>. 2015;32(3):1099-1106. doi:10.3305/nh.2015.32.3.9305</w:t>
      </w:r>
    </w:p>
    <w:p w14:paraId="78357E6C"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54001C">
        <w:rPr>
          <w:rFonts w:ascii="Arial" w:hAnsi="Arial" w:cs="Arial"/>
          <w:noProof/>
          <w:sz w:val="16"/>
          <w:szCs w:val="16"/>
        </w:rPr>
        <w:t xml:space="preserve">72. </w:t>
      </w:r>
      <w:r w:rsidRPr="0054001C">
        <w:rPr>
          <w:rFonts w:ascii="Arial" w:hAnsi="Arial" w:cs="Arial"/>
          <w:noProof/>
          <w:sz w:val="16"/>
          <w:szCs w:val="16"/>
        </w:rPr>
        <w:tab/>
      </w:r>
      <w:r w:rsidRPr="009E0769">
        <w:rPr>
          <w:rFonts w:ascii="Arial" w:hAnsi="Arial" w:cs="Arial"/>
          <w:noProof/>
          <w:sz w:val="16"/>
          <w:szCs w:val="16"/>
        </w:rPr>
        <w:t xml:space="preserve">Matos AC, Ladeia AM. Assessment of cardiovascular risk factors in a rural community in the Brazilian state of Bahia. </w:t>
      </w:r>
      <w:r w:rsidRPr="00366461">
        <w:rPr>
          <w:rFonts w:ascii="Arial" w:hAnsi="Arial" w:cs="Arial"/>
          <w:i/>
          <w:iCs/>
          <w:noProof/>
          <w:sz w:val="16"/>
          <w:szCs w:val="16"/>
          <w:lang w:val="es-PE"/>
        </w:rPr>
        <w:t>Arq Bras Cardiol</w:t>
      </w:r>
      <w:r w:rsidRPr="00366461">
        <w:rPr>
          <w:rFonts w:ascii="Arial" w:hAnsi="Arial" w:cs="Arial"/>
          <w:noProof/>
          <w:sz w:val="16"/>
          <w:szCs w:val="16"/>
          <w:lang w:val="es-PE"/>
        </w:rPr>
        <w:t>. 2003;81(3):291-302. http://ovidsp.ovid.com/ovidweb.cgi?T=JS&amp;PAGE=reference&amp;D=med4&amp;NEWS=N&amp;AN=14569373 http://www.scielo.br/pdf/abc/v81n3/17334.pdf.</w:t>
      </w:r>
    </w:p>
    <w:p w14:paraId="373FEA33"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73. </w:t>
      </w:r>
      <w:r w:rsidRPr="00665066">
        <w:rPr>
          <w:rFonts w:ascii="Arial" w:hAnsi="Arial" w:cs="Arial"/>
          <w:noProof/>
          <w:sz w:val="16"/>
          <w:szCs w:val="16"/>
          <w:lang w:val="es-PE"/>
        </w:rPr>
        <w:tab/>
        <w:t xml:space="preserve">Jadue Hund L, Vega Morales J, Escobar S MC, et al. Factores de riesgo para las enfermedades no transmisibles: metodología y resultados globales de la encuesta de base del programa CARMEN: conjunto de acciones para la reducción multifactorial de las enfermedades no transmisibles. </w:t>
      </w:r>
      <w:r w:rsidRPr="009E0769">
        <w:rPr>
          <w:rFonts w:ascii="Arial" w:hAnsi="Arial" w:cs="Arial"/>
          <w:i/>
          <w:iCs/>
          <w:noProof/>
          <w:sz w:val="16"/>
          <w:szCs w:val="16"/>
        </w:rPr>
        <w:t>Rev Med Chil</w:t>
      </w:r>
      <w:r w:rsidRPr="009E0769">
        <w:rPr>
          <w:rFonts w:ascii="Arial" w:hAnsi="Arial" w:cs="Arial"/>
          <w:noProof/>
          <w:sz w:val="16"/>
          <w:szCs w:val="16"/>
        </w:rPr>
        <w:t>. 1999;127(8):1004-1013. http://www.scielo.cl/scielo.php?script=sci_arttext&amp;pid=S0034-98871999000800017&amp;lng=es&amp;nrm=iso&amp;tlng=es.</w:t>
      </w:r>
    </w:p>
    <w:p w14:paraId="2A086ED6"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lastRenderedPageBreak/>
        <w:t xml:space="preserve">74. </w:t>
      </w:r>
      <w:r w:rsidRPr="009E0769">
        <w:rPr>
          <w:rFonts w:ascii="Arial" w:hAnsi="Arial" w:cs="Arial"/>
          <w:noProof/>
          <w:sz w:val="16"/>
          <w:szCs w:val="16"/>
        </w:rPr>
        <w:tab/>
        <w:t xml:space="preserve">Garcia-Hermoso A, Hackney AC, Ramirez-Velez R. Ideal cardiovascular health predicts lower risk of abnormal liver enzymes levels in the Chilean National Health Survey (2009-2010). </w:t>
      </w:r>
      <w:r w:rsidRPr="00665066">
        <w:rPr>
          <w:rFonts w:ascii="Arial" w:hAnsi="Arial" w:cs="Arial"/>
          <w:i/>
          <w:iCs/>
          <w:noProof/>
          <w:sz w:val="16"/>
          <w:szCs w:val="16"/>
          <w:lang w:val="es-PE"/>
        </w:rPr>
        <w:t>PLoS One</w:t>
      </w:r>
      <w:r w:rsidRPr="00665066">
        <w:rPr>
          <w:rFonts w:ascii="Arial" w:hAnsi="Arial" w:cs="Arial"/>
          <w:noProof/>
          <w:sz w:val="16"/>
          <w:szCs w:val="16"/>
          <w:lang w:val="es-PE"/>
        </w:rPr>
        <w:t>. 2017;12(10):e0185908. http://ovidsp.ovid.com/ovidweb.cgi?T=JS&amp;PAGE=reference&amp;D=medc&amp;NEWS=N&amp;AN=29049384 https://www.ncbi.nlm.nih.gov/pmc/articles/PMC5648121/pdf/pone.0185908.pdf.</w:t>
      </w:r>
    </w:p>
    <w:p w14:paraId="2090C616"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75. </w:t>
      </w:r>
      <w:r w:rsidRPr="00665066">
        <w:rPr>
          <w:rFonts w:ascii="Arial" w:hAnsi="Arial" w:cs="Arial"/>
          <w:noProof/>
          <w:sz w:val="16"/>
          <w:szCs w:val="16"/>
          <w:lang w:val="es-PE"/>
        </w:rPr>
        <w:tab/>
        <w:t xml:space="preserve">Palomo G I, Icaza N G, Mujica E V, et al. Prevalencia de factores de riesgo cardiovascular clásicos en población adulta de Talca, Chile, 2005. </w:t>
      </w:r>
      <w:r w:rsidRPr="00665066">
        <w:rPr>
          <w:rFonts w:ascii="Arial" w:hAnsi="Arial" w:cs="Arial"/>
          <w:i/>
          <w:iCs/>
          <w:noProof/>
          <w:sz w:val="16"/>
          <w:szCs w:val="16"/>
          <w:lang w:val="es-PE"/>
        </w:rPr>
        <w:t>Rev Med Chil</w:t>
      </w:r>
      <w:r w:rsidRPr="00665066">
        <w:rPr>
          <w:rFonts w:ascii="Arial" w:hAnsi="Arial" w:cs="Arial"/>
          <w:noProof/>
          <w:sz w:val="16"/>
          <w:szCs w:val="16"/>
          <w:lang w:val="es-PE"/>
        </w:rPr>
        <w:t>. 2007;135(7):904-912. internal-pdf://160.24.215.19/Palomo G-2007-Prevalencia de factores de riesg.pdf.</w:t>
      </w:r>
    </w:p>
    <w:p w14:paraId="6D0BF243"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76. </w:t>
      </w:r>
      <w:r w:rsidRPr="00665066">
        <w:rPr>
          <w:rFonts w:ascii="Arial" w:hAnsi="Arial" w:cs="Arial"/>
          <w:noProof/>
          <w:sz w:val="16"/>
          <w:szCs w:val="16"/>
          <w:lang w:val="es-PE"/>
        </w:rPr>
        <w:tab/>
        <w:t xml:space="preserve">Tejos R, Padilla O, Pizarro M, et al. </w:t>
      </w:r>
      <w:r w:rsidRPr="009E0769">
        <w:rPr>
          <w:rFonts w:ascii="Arial" w:hAnsi="Arial" w:cs="Arial"/>
          <w:noProof/>
          <w:sz w:val="16"/>
          <w:szCs w:val="16"/>
        </w:rPr>
        <w:t xml:space="preserve">[Serum levels of alanine aminotransferase in Chilean population: analysis of results of the national health survey 2009-2010]. </w:t>
      </w:r>
      <w:r w:rsidRPr="00665066">
        <w:rPr>
          <w:rFonts w:ascii="Arial" w:hAnsi="Arial" w:cs="Arial"/>
          <w:i/>
          <w:iCs/>
          <w:noProof/>
          <w:sz w:val="16"/>
          <w:szCs w:val="16"/>
          <w:lang w:val="es-PE"/>
        </w:rPr>
        <w:t>Niveles sericos alanino-aminotransferasa en Poblac Chil Anal los Result la encuesta Nac salud 2009-2010</w:t>
      </w:r>
      <w:r w:rsidRPr="00665066">
        <w:rPr>
          <w:rFonts w:ascii="Arial" w:hAnsi="Arial" w:cs="Arial"/>
          <w:noProof/>
          <w:sz w:val="16"/>
          <w:szCs w:val="16"/>
          <w:lang w:val="es-PE"/>
        </w:rPr>
        <w:t xml:space="preserve">. </w:t>
      </w:r>
      <w:r w:rsidRPr="009E0769">
        <w:rPr>
          <w:rFonts w:ascii="Arial" w:hAnsi="Arial" w:cs="Arial"/>
          <w:noProof/>
          <w:sz w:val="16"/>
          <w:szCs w:val="16"/>
        </w:rPr>
        <w:t>2013;141(7):909-916. internal-pdf://124.97.229.107/Tejos-2013-[Serum levels of alanine aminotrans.pdf.</w:t>
      </w:r>
    </w:p>
    <w:p w14:paraId="7E59DDFC"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77. </w:t>
      </w:r>
      <w:r w:rsidRPr="009E0769">
        <w:rPr>
          <w:rFonts w:ascii="Arial" w:hAnsi="Arial" w:cs="Arial"/>
          <w:noProof/>
          <w:sz w:val="16"/>
          <w:szCs w:val="16"/>
        </w:rPr>
        <w:tab/>
        <w:t xml:space="preserve">Villanueva B, Arteaga A, Maiz A, Cortes VA. Abdominal obesity is a common finding in normal and overweight subjects of Chile and is associated with increased frequency of cardiometabolic risk factors. </w:t>
      </w:r>
      <w:r w:rsidRPr="009E0769">
        <w:rPr>
          <w:rFonts w:ascii="Arial" w:hAnsi="Arial" w:cs="Arial"/>
          <w:i/>
          <w:iCs/>
          <w:noProof/>
          <w:sz w:val="16"/>
          <w:szCs w:val="16"/>
        </w:rPr>
        <w:t>PLoS One</w:t>
      </w:r>
      <w:r w:rsidRPr="009E0769">
        <w:rPr>
          <w:rFonts w:ascii="Arial" w:hAnsi="Arial" w:cs="Arial"/>
          <w:noProof/>
          <w:sz w:val="16"/>
          <w:szCs w:val="16"/>
        </w:rPr>
        <w:t>. 2018;13(3):e0194644. internal-pdf://76.159.235.71/Villanueva-2018-Abdominal obesity is a common.pdf.</w:t>
      </w:r>
    </w:p>
    <w:p w14:paraId="58A6113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78. </w:t>
      </w:r>
      <w:r w:rsidRPr="009E0769">
        <w:rPr>
          <w:rFonts w:ascii="Arial" w:hAnsi="Arial" w:cs="Arial"/>
          <w:noProof/>
          <w:sz w:val="16"/>
          <w:szCs w:val="16"/>
        </w:rPr>
        <w:tab/>
        <w:t xml:space="preserve">Lanas F, Serón P, Muñoz S, Margozzini P, Puig T. Latin American Clinical Epidemiology Network Series – Paper 7: Central obesity measurements better identified risk factors for coronary heart disease risk in the Chilean National Health Survey (2009–2010). </w:t>
      </w:r>
      <w:r w:rsidRPr="009E0769">
        <w:rPr>
          <w:rFonts w:ascii="Arial" w:hAnsi="Arial" w:cs="Arial"/>
          <w:i/>
          <w:iCs/>
          <w:noProof/>
          <w:sz w:val="16"/>
          <w:szCs w:val="16"/>
        </w:rPr>
        <w:t>J Clin Epidemiol</w:t>
      </w:r>
      <w:r w:rsidRPr="009E0769">
        <w:rPr>
          <w:rFonts w:ascii="Arial" w:hAnsi="Arial" w:cs="Arial"/>
          <w:noProof/>
          <w:sz w:val="16"/>
          <w:szCs w:val="16"/>
        </w:rPr>
        <w:t>. 2017;86:111-116. https://www.scopus.com/inward/record.uri?eid=2-s2.0-85021970039&amp;doi=10.1016%2Fj.jclinepi.2016.04.018&amp;partnerID=40&amp;md5=f5be3dee47b240b47b92ac53f952a462 https://ac.els-cdn.com/S089543561630556X/1-s2.0-S089543561630556X-main.pdf?_tid=098d8b20-a4fb-4f61-bc1f-.</w:t>
      </w:r>
    </w:p>
    <w:p w14:paraId="75F06BBC"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79. </w:t>
      </w:r>
      <w:r w:rsidRPr="00366461">
        <w:rPr>
          <w:rFonts w:ascii="Arial" w:hAnsi="Arial" w:cs="Arial"/>
          <w:noProof/>
          <w:sz w:val="16"/>
          <w:szCs w:val="16"/>
          <w:lang w:val="es-PE"/>
        </w:rPr>
        <w:tab/>
        <w:t xml:space="preserve">Lara M, Bustos P, Amigo H, Silva C, Rona RJ. </w:t>
      </w:r>
      <w:r w:rsidRPr="009E0769">
        <w:rPr>
          <w:rFonts w:ascii="Arial" w:hAnsi="Arial" w:cs="Arial"/>
          <w:noProof/>
          <w:sz w:val="16"/>
          <w:szCs w:val="16"/>
        </w:rPr>
        <w:t xml:space="preserve">Is waist circumference a better predictor of blood pressure, insulin resistance and blood lipids than body mass index in young Chilean adults? </w:t>
      </w:r>
      <w:r w:rsidRPr="009E0769">
        <w:rPr>
          <w:rFonts w:ascii="Arial" w:hAnsi="Arial" w:cs="Arial"/>
          <w:i/>
          <w:iCs/>
          <w:noProof/>
          <w:sz w:val="16"/>
          <w:szCs w:val="16"/>
        </w:rPr>
        <w:t>BMC Public Health</w:t>
      </w:r>
      <w:r w:rsidRPr="009E0769">
        <w:rPr>
          <w:rFonts w:ascii="Arial" w:hAnsi="Arial" w:cs="Arial"/>
          <w:noProof/>
          <w:sz w:val="16"/>
          <w:szCs w:val="16"/>
        </w:rPr>
        <w:t>. 2012;12(1). https://www.scopus.com/inward/record.uri?eid=2-s2.0-84864828598&amp;doi=10.1186%2F1471-2458-12-638&amp;partnerID=40&amp;md5=f85b83410473d83ec837a16579cb3955.</w:t>
      </w:r>
    </w:p>
    <w:p w14:paraId="236200F0"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80. </w:t>
      </w:r>
      <w:r w:rsidRPr="009E0769">
        <w:rPr>
          <w:rFonts w:ascii="Arial" w:hAnsi="Arial" w:cs="Arial"/>
          <w:noProof/>
          <w:sz w:val="16"/>
          <w:szCs w:val="16"/>
        </w:rPr>
        <w:tab/>
        <w:t xml:space="preserve">Mena C, Fuentes E, Ormazabal Y, Palomo-Velez G, Palomo I. Role of access to parks and markets with anthropometric measurements, biological markers, and a healthy lifestyle. </w:t>
      </w:r>
      <w:r w:rsidRPr="009E0769">
        <w:rPr>
          <w:rFonts w:ascii="Arial" w:hAnsi="Arial" w:cs="Arial"/>
          <w:i/>
          <w:iCs/>
          <w:noProof/>
          <w:sz w:val="16"/>
          <w:szCs w:val="16"/>
        </w:rPr>
        <w:t>Int J Environ Health Res</w:t>
      </w:r>
      <w:r w:rsidRPr="009E0769">
        <w:rPr>
          <w:rFonts w:ascii="Arial" w:hAnsi="Arial" w:cs="Arial"/>
          <w:noProof/>
          <w:sz w:val="16"/>
          <w:szCs w:val="16"/>
        </w:rPr>
        <w:t>. 2015;25(4):373-383. http://ovidsp.ovid.com/ovidweb.cgi?T=JS&amp;PAGE=reference&amp;D=med8&amp;NEWS=N&amp;AN=25236622 https://www.tandfonline.com/doi/pdf/10.1080/09603123.2014.958134?needAccess=true.</w:t>
      </w:r>
    </w:p>
    <w:p w14:paraId="01CAB190"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366461">
        <w:rPr>
          <w:rFonts w:ascii="Arial" w:hAnsi="Arial" w:cs="Arial"/>
          <w:noProof/>
          <w:sz w:val="16"/>
          <w:szCs w:val="16"/>
          <w:lang w:val="es-PE"/>
        </w:rPr>
        <w:t xml:space="preserve">81. </w:t>
      </w:r>
      <w:r w:rsidRPr="00366461">
        <w:rPr>
          <w:rFonts w:ascii="Arial" w:hAnsi="Arial" w:cs="Arial"/>
          <w:noProof/>
          <w:sz w:val="16"/>
          <w:szCs w:val="16"/>
          <w:lang w:val="es-PE"/>
        </w:rPr>
        <w:tab/>
        <w:t xml:space="preserve">Miquel JF, Covarrubias C, Villaroel L, et al. </w:t>
      </w:r>
      <w:r w:rsidRPr="009E0769">
        <w:rPr>
          <w:rFonts w:ascii="Arial" w:hAnsi="Arial" w:cs="Arial"/>
          <w:noProof/>
          <w:sz w:val="16"/>
          <w:szCs w:val="16"/>
        </w:rPr>
        <w:t xml:space="preserve">Genetic epidemiology of cholesterol cholelithiasis among Chilean Hispanics, Amerindians, and Maoris. </w:t>
      </w:r>
      <w:r w:rsidRPr="00366461">
        <w:rPr>
          <w:rFonts w:ascii="Arial" w:hAnsi="Arial" w:cs="Arial"/>
          <w:i/>
          <w:iCs/>
          <w:noProof/>
          <w:sz w:val="16"/>
          <w:szCs w:val="16"/>
          <w:lang w:val="es-PE"/>
        </w:rPr>
        <w:t>Gastroenterology</w:t>
      </w:r>
      <w:r w:rsidRPr="00366461">
        <w:rPr>
          <w:rFonts w:ascii="Arial" w:hAnsi="Arial" w:cs="Arial"/>
          <w:noProof/>
          <w:sz w:val="16"/>
          <w:szCs w:val="16"/>
          <w:lang w:val="es-PE"/>
        </w:rPr>
        <w:t>. 1998;115(4):937-946. http://ovidsp.ovid.com/ovidweb.cgi?T=JS&amp;PAGE=reference&amp;D=med4&amp;NEWS=N&amp;AN=9753497.</w:t>
      </w:r>
    </w:p>
    <w:p w14:paraId="580A8188"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82. </w:t>
      </w:r>
      <w:r w:rsidRPr="00366461">
        <w:rPr>
          <w:rFonts w:ascii="Arial" w:hAnsi="Arial" w:cs="Arial"/>
          <w:noProof/>
          <w:sz w:val="16"/>
          <w:szCs w:val="16"/>
          <w:lang w:val="es-PE"/>
        </w:rPr>
        <w:tab/>
        <w:t xml:space="preserve">Mujica V, Leiva E, Icaza G, et al. </w:t>
      </w:r>
      <w:r w:rsidRPr="009E0769">
        <w:rPr>
          <w:rFonts w:ascii="Arial" w:hAnsi="Arial" w:cs="Arial"/>
          <w:noProof/>
          <w:sz w:val="16"/>
          <w:szCs w:val="16"/>
        </w:rPr>
        <w:t xml:space="preserve">Evaluation of metabolic syndrome in adults of Talca city, Chile. </w:t>
      </w:r>
      <w:r w:rsidRPr="009E0769">
        <w:rPr>
          <w:rFonts w:ascii="Arial" w:hAnsi="Arial" w:cs="Arial"/>
          <w:i/>
          <w:iCs/>
          <w:noProof/>
          <w:sz w:val="16"/>
          <w:szCs w:val="16"/>
        </w:rPr>
        <w:t>Nutr J</w:t>
      </w:r>
      <w:r w:rsidRPr="009E0769">
        <w:rPr>
          <w:rFonts w:ascii="Arial" w:hAnsi="Arial" w:cs="Arial"/>
          <w:noProof/>
          <w:sz w:val="16"/>
          <w:szCs w:val="16"/>
        </w:rPr>
        <w:t>. 2008;7:14. http://ovidsp.ovid.com/ovidweb.cgi?T=JS&amp;PAGE=reference&amp;D=med6&amp;NEWS=N&amp;AN=18482457 https://www.ncbi.nlm.nih.gov/pmc/articles/PMC2397433/pdf/1475-2891-7-14.pdf.</w:t>
      </w:r>
    </w:p>
    <w:p w14:paraId="26181C4C"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83. </w:t>
      </w:r>
      <w:r w:rsidRPr="00366461">
        <w:rPr>
          <w:rFonts w:ascii="Arial" w:hAnsi="Arial" w:cs="Arial"/>
          <w:noProof/>
          <w:sz w:val="16"/>
          <w:szCs w:val="16"/>
          <w:lang w:val="es-PE"/>
        </w:rPr>
        <w:tab/>
        <w:t xml:space="preserve">Valenzuela AA, Maiz A, Margozzini P, et al. </w:t>
      </w:r>
      <w:r w:rsidRPr="009E0769">
        <w:rPr>
          <w:rFonts w:ascii="Arial" w:hAnsi="Arial" w:cs="Arial"/>
          <w:noProof/>
          <w:sz w:val="16"/>
          <w:szCs w:val="16"/>
        </w:rPr>
        <w:t xml:space="preserve">[Prevalence of metabolic syndrome among Chilean adults]. </w:t>
      </w:r>
      <w:r w:rsidRPr="00366461">
        <w:rPr>
          <w:rFonts w:ascii="Arial" w:hAnsi="Arial" w:cs="Arial"/>
          <w:i/>
          <w:iCs/>
          <w:noProof/>
          <w:sz w:val="16"/>
          <w:szCs w:val="16"/>
          <w:lang w:val="es-PE"/>
        </w:rPr>
        <w:t>Prevalencia Sindr Metab en Poblac adulta Chil Datos la Encuesta Nac Salud 2003</w:t>
      </w:r>
      <w:r w:rsidRPr="00366461">
        <w:rPr>
          <w:rFonts w:ascii="Arial" w:hAnsi="Arial" w:cs="Arial"/>
          <w:noProof/>
          <w:sz w:val="16"/>
          <w:szCs w:val="16"/>
          <w:lang w:val="es-PE"/>
        </w:rPr>
        <w:t xml:space="preserve">. </w:t>
      </w:r>
      <w:r w:rsidRPr="009E0769">
        <w:rPr>
          <w:rFonts w:ascii="Arial" w:hAnsi="Arial" w:cs="Arial"/>
          <w:noProof/>
          <w:sz w:val="16"/>
          <w:szCs w:val="16"/>
        </w:rPr>
        <w:t>2010;138(6):707-714. internal-pdf://156.153.233.161/Valenzuela.pdf.</w:t>
      </w:r>
    </w:p>
    <w:p w14:paraId="06024A95" w14:textId="77777777" w:rsidR="00665066" w:rsidRPr="00366461"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84. </w:t>
      </w:r>
      <w:r w:rsidRPr="009E0769">
        <w:rPr>
          <w:rFonts w:ascii="Arial" w:hAnsi="Arial" w:cs="Arial"/>
          <w:noProof/>
          <w:sz w:val="16"/>
          <w:szCs w:val="16"/>
        </w:rPr>
        <w:tab/>
        <w:t xml:space="preserve">Group I multicentre collaborative. Risk factors for cardiovascular disease in the developing world. A multicentre collaborative study in the International clinical epidemiology network (INCLEN). </w:t>
      </w:r>
      <w:r w:rsidRPr="00366461">
        <w:rPr>
          <w:rFonts w:ascii="Arial" w:hAnsi="Arial" w:cs="Arial"/>
          <w:i/>
          <w:iCs/>
          <w:noProof/>
          <w:sz w:val="16"/>
          <w:szCs w:val="16"/>
          <w:lang w:val="es-PE"/>
        </w:rPr>
        <w:t>J Clin Epidemiol</w:t>
      </w:r>
      <w:r w:rsidRPr="00366461">
        <w:rPr>
          <w:rFonts w:ascii="Arial" w:hAnsi="Arial" w:cs="Arial"/>
          <w:noProof/>
          <w:sz w:val="16"/>
          <w:szCs w:val="16"/>
          <w:lang w:val="es-PE"/>
        </w:rPr>
        <w:t>. 1992;45(8):841-847. doi:10.1016/0895-4356(92)90067-W</w:t>
      </w:r>
    </w:p>
    <w:p w14:paraId="20F3E7BC"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366461">
        <w:rPr>
          <w:rFonts w:ascii="Arial" w:hAnsi="Arial" w:cs="Arial"/>
          <w:noProof/>
          <w:sz w:val="16"/>
          <w:szCs w:val="16"/>
          <w:lang w:val="es-PE"/>
        </w:rPr>
        <w:t xml:space="preserve">85. </w:t>
      </w:r>
      <w:r w:rsidRPr="00366461">
        <w:rPr>
          <w:rFonts w:ascii="Arial" w:hAnsi="Arial" w:cs="Arial"/>
          <w:noProof/>
          <w:sz w:val="16"/>
          <w:szCs w:val="16"/>
          <w:lang w:val="es-PE"/>
        </w:rPr>
        <w:tab/>
        <w:t xml:space="preserve">Cuevas A, Molina A, Rigotti A, et al. </w:t>
      </w:r>
      <w:r w:rsidRPr="009E0769">
        <w:rPr>
          <w:rFonts w:ascii="Arial" w:hAnsi="Arial" w:cs="Arial"/>
          <w:noProof/>
          <w:sz w:val="16"/>
          <w:szCs w:val="16"/>
        </w:rPr>
        <w:t xml:space="preserve">Trends in obesity and diabetes prevalence in a Chilean urban population: 1993-2001. </w:t>
      </w:r>
      <w:r w:rsidRPr="009E0769">
        <w:rPr>
          <w:rFonts w:ascii="Arial" w:hAnsi="Arial" w:cs="Arial"/>
          <w:i/>
          <w:iCs/>
          <w:noProof/>
          <w:sz w:val="16"/>
          <w:szCs w:val="16"/>
        </w:rPr>
        <w:t>Metab Syndr Relat Disord</w:t>
      </w:r>
      <w:r w:rsidRPr="009E0769">
        <w:rPr>
          <w:rFonts w:ascii="Arial" w:hAnsi="Arial" w:cs="Arial"/>
          <w:noProof/>
          <w:sz w:val="16"/>
          <w:szCs w:val="16"/>
        </w:rPr>
        <w:t>. 2008;6(3):219-222. doi:10.1089/met.2008.0018</w:t>
      </w:r>
    </w:p>
    <w:p w14:paraId="480DD437"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86. </w:t>
      </w:r>
      <w:r w:rsidRPr="009E0769">
        <w:rPr>
          <w:rFonts w:ascii="Arial" w:hAnsi="Arial" w:cs="Arial"/>
          <w:noProof/>
          <w:sz w:val="16"/>
          <w:szCs w:val="16"/>
        </w:rPr>
        <w:tab/>
        <w:t xml:space="preserve">Pivatto I, Bustos P, Amigo H, Acosta AM, Arteaga A. Association between proinsulin, insulin, proinsulin/insulin ratio, and insulin resistance status with the metabolic syndrome. </w:t>
      </w:r>
      <w:r w:rsidRPr="009E0769">
        <w:rPr>
          <w:rFonts w:ascii="Arial" w:hAnsi="Arial" w:cs="Arial"/>
          <w:i/>
          <w:iCs/>
          <w:noProof/>
          <w:sz w:val="16"/>
          <w:szCs w:val="16"/>
        </w:rPr>
        <w:t>Arq Bras Endocrinol Metab</w:t>
      </w:r>
      <w:r w:rsidRPr="009E0769">
        <w:rPr>
          <w:rFonts w:ascii="Arial" w:hAnsi="Arial" w:cs="Arial"/>
          <w:noProof/>
          <w:sz w:val="16"/>
          <w:szCs w:val="16"/>
        </w:rPr>
        <w:t>. 2007;51(7):1128-1133. internal-pdf://76.196.218.63/Pivatto-2007-Association between proinsulin, i.pdf.</w:t>
      </w:r>
    </w:p>
    <w:p w14:paraId="55930F4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87. </w:t>
      </w:r>
      <w:r w:rsidRPr="00665066">
        <w:rPr>
          <w:rFonts w:ascii="Arial" w:hAnsi="Arial" w:cs="Arial"/>
          <w:noProof/>
          <w:sz w:val="16"/>
          <w:szCs w:val="16"/>
          <w:lang w:val="es-PE"/>
        </w:rPr>
        <w:tab/>
        <w:t xml:space="preserve">Amigo H, Bustos P, Alvarado ME, et al. </w:t>
      </w:r>
      <w:r w:rsidRPr="009E0769">
        <w:rPr>
          <w:rFonts w:ascii="Arial" w:hAnsi="Arial" w:cs="Arial"/>
          <w:noProof/>
          <w:sz w:val="16"/>
          <w:szCs w:val="16"/>
        </w:rPr>
        <w:t xml:space="preserve">Size at birth and lipoprotein concentrations in adulthood: Two prospective studies in Latin American cities. </w:t>
      </w:r>
      <w:r w:rsidRPr="009E0769">
        <w:rPr>
          <w:rFonts w:ascii="Arial" w:hAnsi="Arial" w:cs="Arial"/>
          <w:i/>
          <w:iCs/>
          <w:noProof/>
          <w:sz w:val="16"/>
          <w:szCs w:val="16"/>
        </w:rPr>
        <w:t>J Epidemiol Community Health</w:t>
      </w:r>
      <w:r w:rsidRPr="009E0769">
        <w:rPr>
          <w:rFonts w:ascii="Arial" w:hAnsi="Arial" w:cs="Arial"/>
          <w:noProof/>
          <w:sz w:val="16"/>
          <w:szCs w:val="16"/>
        </w:rPr>
        <w:t>. 2010;64(10):855-859. doi:10.1136/jech.2008.078345</w:t>
      </w:r>
    </w:p>
    <w:p w14:paraId="05BF0E90"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54001C">
        <w:rPr>
          <w:rFonts w:ascii="Arial" w:hAnsi="Arial" w:cs="Arial"/>
          <w:noProof/>
          <w:sz w:val="16"/>
          <w:szCs w:val="16"/>
        </w:rPr>
        <w:lastRenderedPageBreak/>
        <w:t xml:space="preserve">88. </w:t>
      </w:r>
      <w:r w:rsidRPr="0054001C">
        <w:rPr>
          <w:rFonts w:ascii="Arial" w:hAnsi="Arial" w:cs="Arial"/>
          <w:noProof/>
          <w:sz w:val="16"/>
          <w:szCs w:val="16"/>
        </w:rPr>
        <w:tab/>
        <w:t xml:space="preserve">Labrana AM, Duran E, Martinez MA, et al. </w:t>
      </w:r>
      <w:r w:rsidRPr="009E0769">
        <w:rPr>
          <w:rFonts w:ascii="Arial" w:hAnsi="Arial" w:cs="Arial"/>
          <w:noProof/>
          <w:sz w:val="16"/>
          <w:szCs w:val="16"/>
        </w:rPr>
        <w:t xml:space="preserve">[Effects of a lower body weight or waist circumference on cardiovascular risk]. </w:t>
      </w:r>
      <w:r w:rsidRPr="00665066">
        <w:rPr>
          <w:rFonts w:ascii="Arial" w:hAnsi="Arial" w:cs="Arial"/>
          <w:i/>
          <w:iCs/>
          <w:noProof/>
          <w:sz w:val="16"/>
          <w:szCs w:val="16"/>
          <w:lang w:val="es-PE"/>
        </w:rPr>
        <w:t>Menor peso corporal, indice masa Corpor y perimetro cintura se Asoc a una disminucion en factores riesgo Cardiovasc en Poblac Chil Find from Chil Heal Surv</w:t>
      </w:r>
      <w:r w:rsidRPr="00665066">
        <w:rPr>
          <w:rFonts w:ascii="Arial" w:hAnsi="Arial" w:cs="Arial"/>
          <w:noProof/>
          <w:sz w:val="16"/>
          <w:szCs w:val="16"/>
          <w:lang w:val="es-PE"/>
        </w:rPr>
        <w:t>. 2017;145(5):585-594. http://ovidsp.ovid.com/ovidweb.cgi?T=JS&amp;PAGE=reference&amp;D=medl&amp;NEWS=N&amp;AN=28898334.</w:t>
      </w:r>
    </w:p>
    <w:p w14:paraId="0D9E5B05"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89. </w:t>
      </w:r>
      <w:r w:rsidRPr="00665066">
        <w:rPr>
          <w:rFonts w:ascii="Arial" w:hAnsi="Arial" w:cs="Arial"/>
          <w:noProof/>
          <w:sz w:val="16"/>
          <w:szCs w:val="16"/>
          <w:lang w:val="es-PE"/>
        </w:rPr>
        <w:tab/>
        <w:t xml:space="preserve">Acevedo M, Arnaíz P, Corbalán R, et al. Modificación del grosor intima-media carotídeo según factores de riesgo clásicos y síndrome metabólico con o sin inflamación. </w:t>
      </w:r>
      <w:r w:rsidRPr="009E0769">
        <w:rPr>
          <w:rFonts w:ascii="Arial" w:hAnsi="Arial" w:cs="Arial"/>
          <w:i/>
          <w:iCs/>
          <w:noProof/>
          <w:sz w:val="16"/>
          <w:szCs w:val="16"/>
        </w:rPr>
        <w:t>Rev Chil Cardiol</w:t>
      </w:r>
      <w:r w:rsidRPr="009E0769">
        <w:rPr>
          <w:rFonts w:ascii="Arial" w:hAnsi="Arial" w:cs="Arial"/>
          <w:noProof/>
          <w:sz w:val="16"/>
          <w:szCs w:val="16"/>
        </w:rPr>
        <w:t>. 2009;28(4):337-348. doi:10.4067/s0718-85602009000300001</w:t>
      </w:r>
    </w:p>
    <w:p w14:paraId="0F1684D8"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54001C">
        <w:rPr>
          <w:rFonts w:ascii="Arial" w:hAnsi="Arial" w:cs="Arial"/>
          <w:noProof/>
          <w:sz w:val="16"/>
          <w:szCs w:val="16"/>
        </w:rPr>
        <w:t xml:space="preserve">90. </w:t>
      </w:r>
      <w:r w:rsidRPr="0054001C">
        <w:rPr>
          <w:rFonts w:ascii="Arial" w:hAnsi="Arial" w:cs="Arial"/>
          <w:noProof/>
          <w:sz w:val="16"/>
          <w:szCs w:val="16"/>
        </w:rPr>
        <w:tab/>
        <w:t xml:space="preserve">Acevedo M, Krämer V, Tagle R, et al. </w:t>
      </w:r>
      <w:r w:rsidRPr="00665066">
        <w:rPr>
          <w:rFonts w:ascii="Arial" w:hAnsi="Arial" w:cs="Arial"/>
          <w:noProof/>
          <w:sz w:val="16"/>
          <w:szCs w:val="16"/>
          <w:lang w:val="es-PE"/>
        </w:rPr>
        <w:t xml:space="preserve">Relación colesterol total a HDL y colesterol no HDL: Los mejores indicadores lipídicos de aumento de grosor de la íntima media carotidea. </w:t>
      </w:r>
      <w:r w:rsidRPr="009E0769">
        <w:rPr>
          <w:rFonts w:ascii="Arial" w:hAnsi="Arial" w:cs="Arial"/>
          <w:i/>
          <w:iCs/>
          <w:noProof/>
          <w:sz w:val="16"/>
          <w:szCs w:val="16"/>
        </w:rPr>
        <w:t>Rev Med Chil</w:t>
      </w:r>
      <w:r w:rsidRPr="009E0769">
        <w:rPr>
          <w:rFonts w:ascii="Arial" w:hAnsi="Arial" w:cs="Arial"/>
          <w:noProof/>
          <w:sz w:val="16"/>
          <w:szCs w:val="16"/>
        </w:rPr>
        <w:t>. 2012;140(8):969-976. doi:10.4067/S0034-98872012000800001</w:t>
      </w:r>
    </w:p>
    <w:p w14:paraId="6DF30485"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91. </w:t>
      </w:r>
      <w:r w:rsidRPr="009E0769">
        <w:rPr>
          <w:rFonts w:ascii="Arial" w:hAnsi="Arial" w:cs="Arial"/>
          <w:noProof/>
          <w:sz w:val="16"/>
          <w:szCs w:val="16"/>
        </w:rPr>
        <w:tab/>
        <w:t xml:space="preserve">Berrios X, Koponen T, Huiguang T, Khaltaev N, Puska P, Nissinen A. Distribution and prevalence of major risk factors of noncommunicable diseases in selected countries: The WHO Inter-Health Programme. </w:t>
      </w:r>
      <w:r w:rsidRPr="009E0769">
        <w:rPr>
          <w:rFonts w:ascii="Arial" w:hAnsi="Arial" w:cs="Arial"/>
          <w:i/>
          <w:iCs/>
          <w:noProof/>
          <w:sz w:val="16"/>
          <w:szCs w:val="16"/>
        </w:rPr>
        <w:t>Bull World Health Organ</w:t>
      </w:r>
      <w:r w:rsidRPr="009E0769">
        <w:rPr>
          <w:rFonts w:ascii="Arial" w:hAnsi="Arial" w:cs="Arial"/>
          <w:noProof/>
          <w:sz w:val="16"/>
          <w:szCs w:val="16"/>
        </w:rPr>
        <w:t xml:space="preserve">. 1997;75(2):99-108. file:///C:/Users/Usuario/Downloads/base de datos/39. </w:t>
      </w:r>
      <w:r w:rsidRPr="00665066">
        <w:rPr>
          <w:rFonts w:ascii="Arial" w:hAnsi="Arial" w:cs="Arial"/>
          <w:noProof/>
          <w:sz w:val="16"/>
          <w:szCs w:val="16"/>
          <w:lang w:val="es-PE"/>
        </w:rPr>
        <w:t>CHI_1988_Berrios.pdf.</w:t>
      </w:r>
    </w:p>
    <w:p w14:paraId="1F01490C" w14:textId="77777777" w:rsidR="00665066" w:rsidRPr="0054001C"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92. </w:t>
      </w:r>
      <w:r w:rsidRPr="00665066">
        <w:rPr>
          <w:rFonts w:ascii="Arial" w:hAnsi="Arial" w:cs="Arial"/>
          <w:noProof/>
          <w:sz w:val="16"/>
          <w:szCs w:val="16"/>
          <w:lang w:val="es-PE"/>
        </w:rPr>
        <w:tab/>
        <w:t xml:space="preserve">Roldan-Menco C, Diaz-Perez A, Barrios-Puerta Z, Pinto-Aragon EE. </w:t>
      </w:r>
      <w:r w:rsidRPr="009E0769">
        <w:rPr>
          <w:rFonts w:ascii="Arial" w:hAnsi="Arial" w:cs="Arial"/>
          <w:noProof/>
          <w:sz w:val="16"/>
          <w:szCs w:val="16"/>
        </w:rPr>
        <w:t xml:space="preserve">[Metabolic syndrome and concentrations of uric acid and ultrasensitive C-reactive protein]. </w:t>
      </w:r>
      <w:r w:rsidRPr="00665066">
        <w:rPr>
          <w:rFonts w:ascii="Arial" w:hAnsi="Arial" w:cs="Arial"/>
          <w:i/>
          <w:iCs/>
          <w:noProof/>
          <w:sz w:val="16"/>
          <w:szCs w:val="16"/>
          <w:lang w:val="es-PE"/>
        </w:rPr>
        <w:t>Conc acido urico y proteina c React ultrasensible con el Sindr Metab</w:t>
      </w:r>
      <w:r w:rsidRPr="00665066">
        <w:rPr>
          <w:rFonts w:ascii="Arial" w:hAnsi="Arial" w:cs="Arial"/>
          <w:noProof/>
          <w:sz w:val="16"/>
          <w:szCs w:val="16"/>
          <w:lang w:val="es-PE"/>
        </w:rPr>
        <w:t xml:space="preserve">. </w:t>
      </w:r>
      <w:r w:rsidRPr="0054001C">
        <w:rPr>
          <w:rFonts w:ascii="Arial" w:hAnsi="Arial" w:cs="Arial"/>
          <w:noProof/>
          <w:sz w:val="16"/>
          <w:szCs w:val="16"/>
          <w:lang w:val="es-PE"/>
        </w:rPr>
        <w:t>2017;19(5):603-608. internal-pdf://238.108.223.96/Roldan-Menco-2017-[Metabolic syndrome and conc.pdf.</w:t>
      </w:r>
    </w:p>
    <w:p w14:paraId="0F5C060A"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93. </w:t>
      </w:r>
      <w:r w:rsidRPr="00665066">
        <w:rPr>
          <w:rFonts w:ascii="Arial" w:hAnsi="Arial" w:cs="Arial"/>
          <w:noProof/>
          <w:sz w:val="16"/>
          <w:szCs w:val="16"/>
          <w:lang w:val="es-PE"/>
        </w:rPr>
        <w:tab/>
        <w:t xml:space="preserve">Arbey Mesa J, Fabián Suárez M, Arbeláez A, et al. Falta de relación entre el nivel de actividad física con marcadoresde riesgo cardiovascular y síndrome metabólico en hombresaparentemente sanos. </w:t>
      </w:r>
      <w:r w:rsidRPr="00665066">
        <w:rPr>
          <w:rFonts w:ascii="Arial" w:hAnsi="Arial" w:cs="Arial"/>
          <w:i/>
          <w:iCs/>
          <w:noProof/>
          <w:sz w:val="16"/>
          <w:szCs w:val="16"/>
          <w:lang w:val="es-PE"/>
        </w:rPr>
        <w:t>Endocrinol y Nutr</w:t>
      </w:r>
      <w:r w:rsidRPr="00665066">
        <w:rPr>
          <w:rFonts w:ascii="Arial" w:hAnsi="Arial" w:cs="Arial"/>
          <w:noProof/>
          <w:sz w:val="16"/>
          <w:szCs w:val="16"/>
          <w:lang w:val="es-PE"/>
        </w:rPr>
        <w:t>. 2011;58(2):68-74. doi:10.1016/j.endonu.2011.01.004</w:t>
      </w:r>
    </w:p>
    <w:p w14:paraId="58605558"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94. </w:t>
      </w:r>
      <w:r w:rsidRPr="00665066">
        <w:rPr>
          <w:rFonts w:ascii="Arial" w:hAnsi="Arial" w:cs="Arial"/>
          <w:noProof/>
          <w:sz w:val="16"/>
          <w:szCs w:val="16"/>
          <w:lang w:val="es-PE"/>
        </w:rPr>
        <w:tab/>
        <w:t xml:space="preserve">Patiño-Villada FA, Arango-Vélez EF, Quintero-Velásquez MA, Arenas-Sosa MM. Factores de riesgo cardiovascular en una población urbana de Colombia. </w:t>
      </w:r>
      <w:r w:rsidRPr="00665066">
        <w:rPr>
          <w:rFonts w:ascii="Arial" w:hAnsi="Arial" w:cs="Arial"/>
          <w:i/>
          <w:iCs/>
          <w:noProof/>
          <w:sz w:val="16"/>
          <w:szCs w:val="16"/>
          <w:lang w:val="es-PE"/>
        </w:rPr>
        <w:t>Rev Salud Publica</w:t>
      </w:r>
      <w:r w:rsidRPr="00665066">
        <w:rPr>
          <w:rFonts w:ascii="Arial" w:hAnsi="Arial" w:cs="Arial"/>
          <w:noProof/>
          <w:sz w:val="16"/>
          <w:szCs w:val="16"/>
          <w:lang w:val="es-PE"/>
        </w:rPr>
        <w:t>. 2011;13(3):433-445. internal-pdf://216.205.215.160/Patiño-Villada-2011-Factores de riesgo cardiov.pdf.</w:t>
      </w:r>
    </w:p>
    <w:p w14:paraId="02B6F527"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95. </w:t>
      </w:r>
      <w:r w:rsidRPr="00665066">
        <w:rPr>
          <w:rFonts w:ascii="Arial" w:hAnsi="Arial" w:cs="Arial"/>
          <w:noProof/>
          <w:sz w:val="16"/>
          <w:szCs w:val="16"/>
          <w:lang w:val="es-PE"/>
        </w:rPr>
        <w:tab/>
        <w:t xml:space="preserve">Camacho PA, Otero J, Pérez M, et al. </w:t>
      </w:r>
      <w:r w:rsidRPr="009E0769">
        <w:rPr>
          <w:rFonts w:ascii="Arial" w:hAnsi="Arial" w:cs="Arial"/>
          <w:noProof/>
          <w:sz w:val="16"/>
          <w:szCs w:val="16"/>
        </w:rPr>
        <w:t xml:space="preserve">The spectrum of the dyslipidemia in Colombia: The PURE study. </w:t>
      </w:r>
      <w:r w:rsidRPr="00665066">
        <w:rPr>
          <w:rFonts w:ascii="Arial" w:hAnsi="Arial" w:cs="Arial"/>
          <w:i/>
          <w:iCs/>
          <w:noProof/>
          <w:sz w:val="16"/>
          <w:szCs w:val="16"/>
          <w:lang w:val="es-PE"/>
        </w:rPr>
        <w:t>Int J Cardiol</w:t>
      </w:r>
      <w:r w:rsidRPr="00665066">
        <w:rPr>
          <w:rFonts w:ascii="Arial" w:hAnsi="Arial" w:cs="Arial"/>
          <w:noProof/>
          <w:sz w:val="16"/>
          <w:szCs w:val="16"/>
          <w:lang w:val="es-PE"/>
        </w:rPr>
        <w:t>. 2019;284:111-117. doi:10.1016/j.ijcard.2018.10.090</w:t>
      </w:r>
    </w:p>
    <w:p w14:paraId="3FE78706"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96. </w:t>
      </w:r>
      <w:r w:rsidRPr="00665066">
        <w:rPr>
          <w:rFonts w:ascii="Arial" w:hAnsi="Arial" w:cs="Arial"/>
          <w:noProof/>
          <w:sz w:val="16"/>
          <w:szCs w:val="16"/>
          <w:lang w:val="es-PE"/>
        </w:rPr>
        <w:tab/>
        <w:t xml:space="preserve">Palmett Ríos HE. Estudio transversal sobre estilos de vida saludable y su relación con el colesterol HDL en la población adulta. </w:t>
      </w:r>
      <w:r w:rsidRPr="00665066">
        <w:rPr>
          <w:rFonts w:ascii="Arial" w:hAnsi="Arial" w:cs="Arial"/>
          <w:i/>
          <w:iCs/>
          <w:noProof/>
          <w:sz w:val="16"/>
          <w:szCs w:val="16"/>
          <w:lang w:val="es-PE"/>
        </w:rPr>
        <w:t>Rev colomb cardiol</w:t>
      </w:r>
      <w:r w:rsidRPr="00665066">
        <w:rPr>
          <w:rFonts w:ascii="Arial" w:hAnsi="Arial" w:cs="Arial"/>
          <w:noProof/>
          <w:sz w:val="16"/>
          <w:szCs w:val="16"/>
          <w:lang w:val="es-PE"/>
        </w:rPr>
        <w:t>. 2017;24(5):523-531. internal-pdf://220.137.214.181/Estudio transversal sobre estilos de vida salu.pdf.</w:t>
      </w:r>
    </w:p>
    <w:p w14:paraId="3033D151"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97. </w:t>
      </w:r>
      <w:r w:rsidRPr="00665066">
        <w:rPr>
          <w:rFonts w:ascii="Arial" w:hAnsi="Arial" w:cs="Arial"/>
          <w:noProof/>
          <w:sz w:val="16"/>
          <w:szCs w:val="16"/>
          <w:lang w:val="es-PE"/>
        </w:rPr>
        <w:tab/>
        <w:t xml:space="preserve">Bautista LE, Orãstegui M, Vera LM, Prada GE, Orozco LC, Herrã¡n OF. </w:t>
      </w:r>
      <w:r w:rsidRPr="009E0769">
        <w:rPr>
          <w:rFonts w:ascii="Arial" w:hAnsi="Arial" w:cs="Arial"/>
          <w:noProof/>
          <w:sz w:val="16"/>
          <w:szCs w:val="16"/>
        </w:rPr>
        <w:t xml:space="preserve">Prevalence and impact of cardiovascular risk factors in Bucaramanga, Colombia: Results from the Countrywide Integrated Noncommunicable Disease Intervention Programme (CINDI/CARMEN) baseline survey. </w:t>
      </w:r>
      <w:r w:rsidRPr="00665066">
        <w:rPr>
          <w:rFonts w:ascii="Arial" w:hAnsi="Arial" w:cs="Arial"/>
          <w:i/>
          <w:iCs/>
          <w:noProof/>
          <w:sz w:val="16"/>
          <w:szCs w:val="16"/>
          <w:lang w:val="es-PE"/>
        </w:rPr>
        <w:t>Eur J Prev Cardiol</w:t>
      </w:r>
      <w:r w:rsidRPr="00665066">
        <w:rPr>
          <w:rFonts w:ascii="Arial" w:hAnsi="Arial" w:cs="Arial"/>
          <w:noProof/>
          <w:sz w:val="16"/>
          <w:szCs w:val="16"/>
          <w:lang w:val="es-PE"/>
        </w:rPr>
        <w:t>. 2006;13(5):769-775. doi:10.1097/01.hjr.0000219113.40662.dd</w:t>
      </w:r>
    </w:p>
    <w:p w14:paraId="4EF1DCA1"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98. </w:t>
      </w:r>
      <w:r w:rsidRPr="00665066">
        <w:rPr>
          <w:rFonts w:ascii="Arial" w:hAnsi="Arial" w:cs="Arial"/>
          <w:noProof/>
          <w:sz w:val="16"/>
          <w:szCs w:val="16"/>
          <w:lang w:val="es-PE"/>
        </w:rPr>
        <w:tab/>
        <w:t xml:space="preserve">Gallo JA, Ochoa JE, Kepa Balparda J, Aristizábal D. Puntos de corte del perímetro de la cintura para identificar sujetos con resistencia a la insulina en una población colombiana. </w:t>
      </w:r>
      <w:r w:rsidRPr="00665066">
        <w:rPr>
          <w:rFonts w:ascii="Arial" w:hAnsi="Arial" w:cs="Arial"/>
          <w:i/>
          <w:iCs/>
          <w:noProof/>
          <w:sz w:val="16"/>
          <w:szCs w:val="16"/>
          <w:lang w:val="es-PE"/>
        </w:rPr>
        <w:t>Acta Med Colomb</w:t>
      </w:r>
      <w:r w:rsidRPr="00665066">
        <w:rPr>
          <w:rFonts w:ascii="Arial" w:hAnsi="Arial" w:cs="Arial"/>
          <w:noProof/>
          <w:sz w:val="16"/>
          <w:szCs w:val="16"/>
          <w:lang w:val="es-PE"/>
        </w:rPr>
        <w:t>. 2013;38(3):118-126. http://www.scielo.org.co/scielo.php?script=sci_arttext&amp;pid=S0120-24482013000300006.</w:t>
      </w:r>
    </w:p>
    <w:p w14:paraId="2FA9DBEA"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99. </w:t>
      </w:r>
      <w:r w:rsidRPr="00665066">
        <w:rPr>
          <w:rFonts w:ascii="Arial" w:hAnsi="Arial" w:cs="Arial"/>
          <w:noProof/>
          <w:sz w:val="16"/>
          <w:szCs w:val="16"/>
          <w:lang w:val="es-PE"/>
        </w:rPr>
        <w:tab/>
        <w:t xml:space="preserve">Alayón AN, Ariza S, Baena K, Lambis L, Martínez L, Benítez L. Búsqueda activa y evaluación de factores de riesgo cardiovascular en adultos jóvenes, Cartagena de Indias, 2007. </w:t>
      </w:r>
      <w:r w:rsidRPr="009E0769">
        <w:rPr>
          <w:rFonts w:ascii="Arial" w:hAnsi="Arial" w:cs="Arial"/>
          <w:i/>
          <w:iCs/>
          <w:noProof/>
          <w:sz w:val="16"/>
          <w:szCs w:val="16"/>
        </w:rPr>
        <w:t>Biomedica</w:t>
      </w:r>
      <w:r w:rsidRPr="009E0769">
        <w:rPr>
          <w:rFonts w:ascii="Arial" w:hAnsi="Arial" w:cs="Arial"/>
          <w:noProof/>
          <w:sz w:val="16"/>
          <w:szCs w:val="16"/>
        </w:rPr>
        <w:t>. 2010;30(2):238-244. doi:10.7705/biomedica.v30i2.186</w:t>
      </w:r>
    </w:p>
    <w:p w14:paraId="2266682A" w14:textId="77777777" w:rsidR="00665066" w:rsidRPr="0054001C"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100. </w:t>
      </w:r>
      <w:r w:rsidRPr="009E0769">
        <w:rPr>
          <w:rFonts w:ascii="Arial" w:hAnsi="Arial" w:cs="Arial"/>
          <w:noProof/>
          <w:sz w:val="16"/>
          <w:szCs w:val="16"/>
        </w:rPr>
        <w:tab/>
        <w:t xml:space="preserve">Campos H, Bailey SM, Gussak LS, Siles X, Ordovas JM, Schaefer EJ. Relations of body habitus, fitness level, and cardiovascular risk factors including lipoproteins and apolipoproteins in a rural and urban Costa Rican population. </w:t>
      </w:r>
      <w:r w:rsidRPr="0054001C">
        <w:rPr>
          <w:rFonts w:ascii="Arial" w:hAnsi="Arial" w:cs="Arial"/>
          <w:i/>
          <w:iCs/>
          <w:noProof/>
          <w:sz w:val="16"/>
          <w:szCs w:val="16"/>
          <w:lang w:val="es-PE"/>
        </w:rPr>
        <w:t>Arterioscler Thromb</w:t>
      </w:r>
      <w:r w:rsidRPr="0054001C">
        <w:rPr>
          <w:rFonts w:ascii="Arial" w:hAnsi="Arial" w:cs="Arial"/>
          <w:noProof/>
          <w:sz w:val="16"/>
          <w:szCs w:val="16"/>
          <w:lang w:val="es-PE"/>
        </w:rPr>
        <w:t>. 1991;11(4):1077-1088. doi:10.1161/01.atv.11.4.1077</w:t>
      </w:r>
    </w:p>
    <w:p w14:paraId="4DB6EA06"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101. </w:t>
      </w:r>
      <w:r w:rsidRPr="00665066">
        <w:rPr>
          <w:rFonts w:ascii="Arial" w:hAnsi="Arial" w:cs="Arial"/>
          <w:noProof/>
          <w:sz w:val="16"/>
          <w:szCs w:val="16"/>
          <w:lang w:val="es-PE"/>
        </w:rPr>
        <w:tab/>
        <w:t xml:space="preserve">Holst Schumancher I, Monge Rojas R, Barrantes Santamaría M. Niveles séricos de homocisteína total y lipoproteínas en adultos jóvenes de áreas rurales y urbanas de Costa Rica. </w:t>
      </w:r>
      <w:r w:rsidRPr="009E0769">
        <w:rPr>
          <w:rFonts w:ascii="Arial" w:hAnsi="Arial" w:cs="Arial"/>
          <w:i/>
          <w:iCs/>
          <w:noProof/>
          <w:sz w:val="16"/>
          <w:szCs w:val="16"/>
        </w:rPr>
        <w:t>Arch latinoam nutr</w:t>
      </w:r>
      <w:r w:rsidRPr="009E0769">
        <w:rPr>
          <w:rFonts w:ascii="Arial" w:hAnsi="Arial" w:cs="Arial"/>
          <w:noProof/>
          <w:sz w:val="16"/>
          <w:szCs w:val="16"/>
        </w:rPr>
        <w:t>. 2006;56(4):335-341. http://www.scielo.org.ve/scielo.php?script=sci_arttext&amp;pid=S0004-06222006000400004&amp;lng=es&amp;nrm=iso&amp;tlng=es.</w:t>
      </w:r>
    </w:p>
    <w:p w14:paraId="7D3CCF0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102. </w:t>
      </w:r>
      <w:r w:rsidRPr="009E0769">
        <w:rPr>
          <w:rFonts w:ascii="Arial" w:hAnsi="Arial" w:cs="Arial"/>
          <w:noProof/>
          <w:sz w:val="16"/>
          <w:szCs w:val="16"/>
        </w:rPr>
        <w:tab/>
        <w:t xml:space="preserve">Chanti-Ketterl M, Gamaldo A, Andel R, Thorpe RJ. The Association Between Lipoproteins, Disability, and Physical Function Among Older Costa Rican Adults. </w:t>
      </w:r>
      <w:r w:rsidRPr="009E0769">
        <w:rPr>
          <w:rFonts w:ascii="Arial" w:hAnsi="Arial" w:cs="Arial"/>
          <w:i/>
          <w:iCs/>
          <w:noProof/>
          <w:sz w:val="16"/>
          <w:szCs w:val="16"/>
        </w:rPr>
        <w:t>J Aging Health</w:t>
      </w:r>
      <w:r w:rsidRPr="009E0769">
        <w:rPr>
          <w:rFonts w:ascii="Arial" w:hAnsi="Arial" w:cs="Arial"/>
          <w:noProof/>
          <w:sz w:val="16"/>
          <w:szCs w:val="16"/>
        </w:rPr>
        <w:t>. 2018;30(5):758-777. doi:10.1177/0898264317690866</w:t>
      </w:r>
    </w:p>
    <w:p w14:paraId="20E034FD"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103. </w:t>
      </w:r>
      <w:r w:rsidRPr="009E0769">
        <w:rPr>
          <w:rFonts w:ascii="Arial" w:hAnsi="Arial" w:cs="Arial"/>
          <w:noProof/>
          <w:sz w:val="16"/>
          <w:szCs w:val="16"/>
        </w:rPr>
        <w:tab/>
        <w:t xml:space="preserve">Rehkopf DH, Duong A, Dow WH, Rosero-Bixby L. Life-course BMI and biomarkers in persons aged 60 years or older: a comparison of the USA and Costa Rica. </w:t>
      </w:r>
      <w:r w:rsidRPr="009E0769">
        <w:rPr>
          <w:rFonts w:ascii="Arial" w:hAnsi="Arial" w:cs="Arial"/>
          <w:i/>
          <w:iCs/>
          <w:noProof/>
          <w:sz w:val="16"/>
          <w:szCs w:val="16"/>
        </w:rPr>
        <w:t>Public Health Nutr</w:t>
      </w:r>
      <w:r w:rsidRPr="009E0769">
        <w:rPr>
          <w:rFonts w:ascii="Arial" w:hAnsi="Arial" w:cs="Arial"/>
          <w:noProof/>
          <w:sz w:val="16"/>
          <w:szCs w:val="16"/>
        </w:rPr>
        <w:t>. 2018:1-10. internal-pdf://122.178.221.155/Life-course BMI and biomarkers in persons aged.pdf.</w:t>
      </w:r>
    </w:p>
    <w:p w14:paraId="545D8CC6"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lastRenderedPageBreak/>
        <w:t xml:space="preserve">104. </w:t>
      </w:r>
      <w:r w:rsidRPr="00665066">
        <w:rPr>
          <w:rFonts w:ascii="Arial" w:hAnsi="Arial" w:cs="Arial"/>
          <w:noProof/>
          <w:sz w:val="16"/>
          <w:szCs w:val="16"/>
          <w:lang w:val="es-PE"/>
        </w:rPr>
        <w:tab/>
        <w:t xml:space="preserve">Jiménez M JG, Castro A V, Piza L J, Díaz W G, Valverde P, Díaz A C. Colesterol y triglicéridos en la población costarricense: interpretación de los resultados obtenidos en la Encuesta Nacional de Nutrición de 1982. </w:t>
      </w:r>
      <w:r w:rsidRPr="009E0769">
        <w:rPr>
          <w:rFonts w:ascii="Arial" w:hAnsi="Arial" w:cs="Arial"/>
          <w:i/>
          <w:iCs/>
          <w:noProof/>
          <w:sz w:val="16"/>
          <w:szCs w:val="16"/>
        </w:rPr>
        <w:t>Rev Costarric Cienc Med</w:t>
      </w:r>
      <w:r w:rsidRPr="009E0769">
        <w:rPr>
          <w:rFonts w:ascii="Arial" w:hAnsi="Arial" w:cs="Arial"/>
          <w:noProof/>
          <w:sz w:val="16"/>
          <w:szCs w:val="16"/>
        </w:rPr>
        <w:t>. 1987;8(2):89-95.</w:t>
      </w:r>
    </w:p>
    <w:p w14:paraId="23EE70FB"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105. </w:t>
      </w:r>
      <w:r w:rsidRPr="009E0769">
        <w:rPr>
          <w:rFonts w:ascii="Arial" w:hAnsi="Arial" w:cs="Arial"/>
          <w:noProof/>
          <w:sz w:val="16"/>
          <w:szCs w:val="16"/>
        </w:rPr>
        <w:tab/>
        <w:t xml:space="preserve">Goldman N, Turra CM, Rosero-Bixby L, Weir D, Crimmins E. Do biological measures mediate the relationship between education and health: A comparative study. </w:t>
      </w:r>
      <w:r w:rsidRPr="009E0769">
        <w:rPr>
          <w:rFonts w:ascii="Arial" w:hAnsi="Arial" w:cs="Arial"/>
          <w:i/>
          <w:iCs/>
          <w:noProof/>
          <w:sz w:val="16"/>
          <w:szCs w:val="16"/>
        </w:rPr>
        <w:t>Soc Sci Med</w:t>
      </w:r>
      <w:r w:rsidRPr="009E0769">
        <w:rPr>
          <w:rFonts w:ascii="Arial" w:hAnsi="Arial" w:cs="Arial"/>
          <w:noProof/>
          <w:sz w:val="16"/>
          <w:szCs w:val="16"/>
        </w:rPr>
        <w:t>. 2011;72(2):307-315. http://ovidsp.ovid.com/ovidweb.cgi?T=JS&amp;PAGE=reference&amp;D=medc&amp;NEWS=N&amp;AN=21159415.</w:t>
      </w:r>
    </w:p>
    <w:p w14:paraId="0D7119FD"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106. </w:t>
      </w:r>
      <w:r w:rsidRPr="009E0769">
        <w:rPr>
          <w:rFonts w:ascii="Arial" w:hAnsi="Arial" w:cs="Arial"/>
          <w:noProof/>
          <w:sz w:val="16"/>
          <w:szCs w:val="16"/>
        </w:rPr>
        <w:tab/>
        <w:t xml:space="preserve">Williams ES, Baylin A, Campos H. Adipose tissue arachidonic acid and the metabolic syndrome in Costa Rican adults. </w:t>
      </w:r>
      <w:r w:rsidRPr="009E0769">
        <w:rPr>
          <w:rFonts w:ascii="Arial" w:hAnsi="Arial" w:cs="Arial"/>
          <w:i/>
          <w:iCs/>
          <w:noProof/>
          <w:sz w:val="16"/>
          <w:szCs w:val="16"/>
        </w:rPr>
        <w:t>Clin Nutr</w:t>
      </w:r>
      <w:r w:rsidRPr="009E0769">
        <w:rPr>
          <w:rFonts w:ascii="Arial" w:hAnsi="Arial" w:cs="Arial"/>
          <w:noProof/>
          <w:sz w:val="16"/>
          <w:szCs w:val="16"/>
        </w:rPr>
        <w:t>. 2007;26(4):474-482. internal-pdf://188.127.236.2/Williams-2007-Adipose tissue arachidonic acid.pdf.</w:t>
      </w:r>
    </w:p>
    <w:p w14:paraId="46FEB95B"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107. </w:t>
      </w:r>
      <w:r w:rsidRPr="00665066">
        <w:rPr>
          <w:rFonts w:ascii="Arial" w:hAnsi="Arial" w:cs="Arial"/>
          <w:noProof/>
          <w:sz w:val="16"/>
          <w:szCs w:val="16"/>
          <w:lang w:val="es-PE"/>
        </w:rPr>
        <w:tab/>
        <w:t xml:space="preserve">Salas A, Acosta D, Ferri CP, et al. </w:t>
      </w:r>
      <w:r w:rsidRPr="009E0769">
        <w:rPr>
          <w:rFonts w:ascii="Arial" w:hAnsi="Arial" w:cs="Arial"/>
          <w:noProof/>
          <w:sz w:val="16"/>
          <w:szCs w:val="16"/>
        </w:rPr>
        <w:t xml:space="preserve">The prevalence, correlates, detection and control of diabetes among older people in low and middle income countries. A 10/66 dementia research group population-based survey. </w:t>
      </w:r>
      <w:r w:rsidRPr="009E0769">
        <w:rPr>
          <w:rFonts w:ascii="Arial" w:hAnsi="Arial" w:cs="Arial"/>
          <w:i/>
          <w:iCs/>
          <w:noProof/>
          <w:sz w:val="16"/>
          <w:szCs w:val="16"/>
        </w:rPr>
        <w:t>PLoS One</w:t>
      </w:r>
      <w:r w:rsidRPr="009E0769">
        <w:rPr>
          <w:rFonts w:ascii="Arial" w:hAnsi="Arial" w:cs="Arial"/>
          <w:noProof/>
          <w:sz w:val="16"/>
          <w:szCs w:val="16"/>
        </w:rPr>
        <w:t>. 2016;11(2). internal-pdf://0197910618/The prevalence, correlates, detection and cont.PDF.</w:t>
      </w:r>
    </w:p>
    <w:p w14:paraId="3519A59C"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108. </w:t>
      </w:r>
      <w:r w:rsidRPr="009E0769">
        <w:rPr>
          <w:rFonts w:ascii="Arial" w:hAnsi="Arial" w:cs="Arial"/>
          <w:noProof/>
          <w:sz w:val="16"/>
          <w:szCs w:val="16"/>
        </w:rPr>
        <w:tab/>
        <w:t xml:space="preserve">Nordet P, Mendis S, Duenas A, et al. Total cardiovascular risk assessment and management using two prediction tools, with and without blood cholesterol. </w:t>
      </w:r>
      <w:r w:rsidRPr="009E0769">
        <w:rPr>
          <w:rFonts w:ascii="Arial" w:hAnsi="Arial" w:cs="Arial"/>
          <w:i/>
          <w:iCs/>
          <w:noProof/>
          <w:sz w:val="16"/>
          <w:szCs w:val="16"/>
        </w:rPr>
        <w:t>MEDICC Rev</w:t>
      </w:r>
      <w:r w:rsidRPr="009E0769">
        <w:rPr>
          <w:rFonts w:ascii="Arial" w:hAnsi="Arial" w:cs="Arial"/>
          <w:noProof/>
          <w:sz w:val="16"/>
          <w:szCs w:val="16"/>
        </w:rPr>
        <w:t>. 2013;15(4):36-40. internal-pdf://0892588952/Total cardiovascular risk assessment and manag.pdf.</w:t>
      </w:r>
    </w:p>
    <w:p w14:paraId="33F32B70"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109. </w:t>
      </w:r>
      <w:r w:rsidRPr="009E0769">
        <w:rPr>
          <w:rFonts w:ascii="Arial" w:hAnsi="Arial" w:cs="Arial"/>
          <w:noProof/>
          <w:sz w:val="16"/>
          <w:szCs w:val="16"/>
        </w:rPr>
        <w:tab/>
        <w:t xml:space="preserve">Robinson MT, Wilson TW, Nicholson GA, et al. AGT and RH blood group polymorphisms affect blood pressure and lipids in Afro-Caribbeans. </w:t>
      </w:r>
      <w:r w:rsidRPr="009E0769">
        <w:rPr>
          <w:rFonts w:ascii="Arial" w:hAnsi="Arial" w:cs="Arial"/>
          <w:i/>
          <w:iCs/>
          <w:noProof/>
          <w:sz w:val="16"/>
          <w:szCs w:val="16"/>
        </w:rPr>
        <w:t>J Hum Hypertens</w:t>
      </w:r>
      <w:r w:rsidRPr="009E0769">
        <w:rPr>
          <w:rFonts w:ascii="Arial" w:hAnsi="Arial" w:cs="Arial"/>
          <w:noProof/>
          <w:sz w:val="16"/>
          <w:szCs w:val="16"/>
        </w:rPr>
        <w:t>. 2004;18(5):351-363. internal-pdf://201.176.222.102/Robinson-2004-AGT and RH blood group polymorph.pdf.</w:t>
      </w:r>
    </w:p>
    <w:p w14:paraId="12D63265"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110. </w:t>
      </w:r>
      <w:r w:rsidRPr="009E0769">
        <w:rPr>
          <w:rFonts w:ascii="Arial" w:hAnsi="Arial" w:cs="Arial"/>
          <w:noProof/>
          <w:sz w:val="16"/>
          <w:szCs w:val="16"/>
        </w:rPr>
        <w:tab/>
        <w:t>Aono H. Lipoprotein(a) Concentrations in Healthy Subjects in the Dominican Republic. 1999:64-70. file:///C:/Users/Usuario/Downloads/base de datos/71. REP_1993_Aono.pdf.</w:t>
      </w:r>
    </w:p>
    <w:p w14:paraId="3E5803D7"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111. </w:t>
      </w:r>
      <w:r w:rsidRPr="009E0769">
        <w:rPr>
          <w:rFonts w:ascii="Arial" w:hAnsi="Arial" w:cs="Arial"/>
          <w:noProof/>
          <w:sz w:val="16"/>
          <w:szCs w:val="16"/>
        </w:rPr>
        <w:tab/>
        <w:t xml:space="preserve">Dong C, Beecham A, Wang L, et al. Genetic loci for blood lipid levels identified by linkage and association analyses in Caribbean Hispanics. </w:t>
      </w:r>
      <w:r w:rsidRPr="00665066">
        <w:rPr>
          <w:rFonts w:ascii="Arial" w:hAnsi="Arial" w:cs="Arial"/>
          <w:i/>
          <w:iCs/>
          <w:noProof/>
          <w:sz w:val="16"/>
          <w:szCs w:val="16"/>
          <w:lang w:val="es-PE"/>
        </w:rPr>
        <w:t>J Lipid Res</w:t>
      </w:r>
      <w:r w:rsidRPr="00665066">
        <w:rPr>
          <w:rFonts w:ascii="Arial" w:hAnsi="Arial" w:cs="Arial"/>
          <w:noProof/>
          <w:sz w:val="16"/>
          <w:szCs w:val="16"/>
          <w:lang w:val="es-PE"/>
        </w:rPr>
        <w:t>. 2011;52(7):1411-1419. doi:10.1194/jlr.P013672</w:t>
      </w:r>
    </w:p>
    <w:p w14:paraId="51981CF5"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112. </w:t>
      </w:r>
      <w:r w:rsidRPr="00665066">
        <w:rPr>
          <w:rFonts w:ascii="Arial" w:hAnsi="Arial" w:cs="Arial"/>
          <w:noProof/>
          <w:sz w:val="16"/>
          <w:szCs w:val="16"/>
          <w:lang w:val="es-PE"/>
        </w:rPr>
        <w:tab/>
        <w:t xml:space="preserve">Encalada-torres L, Macero R, Tenecela E, Toledo C, Wong S. Transaminasas séricas y síndrome metabólico en adultos mayores de 65 años de la sierra ecuatoriana. </w:t>
      </w:r>
      <w:r w:rsidRPr="00665066">
        <w:rPr>
          <w:rFonts w:ascii="Arial" w:hAnsi="Arial" w:cs="Arial"/>
          <w:i/>
          <w:iCs/>
          <w:noProof/>
          <w:sz w:val="16"/>
          <w:szCs w:val="16"/>
          <w:lang w:val="es-PE"/>
        </w:rPr>
        <w:t>Acta Bioquímica Clínica Latinoam</w:t>
      </w:r>
      <w:r w:rsidRPr="00665066">
        <w:rPr>
          <w:rFonts w:ascii="Arial" w:hAnsi="Arial" w:cs="Arial"/>
          <w:noProof/>
          <w:sz w:val="16"/>
          <w:szCs w:val="16"/>
          <w:lang w:val="es-PE"/>
        </w:rPr>
        <w:t xml:space="preserve">. 2017;51(4):603-608. file:///C:/Users/Usuario/Downloads/base de datos/146. </w:t>
      </w:r>
      <w:r w:rsidRPr="009E0769">
        <w:rPr>
          <w:rFonts w:ascii="Arial" w:hAnsi="Arial" w:cs="Arial"/>
          <w:noProof/>
          <w:sz w:val="16"/>
          <w:szCs w:val="16"/>
        </w:rPr>
        <w:t>ECU_2015_Encalada.pdf.</w:t>
      </w:r>
    </w:p>
    <w:p w14:paraId="539BB247"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113. </w:t>
      </w:r>
      <w:r w:rsidRPr="009E0769">
        <w:rPr>
          <w:rFonts w:ascii="Arial" w:hAnsi="Arial" w:cs="Arial"/>
          <w:noProof/>
          <w:sz w:val="16"/>
          <w:szCs w:val="16"/>
        </w:rPr>
        <w:tab/>
        <w:t xml:space="preserve">Orces CH, Montalvan M, Tettamanti D. Prevalence of abdominal obesity and its association with cardio metabolic risk factors among older adults in Ecuador. </w:t>
      </w:r>
      <w:r w:rsidRPr="009E0769">
        <w:rPr>
          <w:rFonts w:ascii="Arial" w:hAnsi="Arial" w:cs="Arial"/>
          <w:i/>
          <w:iCs/>
          <w:noProof/>
          <w:sz w:val="16"/>
          <w:szCs w:val="16"/>
        </w:rPr>
        <w:t>Diabetes Metab Syndr</w:t>
      </w:r>
      <w:r w:rsidRPr="009E0769">
        <w:rPr>
          <w:rFonts w:ascii="Arial" w:hAnsi="Arial" w:cs="Arial"/>
          <w:noProof/>
          <w:sz w:val="16"/>
          <w:szCs w:val="16"/>
        </w:rPr>
        <w:t>. 2017;11:S727-S733. internal-pdf://78.220.213.250/Prevalence of abdominal obesity and its associ.pdf.</w:t>
      </w:r>
    </w:p>
    <w:p w14:paraId="17132E61"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114. </w:t>
      </w:r>
      <w:r w:rsidRPr="009E0769">
        <w:rPr>
          <w:rFonts w:ascii="Arial" w:hAnsi="Arial" w:cs="Arial"/>
          <w:noProof/>
          <w:sz w:val="16"/>
          <w:szCs w:val="16"/>
        </w:rPr>
        <w:tab/>
        <w:t xml:space="preserve">Sisa I. Gender differences in cardiovascular risk assessment in elderly adults in Ecuador: Evidence from a national survey. </w:t>
      </w:r>
      <w:r w:rsidRPr="00665066">
        <w:rPr>
          <w:rFonts w:ascii="Arial" w:hAnsi="Arial" w:cs="Arial"/>
          <w:i/>
          <w:iCs/>
          <w:noProof/>
          <w:sz w:val="16"/>
          <w:szCs w:val="16"/>
          <w:lang w:val="es-PE"/>
        </w:rPr>
        <w:t>J Investig Med</w:t>
      </w:r>
      <w:r w:rsidRPr="00665066">
        <w:rPr>
          <w:rFonts w:ascii="Arial" w:hAnsi="Arial" w:cs="Arial"/>
          <w:noProof/>
          <w:sz w:val="16"/>
          <w:szCs w:val="16"/>
          <w:lang w:val="es-PE"/>
        </w:rPr>
        <w:t>. 2018. internal-pdf://90.12.228.50/sisa2018.pdf.</w:t>
      </w:r>
    </w:p>
    <w:p w14:paraId="55E6F7E2"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115. </w:t>
      </w:r>
      <w:r w:rsidRPr="00665066">
        <w:rPr>
          <w:rFonts w:ascii="Arial" w:hAnsi="Arial" w:cs="Arial"/>
          <w:noProof/>
          <w:sz w:val="16"/>
          <w:szCs w:val="16"/>
          <w:lang w:val="es-PE"/>
        </w:rPr>
        <w:tab/>
        <w:t xml:space="preserve">Orantes CM, Herrera R, Almaguer M, et al. </w:t>
      </w:r>
      <w:r w:rsidRPr="009E0769">
        <w:rPr>
          <w:rFonts w:ascii="Arial" w:hAnsi="Arial" w:cs="Arial"/>
          <w:noProof/>
          <w:sz w:val="16"/>
          <w:szCs w:val="16"/>
        </w:rPr>
        <w:t xml:space="preserve">Chronic kidney disease and associated risk factors in the Bajo Lempa region of El Salvador: Nefrolempa study, 2009. </w:t>
      </w:r>
      <w:r w:rsidRPr="009E0769">
        <w:rPr>
          <w:rFonts w:ascii="Arial" w:hAnsi="Arial" w:cs="Arial"/>
          <w:i/>
          <w:iCs/>
          <w:noProof/>
          <w:sz w:val="16"/>
          <w:szCs w:val="16"/>
        </w:rPr>
        <w:t>MEDICC Rev</w:t>
      </w:r>
      <w:r w:rsidRPr="009E0769">
        <w:rPr>
          <w:rFonts w:ascii="Arial" w:hAnsi="Arial" w:cs="Arial"/>
          <w:noProof/>
          <w:sz w:val="16"/>
          <w:szCs w:val="16"/>
        </w:rPr>
        <w:t>. 2011;13(4):14-22. internal-pdf://223.255.213.93/Chronic kidney disease and associated risk fac.pdf.</w:t>
      </w:r>
    </w:p>
    <w:p w14:paraId="18C07F3B"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116. </w:t>
      </w:r>
      <w:r w:rsidRPr="009E0769">
        <w:rPr>
          <w:rFonts w:ascii="Arial" w:hAnsi="Arial" w:cs="Arial"/>
          <w:noProof/>
          <w:sz w:val="16"/>
          <w:szCs w:val="16"/>
        </w:rPr>
        <w:tab/>
        <w:t xml:space="preserve">Bansilal S, Vedanthan R, Woodward M, et al. Cardiovascular risk surveillance to develop a nationwide health promotion strategy: The grenada heart project. </w:t>
      </w:r>
      <w:r w:rsidRPr="009E0769">
        <w:rPr>
          <w:rFonts w:ascii="Arial" w:hAnsi="Arial" w:cs="Arial"/>
          <w:i/>
          <w:iCs/>
          <w:noProof/>
          <w:sz w:val="16"/>
          <w:szCs w:val="16"/>
        </w:rPr>
        <w:t>Glob Heart</w:t>
      </w:r>
      <w:r w:rsidRPr="009E0769">
        <w:rPr>
          <w:rFonts w:ascii="Arial" w:hAnsi="Arial" w:cs="Arial"/>
          <w:noProof/>
          <w:sz w:val="16"/>
          <w:szCs w:val="16"/>
        </w:rPr>
        <w:t>. 2012;7(2):87-94. doi:10.1016/j.gheart.2012.06.002</w:t>
      </w:r>
    </w:p>
    <w:p w14:paraId="2BDDC404" w14:textId="77777777" w:rsidR="00665066" w:rsidRPr="0054001C"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117. </w:t>
      </w:r>
      <w:r w:rsidRPr="009E0769">
        <w:rPr>
          <w:rFonts w:ascii="Arial" w:hAnsi="Arial" w:cs="Arial"/>
          <w:noProof/>
          <w:sz w:val="16"/>
          <w:szCs w:val="16"/>
        </w:rPr>
        <w:tab/>
        <w:t xml:space="preserve">Romero Abal ME, Mendoza I, Ramírez I de, et al. </w:t>
      </w:r>
      <w:r w:rsidRPr="00665066">
        <w:rPr>
          <w:rFonts w:ascii="Arial" w:hAnsi="Arial" w:cs="Arial"/>
          <w:noProof/>
          <w:sz w:val="16"/>
          <w:szCs w:val="16"/>
          <w:lang w:val="es-PE"/>
        </w:rPr>
        <w:t xml:space="preserve">Relación entre lípidos plasmáticos y vitaminas liposolubles en anciano peri-urbanos de Guatemala. </w:t>
      </w:r>
      <w:r w:rsidRPr="0054001C">
        <w:rPr>
          <w:rFonts w:ascii="Arial" w:hAnsi="Arial" w:cs="Arial"/>
          <w:i/>
          <w:iCs/>
          <w:noProof/>
          <w:sz w:val="16"/>
          <w:szCs w:val="16"/>
        </w:rPr>
        <w:t>Arch latinoam nutr</w:t>
      </w:r>
      <w:r w:rsidRPr="0054001C">
        <w:rPr>
          <w:rFonts w:ascii="Arial" w:hAnsi="Arial" w:cs="Arial"/>
          <w:noProof/>
          <w:sz w:val="16"/>
          <w:szCs w:val="16"/>
        </w:rPr>
        <w:t>. 1994;44(3):140-144. internal-pdf://105.206.223.174/art-3.pdf.</w:t>
      </w:r>
    </w:p>
    <w:p w14:paraId="75B58F2A"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54001C">
        <w:rPr>
          <w:rFonts w:ascii="Arial" w:hAnsi="Arial" w:cs="Arial"/>
          <w:noProof/>
          <w:sz w:val="16"/>
          <w:szCs w:val="16"/>
        </w:rPr>
        <w:t xml:space="preserve">118. </w:t>
      </w:r>
      <w:r w:rsidRPr="0054001C">
        <w:rPr>
          <w:rFonts w:ascii="Arial" w:hAnsi="Arial" w:cs="Arial"/>
          <w:noProof/>
          <w:sz w:val="16"/>
          <w:szCs w:val="16"/>
        </w:rPr>
        <w:tab/>
      </w:r>
      <w:r w:rsidRPr="009E0769">
        <w:rPr>
          <w:rFonts w:ascii="Arial" w:hAnsi="Arial" w:cs="Arial"/>
          <w:noProof/>
          <w:sz w:val="16"/>
          <w:szCs w:val="16"/>
        </w:rPr>
        <w:t xml:space="preserve">Gregory CO, Martorell R, Venkat Narayan KM, Ramirez-Zea M, Stein AD. Five-year changes in adiposity and cardio-metabolic risk factors among Guatemalan young adults. </w:t>
      </w:r>
      <w:r w:rsidRPr="009E0769">
        <w:rPr>
          <w:rFonts w:ascii="Arial" w:hAnsi="Arial" w:cs="Arial"/>
          <w:i/>
          <w:iCs/>
          <w:noProof/>
          <w:sz w:val="16"/>
          <w:szCs w:val="16"/>
        </w:rPr>
        <w:t>Public Health Nutr</w:t>
      </w:r>
      <w:r w:rsidRPr="009E0769">
        <w:rPr>
          <w:rFonts w:ascii="Arial" w:hAnsi="Arial" w:cs="Arial"/>
          <w:noProof/>
          <w:sz w:val="16"/>
          <w:szCs w:val="16"/>
        </w:rPr>
        <w:t>. 2009;12(2):228-235. https://www.scopus.com/inward/record.uri?eid=2-s2.0-62249171316&amp;doi=10.1017%2FS1368980008003443&amp;partnerID=40&amp;md5=e173976f219854ab4236cabe09d47fef https://www.cambridge.org/core/services/aop-cambridge-core/content/view/D53B27616A5A12B4C096EAED55A38BAD/S136.</w:t>
      </w:r>
    </w:p>
    <w:p w14:paraId="5142238F"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119. </w:t>
      </w:r>
      <w:r w:rsidRPr="009E0769">
        <w:rPr>
          <w:rFonts w:ascii="Arial" w:hAnsi="Arial" w:cs="Arial"/>
          <w:noProof/>
          <w:sz w:val="16"/>
          <w:szCs w:val="16"/>
        </w:rPr>
        <w:tab/>
        <w:t xml:space="preserve">Degennaro V, Malcolm S, Crompton L, et al. Community-based diagnosis of non-communicable diseases and their risk factors in rural and urban Haiti: A cross-sectional prevalence study. </w:t>
      </w:r>
      <w:r w:rsidRPr="00665066">
        <w:rPr>
          <w:rFonts w:ascii="Arial" w:hAnsi="Arial" w:cs="Arial"/>
          <w:i/>
          <w:iCs/>
          <w:noProof/>
          <w:sz w:val="16"/>
          <w:szCs w:val="16"/>
          <w:lang w:val="es-PE"/>
        </w:rPr>
        <w:t>BMJ Open</w:t>
      </w:r>
      <w:r w:rsidRPr="00665066">
        <w:rPr>
          <w:rFonts w:ascii="Arial" w:hAnsi="Arial" w:cs="Arial"/>
          <w:noProof/>
          <w:sz w:val="16"/>
          <w:szCs w:val="16"/>
          <w:lang w:val="es-PE"/>
        </w:rPr>
        <w:t>. 2018;8(4):1-8. doi:10.1136/bmjopen-2017-020317</w:t>
      </w:r>
    </w:p>
    <w:p w14:paraId="715B14F7"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lastRenderedPageBreak/>
        <w:t xml:space="preserve">120. </w:t>
      </w:r>
      <w:r w:rsidRPr="00665066">
        <w:rPr>
          <w:rFonts w:ascii="Arial" w:hAnsi="Arial" w:cs="Arial"/>
          <w:noProof/>
          <w:sz w:val="16"/>
          <w:szCs w:val="16"/>
          <w:lang w:val="es-PE"/>
        </w:rPr>
        <w:tab/>
        <w:t xml:space="preserve">Hall Martínez J, Hall Reyes J, Alvarenga Thiebaud M, Gómez O. Prevalencia de hipertensión arterial en adultos de El Progreso. </w:t>
      </w:r>
      <w:r w:rsidRPr="009E0769">
        <w:rPr>
          <w:rFonts w:ascii="Arial" w:hAnsi="Arial" w:cs="Arial"/>
          <w:i/>
          <w:iCs/>
          <w:noProof/>
          <w:sz w:val="16"/>
          <w:szCs w:val="16"/>
        </w:rPr>
        <w:t>Rev Med Hondur</w:t>
      </w:r>
      <w:r w:rsidRPr="009E0769">
        <w:rPr>
          <w:rFonts w:ascii="Arial" w:hAnsi="Arial" w:cs="Arial"/>
          <w:noProof/>
          <w:sz w:val="16"/>
          <w:szCs w:val="16"/>
        </w:rPr>
        <w:t>. 2005;73(2):60-64.</w:t>
      </w:r>
    </w:p>
    <w:p w14:paraId="4E4036C6"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121. </w:t>
      </w:r>
      <w:r w:rsidRPr="009E0769">
        <w:rPr>
          <w:rFonts w:ascii="Arial" w:hAnsi="Arial" w:cs="Arial"/>
          <w:noProof/>
          <w:sz w:val="16"/>
          <w:szCs w:val="16"/>
        </w:rPr>
        <w:tab/>
        <w:t xml:space="preserve">Ferguson TS, Younger-Coleman NOM, Tulloch-Reid MK, et al. Educational Health Disparities in Cardiovascular Disease Risk Factors: Findings from Jamaica Health and Lifestyle Survey 2007–2008. </w:t>
      </w:r>
      <w:r w:rsidRPr="009E0769">
        <w:rPr>
          <w:rFonts w:ascii="Arial" w:hAnsi="Arial" w:cs="Arial"/>
          <w:i/>
          <w:iCs/>
          <w:noProof/>
          <w:sz w:val="16"/>
          <w:szCs w:val="16"/>
        </w:rPr>
        <w:t>Front Cardiovasc Med</w:t>
      </w:r>
      <w:r w:rsidRPr="009E0769">
        <w:rPr>
          <w:rFonts w:ascii="Arial" w:hAnsi="Arial" w:cs="Arial"/>
          <w:noProof/>
          <w:sz w:val="16"/>
          <w:szCs w:val="16"/>
        </w:rPr>
        <w:t>. 2017;4(May):1-11. doi:10.3389/fcvm.2017.00028</w:t>
      </w:r>
    </w:p>
    <w:p w14:paraId="10822B44"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122. </w:t>
      </w:r>
      <w:r w:rsidRPr="009E0769">
        <w:rPr>
          <w:rFonts w:ascii="Arial" w:hAnsi="Arial" w:cs="Arial"/>
          <w:noProof/>
          <w:sz w:val="16"/>
          <w:szCs w:val="16"/>
        </w:rPr>
        <w:tab/>
      </w:r>
      <w:r w:rsidRPr="0054001C">
        <w:rPr>
          <w:rFonts w:ascii="Arial" w:hAnsi="Arial" w:cs="Arial"/>
          <w:noProof/>
          <w:sz w:val="16"/>
          <w:szCs w:val="16"/>
        </w:rPr>
        <w:t xml:space="preserve">Gupta R, Ejebe K, Butler J, et al. </w:t>
      </w:r>
      <w:r w:rsidRPr="009E0769">
        <w:rPr>
          <w:rFonts w:ascii="Arial" w:hAnsi="Arial" w:cs="Arial"/>
          <w:noProof/>
          <w:sz w:val="16"/>
          <w:szCs w:val="16"/>
        </w:rPr>
        <w:t xml:space="preserve">Association of common DNA sequence variants at 33 genetic loci with blood lipids in individuals of African ancestry from Jamaica. </w:t>
      </w:r>
      <w:r w:rsidRPr="009E0769">
        <w:rPr>
          <w:rFonts w:ascii="Arial" w:hAnsi="Arial" w:cs="Arial"/>
          <w:i/>
          <w:iCs/>
          <w:noProof/>
          <w:sz w:val="16"/>
          <w:szCs w:val="16"/>
        </w:rPr>
        <w:t>Hum Genet</w:t>
      </w:r>
      <w:r w:rsidRPr="009E0769">
        <w:rPr>
          <w:rFonts w:ascii="Arial" w:hAnsi="Arial" w:cs="Arial"/>
          <w:noProof/>
          <w:sz w:val="16"/>
          <w:szCs w:val="16"/>
        </w:rPr>
        <w:t>. 2010;128(5):557-561. http://ovidsp.ovid.com/ovidweb.cgi?T=JS&amp;PAGE=reference&amp;D=med6&amp;NEWS=N&amp;AN=20839009 https://link.springer.com/content/pdf/10.1007%2Fs00439-010-0887-3.pdf.</w:t>
      </w:r>
    </w:p>
    <w:p w14:paraId="6CC2814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123. </w:t>
      </w:r>
      <w:r w:rsidRPr="009E0769">
        <w:rPr>
          <w:rFonts w:ascii="Arial" w:hAnsi="Arial" w:cs="Arial"/>
          <w:noProof/>
          <w:sz w:val="16"/>
          <w:szCs w:val="16"/>
        </w:rPr>
        <w:tab/>
        <w:t xml:space="preserve">Florey C du V, McDonald H, McDonald J, Miall WE. The prevalence of diabetes in a rural population of Jamaican adults. </w:t>
      </w:r>
      <w:r w:rsidRPr="009E0769">
        <w:rPr>
          <w:rFonts w:ascii="Arial" w:hAnsi="Arial" w:cs="Arial"/>
          <w:i/>
          <w:iCs/>
          <w:noProof/>
          <w:sz w:val="16"/>
          <w:szCs w:val="16"/>
        </w:rPr>
        <w:t>Int J Epidemiol</w:t>
      </w:r>
      <w:r w:rsidRPr="009E0769">
        <w:rPr>
          <w:rFonts w:ascii="Arial" w:hAnsi="Arial" w:cs="Arial"/>
          <w:noProof/>
          <w:sz w:val="16"/>
          <w:szCs w:val="16"/>
        </w:rPr>
        <w:t>. 1972;1(2):157-166. http://ovidsp.ovid.com/ovidweb.cgi?T=JS&amp;PAGE=reference&amp;D=med1&amp;NEWS=N&amp;AN=4669190.</w:t>
      </w:r>
    </w:p>
    <w:p w14:paraId="7CE7709D"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124. </w:t>
      </w:r>
      <w:r w:rsidRPr="009E0769">
        <w:rPr>
          <w:rFonts w:ascii="Arial" w:hAnsi="Arial" w:cs="Arial"/>
          <w:noProof/>
          <w:sz w:val="16"/>
          <w:szCs w:val="16"/>
        </w:rPr>
        <w:tab/>
        <w:t xml:space="preserve">Ferguson TS, Younger NOM, Tulloch-Reid MK, et al. Prevalence of prehypertension and its relationship to risk factors for cardiovascular disease in Jamaica: Analysis from a cross-sectional survey. </w:t>
      </w:r>
      <w:r w:rsidRPr="009E0769">
        <w:rPr>
          <w:rFonts w:ascii="Arial" w:hAnsi="Arial" w:cs="Arial"/>
          <w:i/>
          <w:iCs/>
          <w:noProof/>
          <w:sz w:val="16"/>
          <w:szCs w:val="16"/>
        </w:rPr>
        <w:t>BMC Cardiovasc Disord</w:t>
      </w:r>
      <w:r w:rsidRPr="009E0769">
        <w:rPr>
          <w:rFonts w:ascii="Arial" w:hAnsi="Arial" w:cs="Arial"/>
          <w:noProof/>
          <w:sz w:val="16"/>
          <w:szCs w:val="16"/>
        </w:rPr>
        <w:t>. 2008;8:1-9. doi:10.1186/1471-2261-8-20</w:t>
      </w:r>
    </w:p>
    <w:p w14:paraId="55D82ACC"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125. </w:t>
      </w:r>
      <w:r w:rsidRPr="009E0769">
        <w:rPr>
          <w:rFonts w:ascii="Arial" w:hAnsi="Arial" w:cs="Arial"/>
          <w:noProof/>
          <w:sz w:val="16"/>
          <w:szCs w:val="16"/>
        </w:rPr>
        <w:tab/>
        <w:t xml:space="preserve">Ferguson TS, Tulloch-Reid MK, Younger NOM, et al. Prevalence of the metabolic syndrome and its components in relation to socioeconomic status among Jamaican young adults: A cross-sectional study. </w:t>
      </w:r>
      <w:r w:rsidRPr="009E0769">
        <w:rPr>
          <w:rFonts w:ascii="Arial" w:hAnsi="Arial" w:cs="Arial"/>
          <w:i/>
          <w:iCs/>
          <w:noProof/>
          <w:sz w:val="16"/>
          <w:szCs w:val="16"/>
        </w:rPr>
        <w:t>BMC Public Health</w:t>
      </w:r>
      <w:r w:rsidRPr="009E0769">
        <w:rPr>
          <w:rFonts w:ascii="Arial" w:hAnsi="Arial" w:cs="Arial"/>
          <w:noProof/>
          <w:sz w:val="16"/>
          <w:szCs w:val="16"/>
        </w:rPr>
        <w:t>. 2010;10. doi:10.1186/1471-2458-10-307</w:t>
      </w:r>
    </w:p>
    <w:p w14:paraId="60EEC660"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126. </w:t>
      </w:r>
      <w:r w:rsidRPr="009E0769">
        <w:rPr>
          <w:rFonts w:ascii="Arial" w:hAnsi="Arial" w:cs="Arial"/>
          <w:noProof/>
          <w:sz w:val="16"/>
          <w:szCs w:val="16"/>
        </w:rPr>
        <w:tab/>
        <w:t xml:space="preserve">Tulloch-Reid MK, Younger NO, Ferguson TS, et al. Excess Cardiovascular Risk Burden in Jamaican Women Does Not Influence Predicted 10-Year CVD Risk Profiles of Jamaica Adults: An Analysis of the 2007/08 Jamaica Health and Lifestyle Survey. </w:t>
      </w:r>
      <w:r w:rsidRPr="009E0769">
        <w:rPr>
          <w:rFonts w:ascii="Arial" w:hAnsi="Arial" w:cs="Arial"/>
          <w:i/>
          <w:iCs/>
          <w:noProof/>
          <w:sz w:val="16"/>
          <w:szCs w:val="16"/>
        </w:rPr>
        <w:t>PLoS One</w:t>
      </w:r>
      <w:r w:rsidRPr="009E0769">
        <w:rPr>
          <w:rFonts w:ascii="Arial" w:hAnsi="Arial" w:cs="Arial"/>
          <w:noProof/>
          <w:sz w:val="16"/>
          <w:szCs w:val="16"/>
        </w:rPr>
        <w:t>. 2013;8(6):e66625. internal-pdf://145.3.230.210/Tulloch-Reid-2013-Excess Cardiovascular Risk B.pdf.</w:t>
      </w:r>
    </w:p>
    <w:p w14:paraId="433D2ACA"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127. </w:t>
      </w:r>
      <w:r w:rsidRPr="009E0769">
        <w:rPr>
          <w:rFonts w:ascii="Arial" w:hAnsi="Arial" w:cs="Arial"/>
          <w:noProof/>
          <w:sz w:val="16"/>
          <w:szCs w:val="16"/>
        </w:rPr>
        <w:tab/>
        <w:t xml:space="preserve">Stringhini S, Forrester TE, Plange-Rhule J, et al. The social patterning of risk factors for noncommunicable diseases in five countries: evidence from the modeling the epidemiologic transition study (METS). </w:t>
      </w:r>
      <w:r w:rsidRPr="009E0769">
        <w:rPr>
          <w:rFonts w:ascii="Arial" w:hAnsi="Arial" w:cs="Arial"/>
          <w:i/>
          <w:iCs/>
          <w:noProof/>
          <w:sz w:val="16"/>
          <w:szCs w:val="16"/>
        </w:rPr>
        <w:t>BMC Public Health</w:t>
      </w:r>
      <w:r w:rsidRPr="009E0769">
        <w:rPr>
          <w:rFonts w:ascii="Arial" w:hAnsi="Arial" w:cs="Arial"/>
          <w:noProof/>
          <w:sz w:val="16"/>
          <w:szCs w:val="16"/>
        </w:rPr>
        <w:t>. 2016;16:956. internal-pdf://0638182685/Stringhini-2016-The social patterning of risk.pdf.</w:t>
      </w:r>
    </w:p>
    <w:p w14:paraId="1C9F6007"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128. </w:t>
      </w:r>
      <w:r w:rsidRPr="009E0769">
        <w:rPr>
          <w:rFonts w:ascii="Arial" w:hAnsi="Arial" w:cs="Arial"/>
          <w:noProof/>
          <w:sz w:val="16"/>
          <w:szCs w:val="16"/>
        </w:rPr>
        <w:tab/>
        <w:t xml:space="preserve">Ramírez-López E, Grijalva-Haro MI, Valencia ME, Ponce JA, Artalejo E. Effect of a School Breakfast Program on the prevalence of obesity and cardiovascular risk factors in children. </w:t>
      </w:r>
      <w:r w:rsidRPr="009E0769">
        <w:rPr>
          <w:rFonts w:ascii="Arial" w:hAnsi="Arial" w:cs="Arial"/>
          <w:i/>
          <w:iCs/>
          <w:noProof/>
          <w:sz w:val="16"/>
          <w:szCs w:val="16"/>
        </w:rPr>
        <w:t>Salud Publica Mex</w:t>
      </w:r>
      <w:r w:rsidRPr="009E0769">
        <w:rPr>
          <w:rFonts w:ascii="Arial" w:hAnsi="Arial" w:cs="Arial"/>
          <w:noProof/>
          <w:sz w:val="16"/>
          <w:szCs w:val="16"/>
        </w:rPr>
        <w:t>. 2005;47(2):126-133. internal-pdf://125.53.220.239/Effect of a School Breakfast Program on the pr.pdf.</w:t>
      </w:r>
    </w:p>
    <w:p w14:paraId="29339B73"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129. </w:t>
      </w:r>
      <w:r w:rsidRPr="009E0769">
        <w:rPr>
          <w:rFonts w:ascii="Arial" w:hAnsi="Arial" w:cs="Arial"/>
          <w:noProof/>
          <w:sz w:val="16"/>
          <w:szCs w:val="16"/>
        </w:rPr>
        <w:tab/>
        <w:t xml:space="preserve">Rosas-Saucedo J, San Roman-Torres S, Eguia A, Rosas-Guzman J. Prevalence of metabolic syndrome in the city of Celaya, Mexico. </w:t>
      </w:r>
      <w:r w:rsidRPr="009E0769">
        <w:rPr>
          <w:rFonts w:ascii="Arial" w:hAnsi="Arial" w:cs="Arial"/>
          <w:i/>
          <w:iCs/>
          <w:noProof/>
          <w:sz w:val="16"/>
          <w:szCs w:val="16"/>
        </w:rPr>
        <w:t>Can J Diabetes</w:t>
      </w:r>
      <w:r w:rsidRPr="009E0769">
        <w:rPr>
          <w:rFonts w:ascii="Arial" w:hAnsi="Arial" w:cs="Arial"/>
          <w:noProof/>
          <w:sz w:val="16"/>
          <w:szCs w:val="16"/>
        </w:rPr>
        <w:t>. 2009;33(3):309. internal-pdf://160.253.223.205/Prevalence of metabolic syndrome in the city o.pdf.</w:t>
      </w:r>
    </w:p>
    <w:p w14:paraId="3BDF5961" w14:textId="77777777" w:rsidR="00665066" w:rsidRPr="0054001C"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130. </w:t>
      </w:r>
      <w:r w:rsidRPr="00665066">
        <w:rPr>
          <w:rFonts w:ascii="Arial" w:hAnsi="Arial" w:cs="Arial"/>
          <w:noProof/>
          <w:sz w:val="16"/>
          <w:szCs w:val="16"/>
          <w:lang w:val="es-PE"/>
        </w:rPr>
        <w:tab/>
        <w:t xml:space="preserve">Sanchez-Corona J, Flores-Martinez SE, Machorro-Lazo M V, et al. </w:t>
      </w:r>
      <w:r w:rsidRPr="009E0769">
        <w:rPr>
          <w:rFonts w:ascii="Arial" w:hAnsi="Arial" w:cs="Arial"/>
          <w:noProof/>
          <w:sz w:val="16"/>
          <w:szCs w:val="16"/>
        </w:rPr>
        <w:t xml:space="preserve">Polymorphisms in candidate genes for type 2 diabetes mellitus in a Mexican population with metabolic syndrome findings. </w:t>
      </w:r>
      <w:r w:rsidRPr="009E0769">
        <w:rPr>
          <w:rFonts w:ascii="Arial" w:hAnsi="Arial" w:cs="Arial"/>
          <w:i/>
          <w:iCs/>
          <w:noProof/>
          <w:sz w:val="16"/>
          <w:szCs w:val="16"/>
        </w:rPr>
        <w:t>Diabetes Res Clin Pract</w:t>
      </w:r>
      <w:r w:rsidRPr="009E0769">
        <w:rPr>
          <w:rFonts w:ascii="Arial" w:hAnsi="Arial" w:cs="Arial"/>
          <w:noProof/>
          <w:sz w:val="16"/>
          <w:szCs w:val="16"/>
        </w:rPr>
        <w:t xml:space="preserve">. </w:t>
      </w:r>
      <w:r w:rsidRPr="0054001C">
        <w:rPr>
          <w:rFonts w:ascii="Arial" w:hAnsi="Arial" w:cs="Arial"/>
          <w:noProof/>
          <w:sz w:val="16"/>
          <w:szCs w:val="16"/>
        </w:rPr>
        <w:t>2004;63(1):47-55. internal-pdf://87.85.225.209/Sanchez-Corona-2004-Polymorphisms in candidate.pdf.</w:t>
      </w:r>
    </w:p>
    <w:p w14:paraId="0274A679"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131. </w:t>
      </w:r>
      <w:r w:rsidRPr="00665066">
        <w:rPr>
          <w:rFonts w:ascii="Arial" w:hAnsi="Arial" w:cs="Arial"/>
          <w:noProof/>
          <w:sz w:val="16"/>
          <w:szCs w:val="16"/>
          <w:lang w:val="es-PE"/>
        </w:rPr>
        <w:tab/>
        <w:t xml:space="preserve">Aguilar-Salinas CA, Rojas R, Gómez-Pérez FJ. </w:t>
      </w:r>
      <w:r w:rsidRPr="009E0769">
        <w:rPr>
          <w:rFonts w:ascii="Arial" w:hAnsi="Arial" w:cs="Arial"/>
          <w:noProof/>
          <w:sz w:val="16"/>
          <w:szCs w:val="16"/>
        </w:rPr>
        <w:t xml:space="preserve">Prevalence and Characteristics of Early-Onset Type 2 Diabetes in Mexico. </w:t>
      </w:r>
      <w:r w:rsidRPr="009E0769">
        <w:rPr>
          <w:rFonts w:ascii="Arial" w:hAnsi="Arial" w:cs="Arial"/>
          <w:i/>
          <w:iCs/>
          <w:noProof/>
          <w:sz w:val="16"/>
          <w:szCs w:val="16"/>
        </w:rPr>
        <w:t>Am J Med</w:t>
      </w:r>
      <w:r w:rsidRPr="009E0769">
        <w:rPr>
          <w:rFonts w:ascii="Arial" w:hAnsi="Arial" w:cs="Arial"/>
          <w:noProof/>
          <w:sz w:val="16"/>
          <w:szCs w:val="16"/>
        </w:rPr>
        <w:t xml:space="preserve">. 2002;113(02):569-574. file:///C:/Users/Usuario/Downloads/base de datos/98. </w:t>
      </w:r>
      <w:r w:rsidRPr="00665066">
        <w:rPr>
          <w:rFonts w:ascii="Arial" w:hAnsi="Arial" w:cs="Arial"/>
          <w:noProof/>
          <w:sz w:val="16"/>
          <w:szCs w:val="16"/>
          <w:lang w:val="es-PE"/>
        </w:rPr>
        <w:t>MEX_1993_Aguilar.pdf.</w:t>
      </w:r>
    </w:p>
    <w:p w14:paraId="50232754"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132. </w:t>
      </w:r>
      <w:r w:rsidRPr="00665066">
        <w:rPr>
          <w:rFonts w:ascii="Arial" w:hAnsi="Arial" w:cs="Arial"/>
          <w:noProof/>
          <w:sz w:val="16"/>
          <w:szCs w:val="16"/>
          <w:lang w:val="es-PE"/>
        </w:rPr>
        <w:tab/>
        <w:t xml:space="preserve">Aguilar-Salinas CA, Canizales-Quinteros S, Rojas-Martínez R, et al. </w:t>
      </w:r>
      <w:r w:rsidRPr="009E0769">
        <w:rPr>
          <w:rFonts w:ascii="Arial" w:hAnsi="Arial" w:cs="Arial"/>
          <w:noProof/>
          <w:sz w:val="16"/>
          <w:szCs w:val="16"/>
        </w:rPr>
        <w:t xml:space="preserve">The non-synonymous Arg230Cys variant (R230C) of the ATP-binding cassette transporter A1 is associated with low HDL cholesterol concentrations in Mexican adults: A population based nation wide study. </w:t>
      </w:r>
      <w:r w:rsidRPr="00665066">
        <w:rPr>
          <w:rFonts w:ascii="Arial" w:hAnsi="Arial" w:cs="Arial"/>
          <w:i/>
          <w:iCs/>
          <w:noProof/>
          <w:sz w:val="16"/>
          <w:szCs w:val="16"/>
          <w:lang w:val="es-PE"/>
        </w:rPr>
        <w:t>Atherosclerosis</w:t>
      </w:r>
      <w:r w:rsidRPr="00665066">
        <w:rPr>
          <w:rFonts w:ascii="Arial" w:hAnsi="Arial" w:cs="Arial"/>
          <w:noProof/>
          <w:sz w:val="16"/>
          <w:szCs w:val="16"/>
          <w:lang w:val="es-PE"/>
        </w:rPr>
        <w:t>. 2011;216(1):146-150. doi:10.1016/j.atherosclerosis.2010.10.049</w:t>
      </w:r>
    </w:p>
    <w:p w14:paraId="6FA8A445"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133. </w:t>
      </w:r>
      <w:r w:rsidRPr="00665066">
        <w:rPr>
          <w:rFonts w:ascii="Arial" w:hAnsi="Arial" w:cs="Arial"/>
          <w:noProof/>
          <w:sz w:val="16"/>
          <w:szCs w:val="16"/>
          <w:lang w:val="es-PE"/>
        </w:rPr>
        <w:tab/>
        <w:t xml:space="preserve">Escobedo-de la Peña J, de Jesús-Pérez R, Schargrodsky H, Champagne B. Prevalencia de dislipidemias en la ciudad de México y su asociación con otros factores de riesgo cardiovascular. Resultados del estudio CARMELA. </w:t>
      </w:r>
      <w:r w:rsidRPr="00665066">
        <w:rPr>
          <w:rFonts w:ascii="Arial" w:hAnsi="Arial" w:cs="Arial"/>
          <w:i/>
          <w:iCs/>
          <w:noProof/>
          <w:sz w:val="16"/>
          <w:szCs w:val="16"/>
          <w:lang w:val="es-PE"/>
        </w:rPr>
        <w:t>Gac Med Mex</w:t>
      </w:r>
      <w:r w:rsidRPr="00665066">
        <w:rPr>
          <w:rFonts w:ascii="Arial" w:hAnsi="Arial" w:cs="Arial"/>
          <w:noProof/>
          <w:sz w:val="16"/>
          <w:szCs w:val="16"/>
          <w:lang w:val="es-PE"/>
        </w:rPr>
        <w:t>. 2014;150(2):128-136. file:///C:/Users/Usuario/Downloads/base de datos/105. MEX_2004_Escobedo.pdf.</w:t>
      </w:r>
    </w:p>
    <w:p w14:paraId="33B2EB58"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134. </w:t>
      </w:r>
      <w:r w:rsidRPr="00665066">
        <w:rPr>
          <w:rFonts w:ascii="Arial" w:hAnsi="Arial" w:cs="Arial"/>
          <w:noProof/>
          <w:sz w:val="16"/>
          <w:szCs w:val="16"/>
          <w:lang w:val="es-PE"/>
        </w:rPr>
        <w:tab/>
        <w:t xml:space="preserve">Echavarría-Pinto M, Hernández-Lomelí A. Síndrome metabólico en adultos de 20 a 40 años en comunidad rural mexicana. </w:t>
      </w:r>
      <w:r w:rsidRPr="009E0769">
        <w:rPr>
          <w:rFonts w:ascii="Arial" w:hAnsi="Arial" w:cs="Arial"/>
          <w:i/>
          <w:iCs/>
          <w:noProof/>
          <w:sz w:val="16"/>
          <w:szCs w:val="16"/>
        </w:rPr>
        <w:t>Rev Med Inst Mex Seguro</w:t>
      </w:r>
      <w:r w:rsidRPr="009E0769">
        <w:rPr>
          <w:rFonts w:ascii="Arial" w:hAnsi="Arial" w:cs="Arial"/>
          <w:noProof/>
          <w:sz w:val="16"/>
          <w:szCs w:val="16"/>
        </w:rPr>
        <w:t>. 2006;44(4):329-335. file:///C:/Users/Usuario/Downloads/base de datos/79. MEX_2005_Echavarria.pdf.</w:t>
      </w:r>
    </w:p>
    <w:p w14:paraId="71FB679B"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135. </w:t>
      </w:r>
      <w:r w:rsidRPr="009E0769">
        <w:rPr>
          <w:rFonts w:ascii="Arial" w:hAnsi="Arial" w:cs="Arial"/>
          <w:noProof/>
          <w:sz w:val="16"/>
          <w:szCs w:val="16"/>
        </w:rPr>
        <w:tab/>
        <w:t xml:space="preserve">Rodriguez-Moran M, Guerrero-Romero F. The parental phenotype of diabetes, but not of essential hypertension, is linked to the development of metabolic syndrome in Mexican individuals. </w:t>
      </w:r>
      <w:r w:rsidRPr="009E0769">
        <w:rPr>
          <w:rFonts w:ascii="Arial" w:hAnsi="Arial" w:cs="Arial"/>
          <w:i/>
          <w:iCs/>
          <w:noProof/>
          <w:sz w:val="16"/>
          <w:szCs w:val="16"/>
        </w:rPr>
        <w:t>Acta Diabetol</w:t>
      </w:r>
      <w:r w:rsidRPr="009E0769">
        <w:rPr>
          <w:rFonts w:ascii="Arial" w:hAnsi="Arial" w:cs="Arial"/>
          <w:noProof/>
          <w:sz w:val="16"/>
          <w:szCs w:val="16"/>
        </w:rPr>
        <w:t>. 2001;38(2):87-91. internal-pdf://150.251.222.149/The parental phenotype of diabetes, but not of.pdf.</w:t>
      </w:r>
    </w:p>
    <w:p w14:paraId="54C2A0F0"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lastRenderedPageBreak/>
        <w:t xml:space="preserve">136. </w:t>
      </w:r>
      <w:r w:rsidRPr="00665066">
        <w:rPr>
          <w:rFonts w:ascii="Arial" w:hAnsi="Arial" w:cs="Arial"/>
          <w:noProof/>
          <w:sz w:val="16"/>
          <w:szCs w:val="16"/>
          <w:lang w:val="es-PE"/>
        </w:rPr>
        <w:tab/>
        <w:t xml:space="preserve">Rodriguez-Ramirez M, Simental-Mendia LE, Gonzalez-Ortiz M, et al. </w:t>
      </w:r>
      <w:r w:rsidRPr="009E0769">
        <w:rPr>
          <w:rFonts w:ascii="Arial" w:hAnsi="Arial" w:cs="Arial"/>
          <w:noProof/>
          <w:sz w:val="16"/>
          <w:szCs w:val="16"/>
        </w:rPr>
        <w:t xml:space="preserve">Prevalence of Prehypertension in Mexico and Its Association With Hypomagnesemia. </w:t>
      </w:r>
      <w:r w:rsidRPr="009E0769">
        <w:rPr>
          <w:rFonts w:ascii="Arial" w:hAnsi="Arial" w:cs="Arial"/>
          <w:i/>
          <w:iCs/>
          <w:noProof/>
          <w:sz w:val="16"/>
          <w:szCs w:val="16"/>
        </w:rPr>
        <w:t>Am J Hypertens</w:t>
      </w:r>
      <w:r w:rsidRPr="009E0769">
        <w:rPr>
          <w:rFonts w:ascii="Arial" w:hAnsi="Arial" w:cs="Arial"/>
          <w:noProof/>
          <w:sz w:val="16"/>
          <w:szCs w:val="16"/>
        </w:rPr>
        <w:t>. 2015;28(8):1024-1030. internal-pdf://157.173.223.18/Rodriguez-Ramir-2015-Prevalence of Prehyperten.pdf.</w:t>
      </w:r>
    </w:p>
    <w:p w14:paraId="49A50C4D"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137. </w:t>
      </w:r>
      <w:r w:rsidRPr="009E0769">
        <w:rPr>
          <w:rFonts w:ascii="Arial" w:hAnsi="Arial" w:cs="Arial"/>
          <w:noProof/>
          <w:sz w:val="16"/>
          <w:szCs w:val="16"/>
        </w:rPr>
        <w:tab/>
        <w:t xml:space="preserve">Posadas-Romero C, Tapia-Conyer R, Lerman-Garber I, et al. Cholesterol levels and prevalence of hypercholesterolemia in a Mexican adult population. </w:t>
      </w:r>
      <w:r w:rsidRPr="009E0769">
        <w:rPr>
          <w:rFonts w:ascii="Arial" w:hAnsi="Arial" w:cs="Arial"/>
          <w:i/>
          <w:iCs/>
          <w:noProof/>
          <w:sz w:val="16"/>
          <w:szCs w:val="16"/>
        </w:rPr>
        <w:t>Atherosclerosis</w:t>
      </w:r>
      <w:r w:rsidRPr="009E0769">
        <w:rPr>
          <w:rFonts w:ascii="Arial" w:hAnsi="Arial" w:cs="Arial"/>
          <w:noProof/>
          <w:sz w:val="16"/>
          <w:szCs w:val="16"/>
        </w:rPr>
        <w:t>. 1995;118(2):275-284. internal-pdf://209.143.218.110/Posadas-Romero-1995-Cholesterol levels and pre.pdf.</w:t>
      </w:r>
    </w:p>
    <w:p w14:paraId="5BD5BC24"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138. </w:t>
      </w:r>
      <w:r w:rsidRPr="009E0769">
        <w:rPr>
          <w:rFonts w:ascii="Arial" w:hAnsi="Arial" w:cs="Arial"/>
          <w:noProof/>
          <w:sz w:val="16"/>
          <w:szCs w:val="16"/>
        </w:rPr>
        <w:tab/>
        <w:t xml:space="preserve">Valdez R, o C, Mitchell BD, Haffner SM, Stern MP. Differential impact of obesity in related populations. </w:t>
      </w:r>
      <w:r w:rsidRPr="009E0769">
        <w:rPr>
          <w:rFonts w:ascii="Arial" w:hAnsi="Arial" w:cs="Arial"/>
          <w:i/>
          <w:iCs/>
          <w:noProof/>
          <w:sz w:val="16"/>
          <w:szCs w:val="16"/>
        </w:rPr>
        <w:t>Obes Res</w:t>
      </w:r>
      <w:r w:rsidRPr="009E0769">
        <w:rPr>
          <w:rFonts w:ascii="Arial" w:hAnsi="Arial" w:cs="Arial"/>
          <w:noProof/>
          <w:sz w:val="16"/>
          <w:szCs w:val="16"/>
        </w:rPr>
        <w:t>. 1995;3:223s-232s. internal-pdf://206.213.233.130/Differential impact of obesity in related popu.pdf.</w:t>
      </w:r>
    </w:p>
    <w:p w14:paraId="319F8693"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139. </w:t>
      </w:r>
      <w:r w:rsidRPr="009E0769">
        <w:rPr>
          <w:rFonts w:ascii="Arial" w:hAnsi="Arial" w:cs="Arial"/>
          <w:noProof/>
          <w:sz w:val="16"/>
          <w:szCs w:val="16"/>
        </w:rPr>
        <w:tab/>
        <w:t xml:space="preserve">Kumar A, Wong R, Ottenbacher KJ, Al Snih S. Prediabetes, undiagnosed diabetes, and diabetes among Mexican adults: findings from the Mexican Health and Aging Study. </w:t>
      </w:r>
      <w:r w:rsidRPr="00665066">
        <w:rPr>
          <w:rFonts w:ascii="Arial" w:hAnsi="Arial" w:cs="Arial"/>
          <w:i/>
          <w:iCs/>
          <w:noProof/>
          <w:sz w:val="16"/>
          <w:szCs w:val="16"/>
          <w:lang w:val="es-PE"/>
        </w:rPr>
        <w:t>Ann Epidemiol</w:t>
      </w:r>
      <w:r w:rsidRPr="00665066">
        <w:rPr>
          <w:rFonts w:ascii="Arial" w:hAnsi="Arial" w:cs="Arial"/>
          <w:noProof/>
          <w:sz w:val="16"/>
          <w:szCs w:val="16"/>
          <w:lang w:val="es-PE"/>
        </w:rPr>
        <w:t>. 2016;26(3):163-170. http://ovidsp.ovid.com/ovidweb.cgi?T=JS&amp;PAGE=reference&amp;D=med8&amp;NEWS=N&amp;AN=26872919 https://ac.els-cdn.com/S1047279716300035/1-s2.0-S1047279716300035-main.pdf?_tid=5202f681-c193-476e-8f61-fbe8fbf1791c&amp;acdnat=1551036791_2b369406c735573fbd20e5c980e98017.</w:t>
      </w:r>
    </w:p>
    <w:p w14:paraId="4FFA728B"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140. </w:t>
      </w:r>
      <w:r w:rsidRPr="00665066">
        <w:rPr>
          <w:rFonts w:ascii="Arial" w:hAnsi="Arial" w:cs="Arial"/>
          <w:noProof/>
          <w:sz w:val="16"/>
          <w:szCs w:val="16"/>
          <w:lang w:val="es-PE"/>
        </w:rPr>
        <w:tab/>
        <w:t xml:space="preserve">Hern, ez ME, Morales-Romero J, et al. </w:t>
      </w:r>
      <w:r w:rsidRPr="009E0769">
        <w:rPr>
          <w:rFonts w:ascii="Arial" w:hAnsi="Arial" w:cs="Arial"/>
          <w:noProof/>
          <w:sz w:val="16"/>
          <w:szCs w:val="16"/>
        </w:rPr>
        <w:t xml:space="preserve">Association of Urinary Activity of MMP-2 with Microalbuminuria in an Isolated Sample of Subjects Living in High Altitude Rural Locations in Mexico. </w:t>
      </w:r>
      <w:r w:rsidRPr="009E0769">
        <w:rPr>
          <w:rFonts w:ascii="Arial" w:hAnsi="Arial" w:cs="Arial"/>
          <w:i/>
          <w:iCs/>
          <w:noProof/>
          <w:sz w:val="16"/>
          <w:szCs w:val="16"/>
        </w:rPr>
        <w:t>High Alt Med Biol</w:t>
      </w:r>
      <w:r w:rsidRPr="009E0769">
        <w:rPr>
          <w:rFonts w:ascii="Arial" w:hAnsi="Arial" w:cs="Arial"/>
          <w:noProof/>
          <w:sz w:val="16"/>
          <w:szCs w:val="16"/>
        </w:rPr>
        <w:t>. 2017;18(3):209-218. http://ovidsp.ovid.com/ovidweb.cgi?T=JS&amp;PAGE=reference&amp;D=medl&amp;NEWS=N&amp;AN=28459597.</w:t>
      </w:r>
    </w:p>
    <w:p w14:paraId="560920BA" w14:textId="77777777" w:rsidR="00665066" w:rsidRPr="0054001C"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141. </w:t>
      </w:r>
      <w:r w:rsidRPr="00665066">
        <w:rPr>
          <w:rFonts w:ascii="Arial" w:hAnsi="Arial" w:cs="Arial"/>
          <w:noProof/>
          <w:sz w:val="16"/>
          <w:szCs w:val="16"/>
          <w:lang w:val="es-PE"/>
        </w:rPr>
        <w:tab/>
        <w:t xml:space="preserve">Posadas-Romero C, Yamamoto-Kimura L, Lerman-Garber I, et al. </w:t>
      </w:r>
      <w:r w:rsidRPr="009E0769">
        <w:rPr>
          <w:rFonts w:ascii="Arial" w:hAnsi="Arial" w:cs="Arial"/>
          <w:noProof/>
          <w:sz w:val="16"/>
          <w:szCs w:val="16"/>
        </w:rPr>
        <w:t xml:space="preserve">The prevalence of NIDDM and associated coronary risk factors in Mexico City. </w:t>
      </w:r>
      <w:r w:rsidRPr="0054001C">
        <w:rPr>
          <w:rFonts w:ascii="Arial" w:hAnsi="Arial" w:cs="Arial"/>
          <w:i/>
          <w:iCs/>
          <w:noProof/>
          <w:sz w:val="16"/>
          <w:szCs w:val="16"/>
          <w:lang w:val="es-PE"/>
        </w:rPr>
        <w:t>Diabetes Care</w:t>
      </w:r>
      <w:r w:rsidRPr="0054001C">
        <w:rPr>
          <w:rFonts w:ascii="Arial" w:hAnsi="Arial" w:cs="Arial"/>
          <w:noProof/>
          <w:sz w:val="16"/>
          <w:szCs w:val="16"/>
          <w:lang w:val="es-PE"/>
        </w:rPr>
        <w:t>. 1994;17(12):1441-1448. internal-pdf://134.106.218.188/posadas-romero1994.pdf.</w:t>
      </w:r>
    </w:p>
    <w:p w14:paraId="37395E6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142. </w:t>
      </w:r>
      <w:r w:rsidRPr="00665066">
        <w:rPr>
          <w:rFonts w:ascii="Arial" w:hAnsi="Arial" w:cs="Arial"/>
          <w:noProof/>
          <w:sz w:val="16"/>
          <w:szCs w:val="16"/>
          <w:lang w:val="es-PE"/>
        </w:rPr>
        <w:tab/>
        <w:t xml:space="preserve">Aguilar CA, Talavera G, Ordovas JM, et al. </w:t>
      </w:r>
      <w:r w:rsidRPr="009E0769">
        <w:rPr>
          <w:rFonts w:ascii="Arial" w:hAnsi="Arial" w:cs="Arial"/>
          <w:noProof/>
          <w:sz w:val="16"/>
          <w:szCs w:val="16"/>
        </w:rPr>
        <w:t xml:space="preserve">The apolipoprotein E4 allele is not associated with an abnormal lipid profile in a Native American population following its traditional lifestyle. </w:t>
      </w:r>
      <w:r w:rsidRPr="009E0769">
        <w:rPr>
          <w:rFonts w:ascii="Arial" w:hAnsi="Arial" w:cs="Arial"/>
          <w:i/>
          <w:iCs/>
          <w:noProof/>
          <w:sz w:val="16"/>
          <w:szCs w:val="16"/>
        </w:rPr>
        <w:t>Atherosclerosis</w:t>
      </w:r>
      <w:r w:rsidRPr="009E0769">
        <w:rPr>
          <w:rFonts w:ascii="Arial" w:hAnsi="Arial" w:cs="Arial"/>
          <w:noProof/>
          <w:sz w:val="16"/>
          <w:szCs w:val="16"/>
        </w:rPr>
        <w:t>. 1999;142(2):409-414. doi:10.1016/S0021-9150(98)00251-2</w:t>
      </w:r>
    </w:p>
    <w:p w14:paraId="2EE87A27"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143. </w:t>
      </w:r>
      <w:r w:rsidRPr="009E0769">
        <w:rPr>
          <w:rFonts w:ascii="Arial" w:hAnsi="Arial" w:cs="Arial"/>
          <w:noProof/>
          <w:sz w:val="16"/>
          <w:szCs w:val="16"/>
        </w:rPr>
        <w:tab/>
        <w:t xml:space="preserve">Ferrannini E, Massari M, Nannipieri M, Natali A, Lopez Ridaura R, Gonzales-Villalpando C. Plasma glucose levels as predictors of diabetes: The Mexico City diabetes study. </w:t>
      </w:r>
      <w:r w:rsidRPr="009E0769">
        <w:rPr>
          <w:rFonts w:ascii="Arial" w:hAnsi="Arial" w:cs="Arial"/>
          <w:i/>
          <w:iCs/>
          <w:noProof/>
          <w:sz w:val="16"/>
          <w:szCs w:val="16"/>
        </w:rPr>
        <w:t>Diabetologia</w:t>
      </w:r>
      <w:r w:rsidRPr="009E0769">
        <w:rPr>
          <w:rFonts w:ascii="Arial" w:hAnsi="Arial" w:cs="Arial"/>
          <w:noProof/>
          <w:sz w:val="16"/>
          <w:szCs w:val="16"/>
        </w:rPr>
        <w:t>. 2009;52(5):818-824. doi:10.1007/s00125-009-1289-8</w:t>
      </w:r>
    </w:p>
    <w:p w14:paraId="27A2FBF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144. </w:t>
      </w:r>
      <w:r w:rsidRPr="009E0769">
        <w:rPr>
          <w:rFonts w:ascii="Arial" w:hAnsi="Arial" w:cs="Arial"/>
          <w:noProof/>
          <w:sz w:val="16"/>
          <w:szCs w:val="16"/>
        </w:rPr>
        <w:tab/>
        <w:t xml:space="preserve">Aguilar-Salinas CA, Gómez-Pérez FJ, Rull J, Villalpando S, Barquera S, Rojas R. Prevalence of dyslipidemias in the Mexican National Health and Nutrition Survey 2006. </w:t>
      </w:r>
      <w:r w:rsidRPr="009E0769">
        <w:rPr>
          <w:rFonts w:ascii="Arial" w:hAnsi="Arial" w:cs="Arial"/>
          <w:i/>
          <w:iCs/>
          <w:noProof/>
          <w:sz w:val="16"/>
          <w:szCs w:val="16"/>
        </w:rPr>
        <w:t>Salud Publica Mex</w:t>
      </w:r>
      <w:r w:rsidRPr="009E0769">
        <w:rPr>
          <w:rFonts w:ascii="Arial" w:hAnsi="Arial" w:cs="Arial"/>
          <w:noProof/>
          <w:sz w:val="16"/>
          <w:szCs w:val="16"/>
        </w:rPr>
        <w:t>. 2010;52(2):S44-S53. doi:10.1590/s0036-36342010000700008</w:t>
      </w:r>
    </w:p>
    <w:p w14:paraId="32AA003D"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145. </w:t>
      </w:r>
      <w:r w:rsidRPr="009E0769">
        <w:rPr>
          <w:rFonts w:ascii="Arial" w:hAnsi="Arial" w:cs="Arial"/>
          <w:noProof/>
          <w:sz w:val="16"/>
          <w:szCs w:val="16"/>
        </w:rPr>
        <w:tab/>
        <w:t xml:space="preserve">González-Villalp, o C, Stern MP, et al. Prevalence of hypertension in a Mexican population according to the Sixth Report of the Joint National Committee on Prevention, Detection, Evaluation and Treatment of High Blood Pressure. </w:t>
      </w:r>
      <w:r w:rsidRPr="009E0769">
        <w:rPr>
          <w:rFonts w:ascii="Arial" w:hAnsi="Arial" w:cs="Arial"/>
          <w:i/>
          <w:iCs/>
          <w:noProof/>
          <w:sz w:val="16"/>
          <w:szCs w:val="16"/>
        </w:rPr>
        <w:t>J Cardiovasc Risk</w:t>
      </w:r>
      <w:r w:rsidRPr="009E0769">
        <w:rPr>
          <w:rFonts w:ascii="Arial" w:hAnsi="Arial" w:cs="Arial"/>
          <w:noProof/>
          <w:sz w:val="16"/>
          <w:szCs w:val="16"/>
        </w:rPr>
        <w:t>. 1999;6(3):177-181. https://www.scopus.com/inward/record.uri?eid=2-s2.0-0032774498&amp;partnerID=40&amp;md5=0d945bb862c7a6e4d8685c7521279921.</w:t>
      </w:r>
    </w:p>
    <w:p w14:paraId="3ED7EA25"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146. </w:t>
      </w:r>
      <w:r w:rsidRPr="00665066">
        <w:rPr>
          <w:rFonts w:ascii="Arial" w:hAnsi="Arial" w:cs="Arial"/>
          <w:noProof/>
          <w:sz w:val="16"/>
          <w:szCs w:val="16"/>
          <w:lang w:val="es-PE"/>
        </w:rPr>
        <w:tab/>
        <w:t xml:space="preserve">Seclen S, Villena A, Larrad MT, et al. </w:t>
      </w:r>
      <w:r w:rsidRPr="009E0769">
        <w:rPr>
          <w:rFonts w:ascii="Arial" w:hAnsi="Arial" w:cs="Arial"/>
          <w:noProof/>
          <w:sz w:val="16"/>
          <w:szCs w:val="16"/>
        </w:rPr>
        <w:t xml:space="preserve">Prevalence of the metabolic syndrome in the mestizo population of peru. </w:t>
      </w:r>
      <w:r w:rsidRPr="009E0769">
        <w:rPr>
          <w:rFonts w:ascii="Arial" w:hAnsi="Arial" w:cs="Arial"/>
          <w:i/>
          <w:iCs/>
          <w:noProof/>
          <w:sz w:val="16"/>
          <w:szCs w:val="16"/>
        </w:rPr>
        <w:t>Metab Syndr Relat Disord</w:t>
      </w:r>
      <w:r w:rsidRPr="009E0769">
        <w:rPr>
          <w:rFonts w:ascii="Arial" w:hAnsi="Arial" w:cs="Arial"/>
          <w:noProof/>
          <w:sz w:val="16"/>
          <w:szCs w:val="16"/>
        </w:rPr>
        <w:t>. 2006;4(1):1-6. internal-pdf://107.13.226.47/Seclen-2006-Prevalence of the metabolic syndro.pdf.</w:t>
      </w:r>
    </w:p>
    <w:p w14:paraId="7C3E59F1"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147. </w:t>
      </w:r>
      <w:r w:rsidRPr="00665066">
        <w:rPr>
          <w:rFonts w:ascii="Arial" w:hAnsi="Arial" w:cs="Arial"/>
          <w:noProof/>
          <w:sz w:val="16"/>
          <w:szCs w:val="16"/>
          <w:lang w:val="es-PE"/>
        </w:rPr>
        <w:tab/>
        <w:t xml:space="preserve">Soto C V, Vergara W E, Neciosup P E. Prevalencia y factores de riesgo de sindrome metabolico en poblacion adulta del Departamento de Lambayeque, Peru - 2004. </w:t>
      </w:r>
      <w:r w:rsidRPr="00665066">
        <w:rPr>
          <w:rFonts w:ascii="Arial" w:hAnsi="Arial" w:cs="Arial"/>
          <w:i/>
          <w:iCs/>
          <w:noProof/>
          <w:sz w:val="16"/>
          <w:szCs w:val="16"/>
          <w:lang w:val="es-PE"/>
        </w:rPr>
        <w:t>Rev Peru Med Exp Salud Publica</w:t>
      </w:r>
      <w:r w:rsidRPr="00665066">
        <w:rPr>
          <w:rFonts w:ascii="Arial" w:hAnsi="Arial" w:cs="Arial"/>
          <w:noProof/>
          <w:sz w:val="16"/>
          <w:szCs w:val="16"/>
          <w:lang w:val="es-PE"/>
        </w:rPr>
        <w:t>. 2005;22(4):254-261. internal-pdf://0623109295/Prevalencia y factores de riesgo de sindrome m.pdf.</w:t>
      </w:r>
    </w:p>
    <w:p w14:paraId="7F0D5DD8"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148. </w:t>
      </w:r>
      <w:r w:rsidRPr="00665066">
        <w:rPr>
          <w:rFonts w:ascii="Arial" w:hAnsi="Arial" w:cs="Arial"/>
          <w:noProof/>
          <w:sz w:val="16"/>
          <w:szCs w:val="16"/>
          <w:lang w:val="es-PE"/>
        </w:rPr>
        <w:tab/>
        <w:t xml:space="preserve">Benziger CP, Zavala-Loayza JA, Bernabe-Ortiz A, et al. </w:t>
      </w:r>
      <w:r w:rsidRPr="009E0769">
        <w:rPr>
          <w:rFonts w:ascii="Arial" w:hAnsi="Arial" w:cs="Arial"/>
          <w:noProof/>
          <w:sz w:val="16"/>
          <w:szCs w:val="16"/>
        </w:rPr>
        <w:t xml:space="preserve">Low prevalence of ideal cardiovascular health in Peru. </w:t>
      </w:r>
      <w:r w:rsidRPr="009E0769">
        <w:rPr>
          <w:rFonts w:ascii="Arial" w:hAnsi="Arial" w:cs="Arial"/>
          <w:i/>
          <w:iCs/>
          <w:noProof/>
          <w:sz w:val="16"/>
          <w:szCs w:val="16"/>
        </w:rPr>
        <w:t>Heart</w:t>
      </w:r>
      <w:r w:rsidRPr="009E0769">
        <w:rPr>
          <w:rFonts w:ascii="Arial" w:hAnsi="Arial" w:cs="Arial"/>
          <w:noProof/>
          <w:sz w:val="16"/>
          <w:szCs w:val="16"/>
        </w:rPr>
        <w:t>. 2018;104(15):1251-1256. doi:10.1136/heartjnl-2017-312255</w:t>
      </w:r>
    </w:p>
    <w:p w14:paraId="3ED62BD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149. </w:t>
      </w:r>
      <w:r w:rsidRPr="009E0769">
        <w:rPr>
          <w:rFonts w:ascii="Arial" w:hAnsi="Arial" w:cs="Arial"/>
          <w:noProof/>
          <w:sz w:val="16"/>
          <w:szCs w:val="16"/>
        </w:rPr>
        <w:tab/>
        <w:t xml:space="preserve">Quispe R, Benziger CP, Bazo-Alvarez JC, et al. The Relationship between Socioeconomic Status and CV Risk Factors: The CRONICAS Cohort Study of Peruvian Adults. </w:t>
      </w:r>
      <w:r w:rsidRPr="009E0769">
        <w:rPr>
          <w:rFonts w:ascii="Arial" w:hAnsi="Arial" w:cs="Arial"/>
          <w:i/>
          <w:iCs/>
          <w:noProof/>
          <w:sz w:val="16"/>
          <w:szCs w:val="16"/>
        </w:rPr>
        <w:t>Glob Heart</w:t>
      </w:r>
      <w:r w:rsidRPr="009E0769">
        <w:rPr>
          <w:rFonts w:ascii="Arial" w:hAnsi="Arial" w:cs="Arial"/>
          <w:noProof/>
          <w:sz w:val="16"/>
          <w:szCs w:val="16"/>
        </w:rPr>
        <w:t>. 2016;11(1):121-130. internal-pdf://0774560882/Quispe-2016-The Relationship between Socioecon.pdf.</w:t>
      </w:r>
    </w:p>
    <w:p w14:paraId="395DBBFD"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150. </w:t>
      </w:r>
      <w:r w:rsidRPr="009E0769">
        <w:rPr>
          <w:rFonts w:ascii="Arial" w:hAnsi="Arial" w:cs="Arial"/>
          <w:noProof/>
          <w:sz w:val="16"/>
          <w:szCs w:val="16"/>
        </w:rPr>
        <w:tab/>
        <w:t xml:space="preserve">Baracco R, Mohanna S. A Comparison of the Prevalence of Metabolic Syndrome and Its Components in High and Low Altitude Populations in Peru. </w:t>
      </w:r>
      <w:r w:rsidRPr="009E0769">
        <w:rPr>
          <w:rFonts w:ascii="Arial" w:hAnsi="Arial" w:cs="Arial"/>
          <w:i/>
          <w:iCs/>
          <w:noProof/>
          <w:sz w:val="16"/>
          <w:szCs w:val="16"/>
        </w:rPr>
        <w:t>Metab Syndr Relat Disord</w:t>
      </w:r>
      <w:r w:rsidRPr="009E0769">
        <w:rPr>
          <w:rFonts w:ascii="Arial" w:hAnsi="Arial" w:cs="Arial"/>
          <w:noProof/>
          <w:sz w:val="16"/>
          <w:szCs w:val="16"/>
        </w:rPr>
        <w:t>. 2007;5(1). doi:10.1089/met.2005.0019</w:t>
      </w:r>
    </w:p>
    <w:p w14:paraId="5C01B8AB"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54001C">
        <w:rPr>
          <w:rFonts w:ascii="Arial" w:hAnsi="Arial" w:cs="Arial"/>
          <w:noProof/>
          <w:sz w:val="16"/>
          <w:szCs w:val="16"/>
        </w:rPr>
        <w:t xml:space="preserve">151. </w:t>
      </w:r>
      <w:r w:rsidRPr="0054001C">
        <w:rPr>
          <w:rFonts w:ascii="Arial" w:hAnsi="Arial" w:cs="Arial"/>
          <w:noProof/>
          <w:sz w:val="16"/>
          <w:szCs w:val="16"/>
        </w:rPr>
        <w:tab/>
        <w:t xml:space="preserve">Benziger CP, Bernabé-Ortiz A, Gilman RH, et al. </w:t>
      </w:r>
      <w:r w:rsidRPr="009E0769">
        <w:rPr>
          <w:rFonts w:ascii="Arial" w:hAnsi="Arial" w:cs="Arial"/>
          <w:noProof/>
          <w:sz w:val="16"/>
          <w:szCs w:val="16"/>
        </w:rPr>
        <w:t xml:space="preserve">Metabolic abnormalities are common among South American hispanics subjects with normal weight or excess body weight: The </w:t>
      </w:r>
      <w:r w:rsidRPr="009E0769">
        <w:rPr>
          <w:rFonts w:ascii="Arial" w:hAnsi="Arial" w:cs="Arial"/>
          <w:noProof/>
          <w:sz w:val="16"/>
          <w:szCs w:val="16"/>
        </w:rPr>
        <w:lastRenderedPageBreak/>
        <w:t xml:space="preserve">CRONICAS cohort study. </w:t>
      </w:r>
      <w:r w:rsidRPr="009E0769">
        <w:rPr>
          <w:rFonts w:ascii="Arial" w:hAnsi="Arial" w:cs="Arial"/>
          <w:i/>
          <w:iCs/>
          <w:noProof/>
          <w:sz w:val="16"/>
          <w:szCs w:val="16"/>
        </w:rPr>
        <w:t>PLoS One</w:t>
      </w:r>
      <w:r w:rsidRPr="009E0769">
        <w:rPr>
          <w:rFonts w:ascii="Arial" w:hAnsi="Arial" w:cs="Arial"/>
          <w:noProof/>
          <w:sz w:val="16"/>
          <w:szCs w:val="16"/>
        </w:rPr>
        <w:t>. 2015;10(11):1-15. doi:10.1371/journal.pone.0138968</w:t>
      </w:r>
    </w:p>
    <w:p w14:paraId="49165734"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152. </w:t>
      </w:r>
      <w:r w:rsidRPr="009E0769">
        <w:rPr>
          <w:rFonts w:ascii="Arial" w:hAnsi="Arial" w:cs="Arial"/>
          <w:noProof/>
          <w:sz w:val="16"/>
          <w:szCs w:val="16"/>
        </w:rPr>
        <w:tab/>
        <w:t xml:space="preserve">Chirinos DA, Medina-Lezama J, Arguelles W, et al. Metabolic syndrome as an underlying disease entity and its relationship to subclinical atherosclerosis in Andean hispanics. </w:t>
      </w:r>
      <w:r w:rsidRPr="00665066">
        <w:rPr>
          <w:rFonts w:ascii="Arial" w:hAnsi="Arial" w:cs="Arial"/>
          <w:i/>
          <w:iCs/>
          <w:noProof/>
          <w:sz w:val="16"/>
          <w:szCs w:val="16"/>
          <w:lang w:val="es-PE"/>
        </w:rPr>
        <w:t>Metab Syndr Relat Disord</w:t>
      </w:r>
      <w:r w:rsidRPr="00665066">
        <w:rPr>
          <w:rFonts w:ascii="Arial" w:hAnsi="Arial" w:cs="Arial"/>
          <w:noProof/>
          <w:sz w:val="16"/>
          <w:szCs w:val="16"/>
          <w:lang w:val="es-PE"/>
        </w:rPr>
        <w:t>. 2014;12(1):49-55. doi:10.1089/met.2013.0092</w:t>
      </w:r>
    </w:p>
    <w:p w14:paraId="791C52FC"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153. </w:t>
      </w:r>
      <w:r w:rsidRPr="00665066">
        <w:rPr>
          <w:rFonts w:ascii="Arial" w:hAnsi="Arial" w:cs="Arial"/>
          <w:noProof/>
          <w:sz w:val="16"/>
          <w:szCs w:val="16"/>
          <w:lang w:val="es-PE"/>
        </w:rPr>
        <w:tab/>
        <w:t xml:space="preserve">Seclen Santistebán S, Leey Casella J, Villena Pacheco AE, et al. Prevalencia de Obesidad, Diabetes Mellitus, Hipertensión Arterial e Hipocolesterolemia como Factores de Riesgo Coronario y Cerebrovascular en Población Adulta de la Costa, Sierra y Selva del Perú. </w:t>
      </w:r>
      <w:r w:rsidRPr="00665066">
        <w:rPr>
          <w:rFonts w:ascii="Arial" w:hAnsi="Arial" w:cs="Arial"/>
          <w:i/>
          <w:iCs/>
          <w:noProof/>
          <w:sz w:val="16"/>
          <w:szCs w:val="16"/>
          <w:lang w:val="es-PE"/>
        </w:rPr>
        <w:t>Acta méd peru</w:t>
      </w:r>
      <w:r w:rsidRPr="00665066">
        <w:rPr>
          <w:rFonts w:ascii="Arial" w:hAnsi="Arial" w:cs="Arial"/>
          <w:noProof/>
          <w:sz w:val="16"/>
          <w:szCs w:val="16"/>
          <w:lang w:val="es-PE"/>
        </w:rPr>
        <w:t>. 1999;17(1):8-12. http://sisbib.unmsm.edu.pe/BVRevistas/acta_medica/1999_n1/prevalencia.htm.</w:t>
      </w:r>
    </w:p>
    <w:p w14:paraId="4EA8795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154. </w:t>
      </w:r>
      <w:r w:rsidRPr="009E0769">
        <w:rPr>
          <w:rFonts w:ascii="Arial" w:hAnsi="Arial" w:cs="Arial"/>
          <w:noProof/>
          <w:sz w:val="16"/>
          <w:szCs w:val="16"/>
        </w:rPr>
        <w:tab/>
        <w:t xml:space="preserve">Goldstein J, Jacoby E, del Aguila R, Lopez A. Poverty is a predictor of non-communicable disease among adults in Peruvian cities. </w:t>
      </w:r>
      <w:r w:rsidRPr="009E0769">
        <w:rPr>
          <w:rFonts w:ascii="Arial" w:hAnsi="Arial" w:cs="Arial"/>
          <w:i/>
          <w:iCs/>
          <w:noProof/>
          <w:sz w:val="16"/>
          <w:szCs w:val="16"/>
        </w:rPr>
        <w:t>Prev Med (Baltim)</w:t>
      </w:r>
      <w:r w:rsidRPr="009E0769">
        <w:rPr>
          <w:rFonts w:ascii="Arial" w:hAnsi="Arial" w:cs="Arial"/>
          <w:noProof/>
          <w:sz w:val="16"/>
          <w:szCs w:val="16"/>
        </w:rPr>
        <w:t>. 2005;41(3):800-806. http://ovidsp.ovid.com/ovidweb.cgi?T=JS&amp;PAGE=reference&amp;D=med5&amp;NEWS=N&amp;AN=16061280.</w:t>
      </w:r>
    </w:p>
    <w:p w14:paraId="3044F3AD"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155. </w:t>
      </w:r>
      <w:r w:rsidRPr="00665066">
        <w:rPr>
          <w:rFonts w:ascii="Arial" w:hAnsi="Arial" w:cs="Arial"/>
          <w:noProof/>
          <w:sz w:val="16"/>
          <w:szCs w:val="16"/>
          <w:lang w:val="es-PE"/>
        </w:rPr>
        <w:tab/>
        <w:t xml:space="preserve">Medina-Lezama J, Zea-Diaz H, Morey-Vargas OL, et al. </w:t>
      </w:r>
      <w:r w:rsidRPr="009E0769">
        <w:rPr>
          <w:rFonts w:ascii="Arial" w:hAnsi="Arial" w:cs="Arial"/>
          <w:noProof/>
          <w:sz w:val="16"/>
          <w:szCs w:val="16"/>
        </w:rPr>
        <w:t xml:space="preserve">Prevalence of the metabolic syndrome in Peruvian Andean hispanics: the PREVENCION study. </w:t>
      </w:r>
      <w:r w:rsidRPr="009E0769">
        <w:rPr>
          <w:rFonts w:ascii="Arial" w:hAnsi="Arial" w:cs="Arial"/>
          <w:i/>
          <w:iCs/>
          <w:noProof/>
          <w:sz w:val="16"/>
          <w:szCs w:val="16"/>
        </w:rPr>
        <w:t>Diabetes Res Clin Pract</w:t>
      </w:r>
      <w:r w:rsidRPr="009E0769">
        <w:rPr>
          <w:rFonts w:ascii="Arial" w:hAnsi="Arial" w:cs="Arial"/>
          <w:noProof/>
          <w:sz w:val="16"/>
          <w:szCs w:val="16"/>
        </w:rPr>
        <w:t>. 2007;78(2):270-281. http://ovidsp.ovid.com/ovidweb.cgi?T=JS&amp;PAGE=reference&amp;D=med5&amp;NEWS=N&amp;AN=17524517 https://ac.els-cdn.com/S016882270700277X/1-s2.0-S016882270700277X-main.pdf?_tid=14de8f2d-970e-426d-ab7f-41ff3826c357&amp;acdnat=1551036968_97490a73d1ab7b33ca91ced34b06870c.</w:t>
      </w:r>
    </w:p>
    <w:p w14:paraId="6044F63C"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156. </w:t>
      </w:r>
      <w:r w:rsidRPr="009E0769">
        <w:rPr>
          <w:rFonts w:ascii="Arial" w:hAnsi="Arial" w:cs="Arial"/>
          <w:noProof/>
          <w:sz w:val="16"/>
          <w:szCs w:val="16"/>
        </w:rPr>
        <w:tab/>
        <w:t xml:space="preserve">Jaime MJ, Gilman RH, Smeeth L. Differences in cardiovascular risk factors in rural, urban and rural-to-urban migrants in Peru. </w:t>
      </w:r>
      <w:r w:rsidRPr="009E0769">
        <w:rPr>
          <w:rFonts w:ascii="Arial" w:hAnsi="Arial" w:cs="Arial"/>
          <w:i/>
          <w:iCs/>
          <w:noProof/>
          <w:sz w:val="16"/>
          <w:szCs w:val="16"/>
        </w:rPr>
        <w:t>Heart</w:t>
      </w:r>
      <w:r w:rsidRPr="009E0769">
        <w:rPr>
          <w:rFonts w:ascii="Arial" w:hAnsi="Arial" w:cs="Arial"/>
          <w:noProof/>
          <w:sz w:val="16"/>
          <w:szCs w:val="16"/>
        </w:rPr>
        <w:t>. 2011;97(10):787-796. http://ovidsp.ovid.com/ovidweb.cgi?T=JS&amp;PAGE=reference&amp;D=medc&amp;NEWS=N&amp;AN=21478383.</w:t>
      </w:r>
    </w:p>
    <w:p w14:paraId="50A73316"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157. </w:t>
      </w:r>
      <w:r w:rsidRPr="009E0769">
        <w:rPr>
          <w:rFonts w:ascii="Arial" w:hAnsi="Arial" w:cs="Arial"/>
          <w:noProof/>
          <w:sz w:val="16"/>
          <w:szCs w:val="16"/>
        </w:rPr>
        <w:tab/>
        <w:t xml:space="preserve">Málaga G, Zevallos-Palacios C, Lazo M de los Á, Huayanay C. High frequency of dyslipidemia and impaired fasting glycemia in a high altitude Peruvian population. </w:t>
      </w:r>
      <w:r w:rsidRPr="00665066">
        <w:rPr>
          <w:rFonts w:ascii="Arial" w:hAnsi="Arial" w:cs="Arial"/>
          <w:i/>
          <w:iCs/>
          <w:noProof/>
          <w:sz w:val="16"/>
          <w:szCs w:val="16"/>
          <w:lang w:val="es-PE"/>
        </w:rPr>
        <w:t>Rev Peru Med Exp Salud Publica</w:t>
      </w:r>
      <w:r w:rsidRPr="00665066">
        <w:rPr>
          <w:rFonts w:ascii="Arial" w:hAnsi="Arial" w:cs="Arial"/>
          <w:noProof/>
          <w:sz w:val="16"/>
          <w:szCs w:val="16"/>
          <w:lang w:val="es-PE"/>
        </w:rPr>
        <w:t xml:space="preserve">. 2010;27(4):557-561. http://www.ncbi.nlm.nih.gov/pubmed/21308195. </w:t>
      </w:r>
      <w:r w:rsidRPr="009E0769">
        <w:rPr>
          <w:rFonts w:ascii="Arial" w:hAnsi="Arial" w:cs="Arial"/>
          <w:noProof/>
          <w:sz w:val="16"/>
          <w:szCs w:val="16"/>
        </w:rPr>
        <w:t>Accessed March 30, 2018.</w:t>
      </w:r>
    </w:p>
    <w:p w14:paraId="395FC449"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158. </w:t>
      </w:r>
      <w:r w:rsidRPr="009E0769">
        <w:rPr>
          <w:rFonts w:ascii="Arial" w:hAnsi="Arial" w:cs="Arial"/>
          <w:noProof/>
          <w:sz w:val="16"/>
          <w:szCs w:val="16"/>
        </w:rPr>
        <w:tab/>
        <w:t xml:space="preserve">Gaziano TA, Abrahams-Gessel S, Alam S, et al. Comparison of Nonblood-Based and Blood-Based Total CV Risk Scores in Global Populations. </w:t>
      </w:r>
      <w:r w:rsidRPr="009E0769">
        <w:rPr>
          <w:rFonts w:ascii="Arial" w:hAnsi="Arial" w:cs="Arial"/>
          <w:i/>
          <w:iCs/>
          <w:noProof/>
          <w:sz w:val="16"/>
          <w:szCs w:val="16"/>
        </w:rPr>
        <w:t>Glob Heart</w:t>
      </w:r>
      <w:r w:rsidRPr="009E0769">
        <w:rPr>
          <w:rFonts w:ascii="Arial" w:hAnsi="Arial" w:cs="Arial"/>
          <w:noProof/>
          <w:sz w:val="16"/>
          <w:szCs w:val="16"/>
        </w:rPr>
        <w:t>. 2016;11(1):37-46.e2. http://ovidsp.ovid.com/ovidweb.cgi?T=JS&amp;PAGE=reference&amp;D=med8&amp;NEWS=N&amp;AN=27102021 http://spiral.imperial.ac.uk/bitstream/10044/1/54291/6/Comparison of Nonblood.pdf.</w:t>
      </w:r>
    </w:p>
    <w:p w14:paraId="29F9F093"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159. </w:t>
      </w:r>
      <w:r w:rsidRPr="009E0769">
        <w:rPr>
          <w:rFonts w:ascii="Arial" w:hAnsi="Arial" w:cs="Arial"/>
          <w:noProof/>
          <w:sz w:val="16"/>
          <w:szCs w:val="16"/>
        </w:rPr>
        <w:tab/>
        <w:t xml:space="preserve">Gonzales GF, Tapia V. [Association of high altitude-induced hypoxemia to lipid profile and glycemia in men and women living at 4,100m in the Peruvian Central Andes]. </w:t>
      </w:r>
      <w:r w:rsidRPr="00665066">
        <w:rPr>
          <w:rFonts w:ascii="Arial" w:hAnsi="Arial" w:cs="Arial"/>
          <w:i/>
          <w:iCs/>
          <w:noProof/>
          <w:sz w:val="16"/>
          <w:szCs w:val="16"/>
          <w:lang w:val="es-PE"/>
        </w:rPr>
        <w:t>Asoc los Difer niveles hipoxemia en la altura con el Perf lipidico y la glucemia en varones y mujeres a 4100m altitud en los Andes Cent del Peru</w:t>
      </w:r>
      <w:r w:rsidRPr="00665066">
        <w:rPr>
          <w:rFonts w:ascii="Arial" w:hAnsi="Arial" w:cs="Arial"/>
          <w:noProof/>
          <w:sz w:val="16"/>
          <w:szCs w:val="16"/>
          <w:lang w:val="es-PE"/>
        </w:rPr>
        <w:t>. 2013;60(2):79-86. http://ovidsp.ovid.com/ovidweb.cgi?T=JS&amp;PAGE=reference&amp;D=med7&amp;NEWS=N&amp;AN=22925953.</w:t>
      </w:r>
    </w:p>
    <w:p w14:paraId="748EF8E3"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160. </w:t>
      </w:r>
      <w:r w:rsidRPr="00665066">
        <w:rPr>
          <w:rFonts w:ascii="Arial" w:hAnsi="Arial" w:cs="Arial"/>
          <w:noProof/>
          <w:sz w:val="16"/>
          <w:szCs w:val="16"/>
          <w:lang w:val="es-PE"/>
        </w:rPr>
        <w:tab/>
        <w:t xml:space="preserve">Quintana HC, Abanto JS, Arbieto LR, Tasayco FM. Prevalencia del síndrome metabólico en personas a partir de 20 años de edad. </w:t>
      </w:r>
      <w:r w:rsidRPr="009E0769">
        <w:rPr>
          <w:rFonts w:ascii="Arial" w:hAnsi="Arial" w:cs="Arial"/>
          <w:noProof/>
          <w:sz w:val="16"/>
          <w:szCs w:val="16"/>
        </w:rPr>
        <w:t xml:space="preserve">Perú, 2005. </w:t>
      </w:r>
      <w:r w:rsidRPr="009E0769">
        <w:rPr>
          <w:rFonts w:ascii="Arial" w:hAnsi="Arial" w:cs="Arial"/>
          <w:i/>
          <w:iCs/>
          <w:noProof/>
          <w:sz w:val="16"/>
          <w:szCs w:val="16"/>
        </w:rPr>
        <w:t>Rev Esp Salud Publica</w:t>
      </w:r>
      <w:r w:rsidRPr="009E0769">
        <w:rPr>
          <w:rFonts w:ascii="Arial" w:hAnsi="Arial" w:cs="Arial"/>
          <w:noProof/>
          <w:sz w:val="16"/>
          <w:szCs w:val="16"/>
        </w:rPr>
        <w:t>. 2009;83(2):257-265. doi:10.1590/s1135-57272009000200009</w:t>
      </w:r>
    </w:p>
    <w:p w14:paraId="2BEF133A"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161. </w:t>
      </w:r>
      <w:r w:rsidRPr="009E0769">
        <w:rPr>
          <w:rFonts w:ascii="Arial" w:hAnsi="Arial" w:cs="Arial"/>
          <w:noProof/>
          <w:sz w:val="16"/>
          <w:szCs w:val="16"/>
        </w:rPr>
        <w:tab/>
        <w:t xml:space="preserve">Garcia Palmieri M, Costas Jr R, Schiffman J. Interrelationship of serum lipids with relative weight, blood glucose, and physical activity. </w:t>
      </w:r>
      <w:r w:rsidRPr="009E0769">
        <w:rPr>
          <w:rFonts w:ascii="Arial" w:hAnsi="Arial" w:cs="Arial"/>
          <w:i/>
          <w:iCs/>
          <w:noProof/>
          <w:sz w:val="16"/>
          <w:szCs w:val="16"/>
        </w:rPr>
        <w:t>Circulation</w:t>
      </w:r>
      <w:r w:rsidRPr="009E0769">
        <w:rPr>
          <w:rFonts w:ascii="Arial" w:hAnsi="Arial" w:cs="Arial"/>
          <w:noProof/>
          <w:sz w:val="16"/>
          <w:szCs w:val="16"/>
        </w:rPr>
        <w:t>. 1972;45(4):829-836. http://ovidsp.ovid.com/ovidweb.cgi?T=JS&amp;PAGE=reference&amp;D=emcl1&amp;NEWS=N&amp;AN=292076861.</w:t>
      </w:r>
    </w:p>
    <w:p w14:paraId="0DC16E2B"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162. </w:t>
      </w:r>
      <w:r w:rsidRPr="009E0769">
        <w:rPr>
          <w:rFonts w:ascii="Arial" w:hAnsi="Arial" w:cs="Arial"/>
          <w:noProof/>
          <w:sz w:val="16"/>
          <w:szCs w:val="16"/>
        </w:rPr>
        <w:tab/>
        <w:t xml:space="preserve">Perez CM, Ortiz AP, Guzman M, Suarez E. Distribution and correlates of the metabolic syndrome in adults living in the San Juan Metropolitan Area of Puerto Rico. </w:t>
      </w:r>
      <w:r w:rsidRPr="009E0769">
        <w:rPr>
          <w:rFonts w:ascii="Arial" w:hAnsi="Arial" w:cs="Arial"/>
          <w:i/>
          <w:iCs/>
          <w:noProof/>
          <w:sz w:val="16"/>
          <w:szCs w:val="16"/>
        </w:rPr>
        <w:t>P R Health Sci J</w:t>
      </w:r>
      <w:r w:rsidRPr="009E0769">
        <w:rPr>
          <w:rFonts w:ascii="Arial" w:hAnsi="Arial" w:cs="Arial"/>
          <w:noProof/>
          <w:sz w:val="16"/>
          <w:szCs w:val="16"/>
        </w:rPr>
        <w:t>. 2012;31(3):114-122. internal-pdf://176.227.217.132/Perez-2012-Distribution and correlates of the.pdf.</w:t>
      </w:r>
    </w:p>
    <w:p w14:paraId="50AC0FC8"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163. </w:t>
      </w:r>
      <w:r w:rsidRPr="009E0769">
        <w:rPr>
          <w:rFonts w:ascii="Arial" w:hAnsi="Arial" w:cs="Arial"/>
          <w:noProof/>
          <w:sz w:val="16"/>
          <w:szCs w:val="16"/>
        </w:rPr>
        <w:tab/>
        <w:t xml:space="preserve">Cruz-Vidal M, Costas R, Garcia-Palmieri MR, Sorlie PD, Hertzmark E. Factors related to diabetes mellitus in Puerto Rican men. </w:t>
      </w:r>
      <w:r w:rsidRPr="009E0769">
        <w:rPr>
          <w:rFonts w:ascii="Arial" w:hAnsi="Arial" w:cs="Arial"/>
          <w:i/>
          <w:iCs/>
          <w:noProof/>
          <w:sz w:val="16"/>
          <w:szCs w:val="16"/>
        </w:rPr>
        <w:t>Diabetes</w:t>
      </w:r>
      <w:r w:rsidRPr="009E0769">
        <w:rPr>
          <w:rFonts w:ascii="Arial" w:hAnsi="Arial" w:cs="Arial"/>
          <w:noProof/>
          <w:sz w:val="16"/>
          <w:szCs w:val="16"/>
        </w:rPr>
        <w:t>. 1979;28(4):300-307. doi:10.2337/diab.28.4.300</w:t>
      </w:r>
    </w:p>
    <w:p w14:paraId="73E65347" w14:textId="77777777" w:rsidR="00665066" w:rsidRPr="0054001C"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164. </w:t>
      </w:r>
      <w:r w:rsidRPr="009E0769">
        <w:rPr>
          <w:rFonts w:ascii="Arial" w:hAnsi="Arial" w:cs="Arial"/>
          <w:noProof/>
          <w:sz w:val="16"/>
          <w:szCs w:val="16"/>
        </w:rPr>
        <w:tab/>
        <w:t xml:space="preserve">Castelli WP, Cooper GR, Doyle JT, et al. Distribution of triglyceride and total, LDL and HDL cholesterol in several populations: A cooperative lipoprotein phenotyping study. </w:t>
      </w:r>
      <w:r w:rsidRPr="0054001C">
        <w:rPr>
          <w:rFonts w:ascii="Arial" w:hAnsi="Arial" w:cs="Arial"/>
          <w:i/>
          <w:iCs/>
          <w:noProof/>
          <w:sz w:val="16"/>
          <w:szCs w:val="16"/>
          <w:lang w:val="es-PE"/>
        </w:rPr>
        <w:t>J Chronic Dis</w:t>
      </w:r>
      <w:r w:rsidRPr="0054001C">
        <w:rPr>
          <w:rFonts w:ascii="Arial" w:hAnsi="Arial" w:cs="Arial"/>
          <w:noProof/>
          <w:sz w:val="16"/>
          <w:szCs w:val="16"/>
          <w:lang w:val="es-PE"/>
        </w:rPr>
        <w:t>. 1977;30(3):147-169. doi:10.1016/0021-9681(77)90082-0</w:t>
      </w:r>
    </w:p>
    <w:p w14:paraId="6615D303"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165. </w:t>
      </w:r>
      <w:r w:rsidRPr="00665066">
        <w:rPr>
          <w:rFonts w:ascii="Arial" w:hAnsi="Arial" w:cs="Arial"/>
          <w:noProof/>
          <w:sz w:val="16"/>
          <w:szCs w:val="16"/>
          <w:lang w:val="es-PE"/>
        </w:rPr>
        <w:tab/>
        <w:t xml:space="preserve">Costas R, Garcia-Palmieri MR, Nazario E, Sorlie PD. </w:t>
      </w:r>
      <w:r w:rsidRPr="009E0769">
        <w:rPr>
          <w:rFonts w:ascii="Arial" w:hAnsi="Arial" w:cs="Arial"/>
          <w:noProof/>
          <w:sz w:val="16"/>
          <w:szCs w:val="16"/>
        </w:rPr>
        <w:t xml:space="preserve">Relation of lipids, weight and physical activity to incidence of coronary heart disease: The puerto rico heart study. </w:t>
      </w:r>
      <w:r w:rsidRPr="009E0769">
        <w:rPr>
          <w:rFonts w:ascii="Arial" w:hAnsi="Arial" w:cs="Arial"/>
          <w:i/>
          <w:iCs/>
          <w:noProof/>
          <w:sz w:val="16"/>
          <w:szCs w:val="16"/>
        </w:rPr>
        <w:t>Am J Cardiol</w:t>
      </w:r>
      <w:r w:rsidRPr="009E0769">
        <w:rPr>
          <w:rFonts w:ascii="Arial" w:hAnsi="Arial" w:cs="Arial"/>
          <w:noProof/>
          <w:sz w:val="16"/>
          <w:szCs w:val="16"/>
        </w:rPr>
        <w:t>. 1978;42(4):653-658. doi:10.1016/0002-9149(78)90637-9</w:t>
      </w:r>
    </w:p>
    <w:p w14:paraId="6E4CFC9E"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166. </w:t>
      </w:r>
      <w:r w:rsidRPr="009E0769">
        <w:rPr>
          <w:rFonts w:ascii="Arial" w:hAnsi="Arial" w:cs="Arial"/>
          <w:noProof/>
          <w:sz w:val="16"/>
          <w:szCs w:val="16"/>
        </w:rPr>
        <w:tab/>
        <w:t xml:space="preserve">Krishnadath ISK, Nahar-van Venrooij LM, Jaddoe VW V, Toelsie JR. Ethnic differences in prediabetes and diabetes in the Suriname Health Study. </w:t>
      </w:r>
      <w:r w:rsidRPr="009E0769">
        <w:rPr>
          <w:rFonts w:ascii="Arial" w:hAnsi="Arial" w:cs="Arial"/>
          <w:i/>
          <w:iCs/>
          <w:noProof/>
          <w:sz w:val="16"/>
          <w:szCs w:val="16"/>
        </w:rPr>
        <w:t>BMJ open diabetes Res care</w:t>
      </w:r>
      <w:r w:rsidRPr="009E0769">
        <w:rPr>
          <w:rFonts w:ascii="Arial" w:hAnsi="Arial" w:cs="Arial"/>
          <w:noProof/>
          <w:sz w:val="16"/>
          <w:szCs w:val="16"/>
        </w:rPr>
        <w:t xml:space="preserve">. </w:t>
      </w:r>
      <w:r w:rsidRPr="009E0769">
        <w:rPr>
          <w:rFonts w:ascii="Arial" w:hAnsi="Arial" w:cs="Arial"/>
          <w:noProof/>
          <w:sz w:val="16"/>
          <w:szCs w:val="16"/>
        </w:rPr>
        <w:lastRenderedPageBreak/>
        <w:t>2016;4(1):e000186. http://ovidsp.ovid.com/ovidweb.cgi?T=JS&amp;PAGE=reference&amp;D=prem&amp;NEWS=N&amp;AN=27403324.</w:t>
      </w:r>
    </w:p>
    <w:p w14:paraId="1A843422"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167. </w:t>
      </w:r>
      <w:r w:rsidRPr="009E0769">
        <w:rPr>
          <w:rFonts w:ascii="Arial" w:hAnsi="Arial" w:cs="Arial"/>
          <w:noProof/>
          <w:sz w:val="16"/>
          <w:szCs w:val="16"/>
        </w:rPr>
        <w:tab/>
        <w:t xml:space="preserve">Miljkovic-Gacic I, Bunker CH, Ferrell RE, et al. Lipoprotein subclass and particle size differences in Afro-Caribbeans, African Americans, and white Americans: associations with hepatic lipase gene variation. </w:t>
      </w:r>
      <w:r w:rsidRPr="009E0769">
        <w:rPr>
          <w:rFonts w:ascii="Arial" w:hAnsi="Arial" w:cs="Arial"/>
          <w:i/>
          <w:iCs/>
          <w:noProof/>
          <w:sz w:val="16"/>
          <w:szCs w:val="16"/>
        </w:rPr>
        <w:t>Metabolism</w:t>
      </w:r>
      <w:r w:rsidRPr="009E0769">
        <w:rPr>
          <w:rFonts w:ascii="Arial" w:hAnsi="Arial" w:cs="Arial"/>
          <w:noProof/>
          <w:sz w:val="16"/>
          <w:szCs w:val="16"/>
        </w:rPr>
        <w:t>. 2006;55(1):96-102. http://ovidsp.ovid.com/ovidweb.cgi?T=JS&amp;PAGE=reference&amp;D=med5&amp;NEWS=N&amp;AN=16324926 https://ac.els-cdn.com/S002604950500301X/1-s2.0-S002604950500301X-main.pdf?_tid=3a1608e4-d3bd-4f61-a3cf-604b8fbe9bec&amp;acdnat=1551036994_79283844aad16cb79ba08b7dda0d6cda.</w:t>
      </w:r>
    </w:p>
    <w:p w14:paraId="5CD0C435"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168. </w:t>
      </w:r>
      <w:r w:rsidRPr="009E0769">
        <w:rPr>
          <w:rFonts w:ascii="Arial" w:hAnsi="Arial" w:cs="Arial"/>
          <w:noProof/>
          <w:sz w:val="16"/>
          <w:szCs w:val="16"/>
        </w:rPr>
        <w:tab/>
        <w:t xml:space="preserve">Miller GJ, Beckles GL, Maude GH, et al. Ethnicity and other characteristics predictive of coronary heart disease in a developing community: principal results of the St James Survey, Trinidad. </w:t>
      </w:r>
      <w:r w:rsidRPr="00665066">
        <w:rPr>
          <w:rFonts w:ascii="Arial" w:hAnsi="Arial" w:cs="Arial"/>
          <w:i/>
          <w:iCs/>
          <w:noProof/>
          <w:sz w:val="16"/>
          <w:szCs w:val="16"/>
          <w:lang w:val="es-PE"/>
        </w:rPr>
        <w:t>Int J Epidemiol</w:t>
      </w:r>
      <w:r w:rsidRPr="00665066">
        <w:rPr>
          <w:rFonts w:ascii="Arial" w:hAnsi="Arial" w:cs="Arial"/>
          <w:noProof/>
          <w:sz w:val="16"/>
          <w:szCs w:val="16"/>
          <w:lang w:val="es-PE"/>
        </w:rPr>
        <w:t>. 1989;18(4):808-817. http://ovidsp.ovid.com/ovidweb.cgi?T=JS&amp;PAGE=reference&amp;D=med3&amp;NEWS=N&amp;AN=2621016.</w:t>
      </w:r>
    </w:p>
    <w:p w14:paraId="50040683"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169. </w:t>
      </w:r>
      <w:r w:rsidRPr="00665066">
        <w:rPr>
          <w:rFonts w:ascii="Arial" w:hAnsi="Arial" w:cs="Arial"/>
          <w:noProof/>
          <w:sz w:val="16"/>
          <w:szCs w:val="16"/>
          <w:lang w:val="es-PE"/>
        </w:rPr>
        <w:tab/>
        <w:t xml:space="preserve">Tull ES, Laporte RE. </w:t>
      </w:r>
      <w:r w:rsidRPr="009E0769">
        <w:rPr>
          <w:rFonts w:ascii="Arial" w:hAnsi="Arial" w:cs="Arial"/>
          <w:noProof/>
          <w:sz w:val="16"/>
          <w:szCs w:val="16"/>
        </w:rPr>
        <w:t xml:space="preserve">Metabolic syndrome among Caribbean-born persons living in the U.S. Virgin Islands. </w:t>
      </w:r>
      <w:r w:rsidRPr="009E0769">
        <w:rPr>
          <w:rFonts w:ascii="Arial" w:hAnsi="Arial" w:cs="Arial"/>
          <w:i/>
          <w:iCs/>
          <w:noProof/>
          <w:sz w:val="16"/>
          <w:szCs w:val="16"/>
        </w:rPr>
        <w:t>Rev Panam Salud Publica</w:t>
      </w:r>
      <w:r w:rsidRPr="009E0769">
        <w:rPr>
          <w:rFonts w:ascii="Arial" w:hAnsi="Arial" w:cs="Arial"/>
          <w:noProof/>
          <w:sz w:val="16"/>
          <w:szCs w:val="16"/>
        </w:rPr>
        <w:t>. 2005;18(6):418-426. internal-pdf://0487646805/Metabolic syndrome among Caribbean-born person.pdf.</w:t>
      </w:r>
    </w:p>
    <w:p w14:paraId="457AA096"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170. </w:t>
      </w:r>
      <w:r w:rsidRPr="009E0769">
        <w:rPr>
          <w:rFonts w:ascii="Arial" w:hAnsi="Arial" w:cs="Arial"/>
          <w:noProof/>
          <w:sz w:val="16"/>
          <w:szCs w:val="16"/>
        </w:rPr>
        <w:tab/>
        <w:t xml:space="preserve">Tull ES. Assessment of the ability of the triglyceride to high density lipoprotein cholesterol ratio to discriminate insulin resistance among Caribbean-born black persons with and without Hispanic ethnicity. </w:t>
      </w:r>
      <w:r w:rsidRPr="009E0769">
        <w:rPr>
          <w:rFonts w:ascii="Arial" w:hAnsi="Arial" w:cs="Arial"/>
          <w:i/>
          <w:iCs/>
          <w:noProof/>
          <w:sz w:val="16"/>
          <w:szCs w:val="16"/>
        </w:rPr>
        <w:t>West Indian Med J</w:t>
      </w:r>
      <w:r w:rsidRPr="009E0769">
        <w:rPr>
          <w:rFonts w:ascii="Arial" w:hAnsi="Arial" w:cs="Arial"/>
          <w:noProof/>
          <w:sz w:val="16"/>
          <w:szCs w:val="16"/>
        </w:rPr>
        <w:t>. 2013;62(2):109-113. http://ovidsp.ovid.com/ovidweb.cgi?T=JS&amp;PAGE=reference&amp;D=med7&amp;NEWS=N&amp;AN=24564058.</w:t>
      </w:r>
    </w:p>
    <w:p w14:paraId="0C6F81E6"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171. </w:t>
      </w:r>
      <w:r w:rsidRPr="009E0769">
        <w:rPr>
          <w:rFonts w:ascii="Arial" w:hAnsi="Arial" w:cs="Arial"/>
          <w:noProof/>
          <w:sz w:val="16"/>
          <w:szCs w:val="16"/>
        </w:rPr>
        <w:tab/>
        <w:t xml:space="preserve">Uzcategui E, Valery L, Uzcategui L, Gomez Perez R, Marquina D, Baptista T. Prevalence of the metabolic syndrome, insulin resistance index, leptin and thyroid hormone levels in the general population of Merida (Venezuela). </w:t>
      </w:r>
      <w:r w:rsidRPr="009E0769">
        <w:rPr>
          <w:rFonts w:ascii="Arial" w:hAnsi="Arial" w:cs="Arial"/>
          <w:i/>
          <w:iCs/>
          <w:noProof/>
          <w:sz w:val="16"/>
          <w:szCs w:val="16"/>
        </w:rPr>
        <w:t>Invest Clin</w:t>
      </w:r>
      <w:r w:rsidRPr="009E0769">
        <w:rPr>
          <w:rFonts w:ascii="Arial" w:hAnsi="Arial" w:cs="Arial"/>
          <w:noProof/>
          <w:sz w:val="16"/>
          <w:szCs w:val="16"/>
        </w:rPr>
        <w:t>. 2015;56(2):169-181. internal-pdf://0.97.12.139/10.1.1.1028.569.pdf.</w:t>
      </w:r>
    </w:p>
    <w:p w14:paraId="2CD6FB25"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172. </w:t>
      </w:r>
      <w:r w:rsidRPr="009E0769">
        <w:rPr>
          <w:rFonts w:ascii="Arial" w:hAnsi="Arial" w:cs="Arial"/>
          <w:noProof/>
          <w:sz w:val="16"/>
          <w:szCs w:val="16"/>
        </w:rPr>
        <w:tab/>
        <w:t xml:space="preserve">Salazar J, Bermudez V, Calvo M, et al. Optimal cutoff for the evaluation of insulin resistance through triglyceride-glucose index: A cross-sectional study in a Venezuelan population. </w:t>
      </w:r>
      <w:r w:rsidRPr="009E0769">
        <w:rPr>
          <w:rFonts w:ascii="Arial" w:hAnsi="Arial" w:cs="Arial"/>
          <w:i/>
          <w:iCs/>
          <w:noProof/>
          <w:sz w:val="16"/>
          <w:szCs w:val="16"/>
        </w:rPr>
        <w:t>F1000Research</w:t>
      </w:r>
      <w:r w:rsidRPr="009E0769">
        <w:rPr>
          <w:rFonts w:ascii="Arial" w:hAnsi="Arial" w:cs="Arial"/>
          <w:noProof/>
          <w:sz w:val="16"/>
          <w:szCs w:val="16"/>
        </w:rPr>
        <w:t>. 2017;6:1337. internal-pdf://110.41.224.199/Salazar-2017-Optimal cutoff for the evaluation.pdf.</w:t>
      </w:r>
    </w:p>
    <w:p w14:paraId="4E6D82D2"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9E0769">
        <w:rPr>
          <w:rFonts w:ascii="Arial" w:hAnsi="Arial" w:cs="Arial"/>
          <w:noProof/>
          <w:sz w:val="16"/>
          <w:szCs w:val="16"/>
        </w:rPr>
        <w:t xml:space="preserve">173. </w:t>
      </w:r>
      <w:r w:rsidRPr="009E0769">
        <w:rPr>
          <w:rFonts w:ascii="Arial" w:hAnsi="Arial" w:cs="Arial"/>
          <w:noProof/>
          <w:sz w:val="16"/>
          <w:szCs w:val="16"/>
        </w:rPr>
        <w:tab/>
        <w:t xml:space="preserve">Bermúdez V, Salazar J, Graterol M, Rojas J. Importance of high triglycerides levels between novel coronary risk factors. </w:t>
      </w:r>
      <w:r w:rsidRPr="00665066">
        <w:rPr>
          <w:rFonts w:ascii="Arial" w:hAnsi="Arial" w:cs="Arial"/>
          <w:i/>
          <w:iCs/>
          <w:noProof/>
          <w:sz w:val="16"/>
          <w:szCs w:val="16"/>
          <w:lang w:val="es-PE"/>
        </w:rPr>
        <w:t>Rev Colomb Cardiol</w:t>
      </w:r>
      <w:r w:rsidRPr="00665066">
        <w:rPr>
          <w:rFonts w:ascii="Arial" w:hAnsi="Arial" w:cs="Arial"/>
          <w:noProof/>
          <w:sz w:val="16"/>
          <w:szCs w:val="16"/>
          <w:lang w:val="es-PE"/>
        </w:rPr>
        <w:t>. 2017;24(6). file:///C:/Users/Usuario/Downloads/base de datos/65. VEN_2014_Bermúdez.pdf.</w:t>
      </w:r>
    </w:p>
    <w:p w14:paraId="5A409DF6"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174. </w:t>
      </w:r>
      <w:r w:rsidRPr="00665066">
        <w:rPr>
          <w:rFonts w:ascii="Arial" w:hAnsi="Arial" w:cs="Arial"/>
          <w:noProof/>
          <w:sz w:val="16"/>
          <w:szCs w:val="16"/>
          <w:lang w:val="es-PE"/>
        </w:rPr>
        <w:tab/>
        <w:t xml:space="preserve">Fernández V, Clavell E, J.Villasmil J. Niveles basales de insulina en una población del estado Zulia , Venezuela. </w:t>
      </w:r>
      <w:r w:rsidRPr="009E0769">
        <w:rPr>
          <w:rFonts w:ascii="Arial" w:hAnsi="Arial" w:cs="Arial"/>
          <w:i/>
          <w:iCs/>
          <w:noProof/>
          <w:sz w:val="16"/>
          <w:szCs w:val="16"/>
        </w:rPr>
        <w:t>Invest clin</w:t>
      </w:r>
      <w:r w:rsidRPr="009E0769">
        <w:rPr>
          <w:rFonts w:ascii="Arial" w:hAnsi="Arial" w:cs="Arial"/>
          <w:noProof/>
          <w:sz w:val="16"/>
          <w:szCs w:val="16"/>
        </w:rPr>
        <w:t xml:space="preserve">. 2014;47(June 2006):167-177. file:///C:/Users/Usuario/Downloads/base de datos/85. </w:t>
      </w:r>
      <w:r w:rsidRPr="00665066">
        <w:rPr>
          <w:rFonts w:ascii="Arial" w:hAnsi="Arial" w:cs="Arial"/>
          <w:noProof/>
          <w:sz w:val="16"/>
          <w:szCs w:val="16"/>
          <w:lang w:val="es-PE"/>
        </w:rPr>
        <w:t>VEN_XXXX_Fernández.pdf.</w:t>
      </w:r>
    </w:p>
    <w:p w14:paraId="7BF8C0E1"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665066">
        <w:rPr>
          <w:rFonts w:ascii="Arial" w:hAnsi="Arial" w:cs="Arial"/>
          <w:noProof/>
          <w:sz w:val="16"/>
          <w:szCs w:val="16"/>
          <w:lang w:val="es-PE"/>
        </w:rPr>
        <w:t xml:space="preserve">175. </w:t>
      </w:r>
      <w:r w:rsidRPr="00665066">
        <w:rPr>
          <w:rFonts w:ascii="Arial" w:hAnsi="Arial" w:cs="Arial"/>
          <w:noProof/>
          <w:sz w:val="16"/>
          <w:szCs w:val="16"/>
          <w:lang w:val="es-PE"/>
        </w:rPr>
        <w:tab/>
        <w:t xml:space="preserve">Florez H, Silva E, ez V, et al. </w:t>
      </w:r>
      <w:r w:rsidRPr="009E0769">
        <w:rPr>
          <w:rFonts w:ascii="Arial" w:hAnsi="Arial" w:cs="Arial"/>
          <w:noProof/>
          <w:sz w:val="16"/>
          <w:szCs w:val="16"/>
        </w:rPr>
        <w:t xml:space="preserve">Prevalence and risk factors associated with the metabolic syndrome and dyslipidemia in White, Black, Amerindian and Mixed Hispanics in Zulia State, Venezuela. </w:t>
      </w:r>
      <w:r w:rsidRPr="009E0769">
        <w:rPr>
          <w:rFonts w:ascii="Arial" w:hAnsi="Arial" w:cs="Arial"/>
          <w:i/>
          <w:iCs/>
          <w:noProof/>
          <w:sz w:val="16"/>
          <w:szCs w:val="16"/>
        </w:rPr>
        <w:t>Diabetes Res Clin Pract</w:t>
      </w:r>
      <w:r w:rsidRPr="009E0769">
        <w:rPr>
          <w:rFonts w:ascii="Arial" w:hAnsi="Arial" w:cs="Arial"/>
          <w:noProof/>
          <w:sz w:val="16"/>
          <w:szCs w:val="16"/>
        </w:rPr>
        <w:t>. 2005;69(1):63-77. http://ovidsp.ovid.com/ovidweb.cgi?T=JS&amp;PAGE=reference&amp;D=med5&amp;NEWS=N&amp;AN=15955388 https://ac.els-cdn.com/S0168822705000070/1-s2.0-S0168822705000070-main.pdf?_tid=b6b34263-81bb-4485-94fc-23e37b7cfb62&amp;acdnat=1551036480_a73a35a62a0cbbd499366355d682156d.</w:t>
      </w:r>
    </w:p>
    <w:p w14:paraId="110C61C4"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noProof/>
          <w:sz w:val="16"/>
          <w:szCs w:val="16"/>
        </w:rPr>
      </w:pPr>
      <w:r w:rsidRPr="009E0769">
        <w:rPr>
          <w:rFonts w:ascii="Arial" w:hAnsi="Arial" w:cs="Arial"/>
          <w:noProof/>
          <w:sz w:val="16"/>
          <w:szCs w:val="16"/>
        </w:rPr>
        <w:t xml:space="preserve">176. </w:t>
      </w:r>
      <w:r w:rsidRPr="009E0769">
        <w:rPr>
          <w:rFonts w:ascii="Arial" w:hAnsi="Arial" w:cs="Arial"/>
          <w:noProof/>
          <w:sz w:val="16"/>
          <w:szCs w:val="16"/>
        </w:rPr>
        <w:tab/>
        <w:t xml:space="preserve">Gonzalez-Rivas JP, Jose Garcia Santiago R, Ugel E, Brajkovich I, Risquez A, Nieto-Martinez R. High prevalence and poor control of hypertension in five venezuelan populations: the VEMSOLS study. </w:t>
      </w:r>
      <w:r w:rsidRPr="009E0769">
        <w:rPr>
          <w:rFonts w:ascii="Arial" w:hAnsi="Arial" w:cs="Arial"/>
          <w:i/>
          <w:iCs/>
          <w:noProof/>
          <w:sz w:val="16"/>
          <w:szCs w:val="16"/>
        </w:rPr>
        <w:t>Invest Clin</w:t>
      </w:r>
      <w:r w:rsidRPr="009E0769">
        <w:rPr>
          <w:rFonts w:ascii="Arial" w:hAnsi="Arial" w:cs="Arial"/>
          <w:noProof/>
          <w:sz w:val="16"/>
          <w:szCs w:val="16"/>
        </w:rPr>
        <w:t>. 2016;57(4):364-376. http://ovidsp.ovid.com/ovidweb.cgi?T=JS&amp;PAGE=reference&amp;D=medl&amp;NEWS=N&amp;AN=29938985.</w:t>
      </w:r>
    </w:p>
    <w:p w14:paraId="230F5095" w14:textId="77777777" w:rsidR="00665066" w:rsidRPr="00665066" w:rsidRDefault="00665066" w:rsidP="00665066">
      <w:pPr>
        <w:widowControl w:val="0"/>
        <w:autoSpaceDE w:val="0"/>
        <w:autoSpaceDN w:val="0"/>
        <w:adjustRightInd w:val="0"/>
        <w:spacing w:line="240" w:lineRule="auto"/>
        <w:ind w:left="640" w:hanging="640"/>
        <w:jc w:val="both"/>
        <w:rPr>
          <w:rFonts w:ascii="Arial" w:hAnsi="Arial" w:cs="Arial"/>
          <w:noProof/>
          <w:sz w:val="16"/>
          <w:szCs w:val="16"/>
          <w:lang w:val="es-PE"/>
        </w:rPr>
      </w:pPr>
      <w:r w:rsidRPr="00665066">
        <w:rPr>
          <w:rFonts w:ascii="Arial" w:hAnsi="Arial" w:cs="Arial"/>
          <w:noProof/>
          <w:sz w:val="16"/>
          <w:szCs w:val="16"/>
          <w:lang w:val="es-PE"/>
        </w:rPr>
        <w:t xml:space="preserve">177. </w:t>
      </w:r>
      <w:r w:rsidRPr="00665066">
        <w:rPr>
          <w:rFonts w:ascii="Arial" w:hAnsi="Arial" w:cs="Arial"/>
          <w:noProof/>
          <w:sz w:val="16"/>
          <w:szCs w:val="16"/>
          <w:lang w:val="es-PE"/>
        </w:rPr>
        <w:tab/>
        <w:t xml:space="preserve">Becerra Leal AV, Valery TL, Del P, et al. POBLACIÓN URBANA DE MUCUCHÍES , MÉRIDA. </w:t>
      </w:r>
      <w:r w:rsidRPr="00665066">
        <w:rPr>
          <w:rFonts w:ascii="Arial" w:hAnsi="Arial" w:cs="Arial"/>
          <w:i/>
          <w:iCs/>
          <w:noProof/>
          <w:sz w:val="16"/>
          <w:szCs w:val="16"/>
          <w:lang w:val="es-PE"/>
        </w:rPr>
        <w:t>Rev Venez Endocrinol y Metab</w:t>
      </w:r>
      <w:r w:rsidRPr="00665066">
        <w:rPr>
          <w:rFonts w:ascii="Arial" w:hAnsi="Arial" w:cs="Arial"/>
          <w:noProof/>
          <w:sz w:val="16"/>
          <w:szCs w:val="16"/>
          <w:lang w:val="es-PE"/>
        </w:rPr>
        <w:t>. 2009;7(3):16-22. file:///C:/Users/Usuario/Downloads/base de datos/120. VEN_2007_Becerra.pdf.</w:t>
      </w:r>
    </w:p>
    <w:p w14:paraId="1D931655" w14:textId="77777777" w:rsidR="00665066" w:rsidRPr="009E0769" w:rsidRDefault="00665066" w:rsidP="00665066">
      <w:pPr>
        <w:widowControl w:val="0"/>
        <w:autoSpaceDE w:val="0"/>
        <w:autoSpaceDN w:val="0"/>
        <w:adjustRightInd w:val="0"/>
        <w:spacing w:line="240" w:lineRule="auto"/>
        <w:ind w:left="640" w:hanging="640"/>
        <w:jc w:val="both"/>
        <w:rPr>
          <w:rFonts w:ascii="Arial" w:hAnsi="Arial" w:cs="Arial"/>
          <w:sz w:val="16"/>
          <w:szCs w:val="16"/>
        </w:rPr>
      </w:pPr>
      <w:r w:rsidRPr="00665066">
        <w:rPr>
          <w:rFonts w:ascii="Arial" w:hAnsi="Arial" w:cs="Arial"/>
          <w:noProof/>
          <w:sz w:val="16"/>
          <w:szCs w:val="16"/>
          <w:lang w:val="es-PE"/>
        </w:rPr>
        <w:t xml:space="preserve">178. </w:t>
      </w:r>
      <w:r w:rsidRPr="00665066">
        <w:rPr>
          <w:rFonts w:ascii="Arial" w:hAnsi="Arial" w:cs="Arial"/>
          <w:noProof/>
          <w:sz w:val="16"/>
          <w:szCs w:val="16"/>
          <w:lang w:val="es-PE"/>
        </w:rPr>
        <w:tab/>
        <w:t xml:space="preserve">Bermúdez V, Rojas J, Salazar J, et al. </w:t>
      </w:r>
      <w:r w:rsidRPr="009E0769">
        <w:rPr>
          <w:rFonts w:ascii="Arial" w:hAnsi="Arial" w:cs="Arial"/>
          <w:noProof/>
          <w:sz w:val="16"/>
          <w:szCs w:val="16"/>
        </w:rPr>
        <w:t xml:space="preserve">Variations of lipoprotein(a) levels in the metabolic syndrome: A report from the Maracaibo City metabolic syndrome prevalence study. </w:t>
      </w:r>
      <w:r w:rsidRPr="009E0769">
        <w:rPr>
          <w:rFonts w:ascii="Arial" w:hAnsi="Arial" w:cs="Arial"/>
          <w:i/>
          <w:iCs/>
          <w:noProof/>
          <w:sz w:val="16"/>
          <w:szCs w:val="16"/>
        </w:rPr>
        <w:t>J Diabetes Res</w:t>
      </w:r>
      <w:r w:rsidRPr="009E0769">
        <w:rPr>
          <w:rFonts w:ascii="Arial" w:hAnsi="Arial" w:cs="Arial"/>
          <w:noProof/>
          <w:sz w:val="16"/>
          <w:szCs w:val="16"/>
        </w:rPr>
        <w:t>. 2013;2013. doi:10.1155/2013/416451</w:t>
      </w:r>
      <w:r w:rsidRPr="009E0769">
        <w:rPr>
          <w:rFonts w:ascii="Arial" w:hAnsi="Arial" w:cs="Arial"/>
          <w:sz w:val="16"/>
          <w:szCs w:val="16"/>
        </w:rPr>
        <w:fldChar w:fldCharType="end"/>
      </w:r>
    </w:p>
    <w:p w14:paraId="4AD18070" w14:textId="77777777" w:rsidR="00665066" w:rsidRPr="0054001C" w:rsidRDefault="00665066" w:rsidP="00665066">
      <w:pPr>
        <w:pStyle w:val="NoSpacing"/>
        <w:rPr>
          <w:rFonts w:ascii="Arial" w:hAnsi="Arial" w:cs="Arial"/>
          <w:sz w:val="20"/>
          <w:szCs w:val="20"/>
          <w:lang w:val="en-GB"/>
        </w:rPr>
      </w:pPr>
    </w:p>
    <w:p w14:paraId="3E8BE084" w14:textId="77777777" w:rsidR="00665066" w:rsidRPr="0062442A" w:rsidRDefault="00665066" w:rsidP="00D16702">
      <w:pPr>
        <w:rPr>
          <w:rFonts w:ascii="Arial" w:hAnsi="Arial" w:cs="Arial"/>
          <w:sz w:val="20"/>
          <w:szCs w:val="20"/>
        </w:rPr>
      </w:pPr>
    </w:p>
    <w:p w14:paraId="4E21C3C0" w14:textId="77777777" w:rsidR="00D16702" w:rsidRDefault="00D16702" w:rsidP="00782576"/>
    <w:p w14:paraId="6B4F39C3" w14:textId="77777777" w:rsidR="00D16702" w:rsidRDefault="00D16702">
      <w:pPr>
        <w:rPr>
          <w:rFonts w:eastAsiaTheme="majorEastAsia" w:cstheme="majorBidi"/>
          <w:b/>
          <w:bCs/>
        </w:rPr>
      </w:pPr>
      <w:r>
        <w:lastRenderedPageBreak/>
        <w:br w:type="page"/>
      </w:r>
    </w:p>
    <w:p w14:paraId="298E008C" w14:textId="19BDCEFC" w:rsidR="00E572E4" w:rsidRPr="00876478" w:rsidRDefault="00E572E4" w:rsidP="00E572E4">
      <w:pPr>
        <w:pStyle w:val="Heading1"/>
        <w:rPr>
          <w:rFonts w:ascii="Arial" w:hAnsi="Arial" w:cs="Arial"/>
          <w:color w:val="auto"/>
          <w:sz w:val="20"/>
          <w:szCs w:val="20"/>
          <w:lang w:val="en-GB"/>
        </w:rPr>
      </w:pPr>
      <w:bookmarkStart w:id="8" w:name="_Toc42494723"/>
      <w:r w:rsidRPr="00876478">
        <w:rPr>
          <w:rFonts w:ascii="Arial" w:hAnsi="Arial" w:cs="Arial"/>
          <w:color w:val="auto"/>
          <w:sz w:val="20"/>
          <w:szCs w:val="20"/>
          <w:lang w:val="en-GB"/>
        </w:rPr>
        <w:lastRenderedPageBreak/>
        <w:t>Supplementary Table 2: Mean levels (mg/dl) of selected lipid biomarkers (19</w:t>
      </w:r>
      <w:r w:rsidR="0062442A">
        <w:rPr>
          <w:rFonts w:ascii="Arial" w:hAnsi="Arial" w:cs="Arial"/>
          <w:color w:val="auto"/>
          <w:sz w:val="20"/>
          <w:szCs w:val="20"/>
          <w:lang w:val="en-GB"/>
        </w:rPr>
        <w:t>7</w:t>
      </w:r>
      <w:r w:rsidRPr="00876478">
        <w:rPr>
          <w:rFonts w:ascii="Arial" w:hAnsi="Arial" w:cs="Arial"/>
          <w:color w:val="auto"/>
          <w:sz w:val="20"/>
          <w:szCs w:val="20"/>
          <w:lang w:val="en-GB"/>
        </w:rPr>
        <w:t xml:space="preserve"> studies)</w:t>
      </w:r>
      <w:bookmarkEnd w:id="8"/>
    </w:p>
    <w:p w14:paraId="23E59766" w14:textId="310FC345" w:rsidR="00BA00CD" w:rsidRDefault="00BA00CD" w:rsidP="00BA00CD">
      <w:pPr>
        <w:pStyle w:val="NoSpacing"/>
        <w:rPr>
          <w:lang w:val="en-GB"/>
        </w:rPr>
      </w:pPr>
    </w:p>
    <w:tbl>
      <w:tblPr>
        <w:tblW w:w="5000" w:type="pct"/>
        <w:jc w:val="center"/>
        <w:tblLook w:val="04A0" w:firstRow="1" w:lastRow="0" w:firstColumn="1" w:lastColumn="0" w:noHBand="0" w:noVBand="1"/>
      </w:tblPr>
      <w:tblGrid>
        <w:gridCol w:w="1961"/>
        <w:gridCol w:w="3075"/>
        <w:gridCol w:w="1452"/>
        <w:gridCol w:w="1728"/>
        <w:gridCol w:w="1497"/>
        <w:gridCol w:w="1434"/>
        <w:gridCol w:w="1452"/>
        <w:gridCol w:w="1575"/>
      </w:tblGrid>
      <w:tr w:rsidR="00574BFB" w:rsidRPr="00574BFB" w14:paraId="45BFF860" w14:textId="77777777" w:rsidTr="00574BFB">
        <w:trPr>
          <w:trHeight w:val="300"/>
          <w:jc w:val="center"/>
        </w:trPr>
        <w:tc>
          <w:tcPr>
            <w:tcW w:w="71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A5E424" w14:textId="77777777" w:rsidR="00574BFB" w:rsidRPr="00574BFB" w:rsidRDefault="00574BFB" w:rsidP="00574BFB">
            <w:pPr>
              <w:spacing w:after="0" w:line="240" w:lineRule="auto"/>
              <w:jc w:val="center"/>
              <w:rPr>
                <w:rFonts w:ascii="Arial" w:eastAsia="Times New Roman" w:hAnsi="Arial" w:cs="Arial"/>
                <w:b/>
                <w:bCs/>
                <w:color w:val="000000"/>
                <w:sz w:val="16"/>
                <w:szCs w:val="16"/>
                <w:lang w:eastAsia="en-GB"/>
              </w:rPr>
            </w:pPr>
            <w:r w:rsidRPr="00574BFB">
              <w:rPr>
                <w:rFonts w:ascii="Arial" w:eastAsia="Times New Roman" w:hAnsi="Arial" w:cs="Arial"/>
                <w:b/>
                <w:bCs/>
                <w:color w:val="000000"/>
                <w:sz w:val="16"/>
                <w:szCs w:val="16"/>
                <w:lang w:eastAsia="en-GB"/>
              </w:rPr>
              <w:t>Country</w:t>
            </w:r>
          </w:p>
        </w:tc>
        <w:tc>
          <w:tcPr>
            <w:tcW w:w="1108" w:type="pct"/>
            <w:tcBorders>
              <w:top w:val="single" w:sz="4" w:space="0" w:color="auto"/>
              <w:left w:val="nil"/>
              <w:bottom w:val="single" w:sz="4" w:space="0" w:color="auto"/>
              <w:right w:val="single" w:sz="4" w:space="0" w:color="auto"/>
            </w:tcBorders>
            <w:shd w:val="clear" w:color="000000" w:fill="BFBFBF"/>
            <w:noWrap/>
            <w:vAlign w:val="bottom"/>
            <w:hideMark/>
          </w:tcPr>
          <w:p w14:paraId="2D2E1637" w14:textId="77777777" w:rsidR="00574BFB" w:rsidRPr="00574BFB" w:rsidRDefault="00574BFB" w:rsidP="00574BFB">
            <w:pPr>
              <w:spacing w:after="0" w:line="240" w:lineRule="auto"/>
              <w:jc w:val="center"/>
              <w:rPr>
                <w:rFonts w:ascii="Arial" w:eastAsia="Times New Roman" w:hAnsi="Arial" w:cs="Arial"/>
                <w:b/>
                <w:bCs/>
                <w:color w:val="000000"/>
                <w:sz w:val="16"/>
                <w:szCs w:val="16"/>
                <w:lang w:eastAsia="en-GB"/>
              </w:rPr>
            </w:pPr>
            <w:r w:rsidRPr="00574BFB">
              <w:rPr>
                <w:rFonts w:ascii="Arial" w:eastAsia="Times New Roman" w:hAnsi="Arial" w:cs="Arial"/>
                <w:b/>
                <w:bCs/>
                <w:color w:val="000000"/>
                <w:sz w:val="16"/>
                <w:szCs w:val="16"/>
                <w:lang w:eastAsia="en-GB"/>
              </w:rPr>
              <w:t>1st author</w:t>
            </w:r>
          </w:p>
        </w:tc>
        <w:tc>
          <w:tcPr>
            <w:tcW w:w="530" w:type="pct"/>
            <w:tcBorders>
              <w:top w:val="single" w:sz="4" w:space="0" w:color="auto"/>
              <w:left w:val="nil"/>
              <w:bottom w:val="single" w:sz="4" w:space="0" w:color="auto"/>
              <w:right w:val="single" w:sz="4" w:space="0" w:color="auto"/>
            </w:tcBorders>
            <w:shd w:val="clear" w:color="000000" w:fill="BFBFBF"/>
            <w:noWrap/>
            <w:vAlign w:val="bottom"/>
            <w:hideMark/>
          </w:tcPr>
          <w:p w14:paraId="5C170D5A" w14:textId="77777777" w:rsidR="00574BFB" w:rsidRPr="00574BFB" w:rsidRDefault="00574BFB" w:rsidP="00574BFB">
            <w:pPr>
              <w:spacing w:after="0" w:line="240" w:lineRule="auto"/>
              <w:jc w:val="center"/>
              <w:rPr>
                <w:rFonts w:ascii="Arial" w:eastAsia="Times New Roman" w:hAnsi="Arial" w:cs="Arial"/>
                <w:b/>
                <w:bCs/>
                <w:color w:val="000000"/>
                <w:sz w:val="16"/>
                <w:szCs w:val="16"/>
                <w:lang w:eastAsia="en-GB"/>
              </w:rPr>
            </w:pPr>
            <w:r w:rsidRPr="00574BFB">
              <w:rPr>
                <w:rFonts w:ascii="Arial" w:eastAsia="Times New Roman" w:hAnsi="Arial" w:cs="Arial"/>
                <w:b/>
                <w:bCs/>
                <w:color w:val="000000"/>
                <w:sz w:val="16"/>
                <w:szCs w:val="16"/>
                <w:lang w:eastAsia="en-GB"/>
              </w:rPr>
              <w:t>Publication year</w:t>
            </w:r>
          </w:p>
        </w:tc>
        <w:tc>
          <w:tcPr>
            <w:tcW w:w="473" w:type="pct"/>
            <w:tcBorders>
              <w:top w:val="single" w:sz="4" w:space="0" w:color="auto"/>
              <w:left w:val="nil"/>
              <w:bottom w:val="single" w:sz="4" w:space="0" w:color="auto"/>
              <w:right w:val="single" w:sz="4" w:space="0" w:color="auto"/>
            </w:tcBorders>
            <w:shd w:val="clear" w:color="000000" w:fill="BFBFBF"/>
            <w:noWrap/>
            <w:vAlign w:val="bottom"/>
            <w:hideMark/>
          </w:tcPr>
          <w:p w14:paraId="7B681992" w14:textId="77777777" w:rsidR="00574BFB" w:rsidRPr="00574BFB" w:rsidRDefault="00574BFB" w:rsidP="00574BFB">
            <w:pPr>
              <w:spacing w:after="0" w:line="240" w:lineRule="auto"/>
              <w:jc w:val="center"/>
              <w:rPr>
                <w:rFonts w:ascii="Arial" w:eastAsia="Times New Roman" w:hAnsi="Arial" w:cs="Arial"/>
                <w:b/>
                <w:bCs/>
                <w:color w:val="000000"/>
                <w:sz w:val="16"/>
                <w:szCs w:val="16"/>
                <w:lang w:eastAsia="en-GB"/>
              </w:rPr>
            </w:pPr>
            <w:r w:rsidRPr="00574BFB">
              <w:rPr>
                <w:rFonts w:ascii="Arial" w:eastAsia="Times New Roman" w:hAnsi="Arial" w:cs="Arial"/>
                <w:b/>
                <w:bCs/>
                <w:color w:val="000000"/>
                <w:sz w:val="16"/>
                <w:szCs w:val="16"/>
                <w:lang w:eastAsia="en-GB"/>
              </w:rPr>
              <w:t>Data collection year</w:t>
            </w:r>
          </w:p>
        </w:tc>
        <w:tc>
          <w:tcPr>
            <w:tcW w:w="526" w:type="pct"/>
            <w:tcBorders>
              <w:top w:val="single" w:sz="4" w:space="0" w:color="auto"/>
              <w:left w:val="nil"/>
              <w:bottom w:val="single" w:sz="4" w:space="0" w:color="auto"/>
              <w:right w:val="single" w:sz="4" w:space="0" w:color="auto"/>
            </w:tcBorders>
            <w:shd w:val="clear" w:color="000000" w:fill="BFBFBF"/>
            <w:noWrap/>
            <w:vAlign w:val="bottom"/>
            <w:hideMark/>
          </w:tcPr>
          <w:p w14:paraId="63A9FB1C" w14:textId="77777777" w:rsidR="00574BFB" w:rsidRPr="00574BFB" w:rsidRDefault="00574BFB" w:rsidP="00574BFB">
            <w:pPr>
              <w:spacing w:after="0" w:line="240" w:lineRule="auto"/>
              <w:jc w:val="center"/>
              <w:rPr>
                <w:rFonts w:ascii="Arial" w:eastAsia="Times New Roman" w:hAnsi="Arial" w:cs="Arial"/>
                <w:b/>
                <w:bCs/>
                <w:color w:val="000000"/>
                <w:sz w:val="16"/>
                <w:szCs w:val="16"/>
                <w:lang w:eastAsia="en-GB"/>
              </w:rPr>
            </w:pPr>
            <w:r w:rsidRPr="00574BFB">
              <w:rPr>
                <w:rFonts w:ascii="Arial" w:eastAsia="Times New Roman" w:hAnsi="Arial" w:cs="Arial"/>
                <w:b/>
                <w:bCs/>
                <w:color w:val="000000"/>
                <w:sz w:val="16"/>
                <w:szCs w:val="16"/>
                <w:lang w:eastAsia="en-GB"/>
              </w:rPr>
              <w:t>Total cholesterol</w:t>
            </w:r>
          </w:p>
        </w:tc>
        <w:tc>
          <w:tcPr>
            <w:tcW w:w="526" w:type="pct"/>
            <w:tcBorders>
              <w:top w:val="single" w:sz="4" w:space="0" w:color="auto"/>
              <w:left w:val="nil"/>
              <w:bottom w:val="single" w:sz="4" w:space="0" w:color="auto"/>
              <w:right w:val="single" w:sz="4" w:space="0" w:color="auto"/>
            </w:tcBorders>
            <w:shd w:val="clear" w:color="000000" w:fill="BFBFBF"/>
            <w:noWrap/>
            <w:vAlign w:val="bottom"/>
            <w:hideMark/>
          </w:tcPr>
          <w:p w14:paraId="0B1351CB" w14:textId="77777777" w:rsidR="00574BFB" w:rsidRPr="00574BFB" w:rsidRDefault="00574BFB" w:rsidP="00574BFB">
            <w:pPr>
              <w:spacing w:after="0" w:line="240" w:lineRule="auto"/>
              <w:jc w:val="center"/>
              <w:rPr>
                <w:rFonts w:ascii="Arial" w:eastAsia="Times New Roman" w:hAnsi="Arial" w:cs="Arial"/>
                <w:b/>
                <w:bCs/>
                <w:color w:val="000000"/>
                <w:sz w:val="16"/>
                <w:szCs w:val="16"/>
                <w:lang w:eastAsia="en-GB"/>
              </w:rPr>
            </w:pPr>
            <w:r w:rsidRPr="00574BFB">
              <w:rPr>
                <w:rFonts w:ascii="Arial" w:eastAsia="Times New Roman" w:hAnsi="Arial" w:cs="Arial"/>
                <w:b/>
                <w:bCs/>
                <w:color w:val="000000"/>
                <w:sz w:val="16"/>
                <w:szCs w:val="16"/>
                <w:lang w:eastAsia="en-GB"/>
              </w:rPr>
              <w:t>LDL-cholesterol</w:t>
            </w:r>
          </w:p>
        </w:tc>
        <w:tc>
          <w:tcPr>
            <w:tcW w:w="526" w:type="pct"/>
            <w:tcBorders>
              <w:top w:val="single" w:sz="4" w:space="0" w:color="auto"/>
              <w:left w:val="nil"/>
              <w:bottom w:val="single" w:sz="4" w:space="0" w:color="auto"/>
              <w:right w:val="single" w:sz="4" w:space="0" w:color="auto"/>
            </w:tcBorders>
            <w:shd w:val="clear" w:color="000000" w:fill="BFBFBF"/>
            <w:noWrap/>
            <w:vAlign w:val="bottom"/>
            <w:hideMark/>
          </w:tcPr>
          <w:p w14:paraId="7F358C71" w14:textId="77777777" w:rsidR="00574BFB" w:rsidRPr="00574BFB" w:rsidRDefault="00574BFB" w:rsidP="00574BFB">
            <w:pPr>
              <w:spacing w:after="0" w:line="240" w:lineRule="auto"/>
              <w:jc w:val="center"/>
              <w:rPr>
                <w:rFonts w:ascii="Arial" w:eastAsia="Times New Roman" w:hAnsi="Arial" w:cs="Arial"/>
                <w:b/>
                <w:bCs/>
                <w:color w:val="000000"/>
                <w:sz w:val="16"/>
                <w:szCs w:val="16"/>
                <w:lang w:eastAsia="en-GB"/>
              </w:rPr>
            </w:pPr>
            <w:r w:rsidRPr="00574BFB">
              <w:rPr>
                <w:rFonts w:ascii="Arial" w:eastAsia="Times New Roman" w:hAnsi="Arial" w:cs="Arial"/>
                <w:b/>
                <w:bCs/>
                <w:color w:val="000000"/>
                <w:sz w:val="16"/>
                <w:szCs w:val="16"/>
                <w:lang w:eastAsia="en-GB"/>
              </w:rPr>
              <w:t>HDL-cholesterol</w:t>
            </w:r>
          </w:p>
        </w:tc>
        <w:tc>
          <w:tcPr>
            <w:tcW w:w="596" w:type="pct"/>
            <w:tcBorders>
              <w:top w:val="single" w:sz="4" w:space="0" w:color="auto"/>
              <w:left w:val="nil"/>
              <w:bottom w:val="single" w:sz="4" w:space="0" w:color="auto"/>
              <w:right w:val="single" w:sz="4" w:space="0" w:color="auto"/>
            </w:tcBorders>
            <w:shd w:val="clear" w:color="000000" w:fill="BFBFBF"/>
            <w:noWrap/>
            <w:vAlign w:val="bottom"/>
            <w:hideMark/>
          </w:tcPr>
          <w:p w14:paraId="4459D7FE" w14:textId="77777777" w:rsidR="00574BFB" w:rsidRPr="00574BFB" w:rsidRDefault="00574BFB" w:rsidP="00574BFB">
            <w:pPr>
              <w:spacing w:after="0" w:line="240" w:lineRule="auto"/>
              <w:jc w:val="center"/>
              <w:rPr>
                <w:rFonts w:ascii="Arial" w:eastAsia="Times New Roman" w:hAnsi="Arial" w:cs="Arial"/>
                <w:b/>
                <w:bCs/>
                <w:color w:val="000000"/>
                <w:sz w:val="16"/>
                <w:szCs w:val="16"/>
                <w:lang w:eastAsia="en-GB"/>
              </w:rPr>
            </w:pPr>
            <w:r w:rsidRPr="00574BFB">
              <w:rPr>
                <w:rFonts w:ascii="Arial" w:eastAsia="Times New Roman" w:hAnsi="Arial" w:cs="Arial"/>
                <w:b/>
                <w:bCs/>
                <w:color w:val="000000"/>
                <w:sz w:val="16"/>
                <w:szCs w:val="16"/>
                <w:lang w:eastAsia="en-GB"/>
              </w:rPr>
              <w:t>Triglycerides</w:t>
            </w:r>
          </w:p>
        </w:tc>
      </w:tr>
      <w:tr w:rsidR="00574BFB" w:rsidRPr="00574BFB" w14:paraId="6E08032B"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0A8513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Argentina</w:t>
            </w:r>
          </w:p>
        </w:tc>
        <w:tc>
          <w:tcPr>
            <w:tcW w:w="1108" w:type="pct"/>
            <w:tcBorders>
              <w:top w:val="nil"/>
              <w:left w:val="nil"/>
              <w:bottom w:val="single" w:sz="4" w:space="0" w:color="auto"/>
              <w:right w:val="single" w:sz="4" w:space="0" w:color="auto"/>
            </w:tcBorders>
            <w:shd w:val="clear" w:color="auto" w:fill="auto"/>
            <w:noWrap/>
            <w:vAlign w:val="bottom"/>
            <w:hideMark/>
          </w:tcPr>
          <w:p w14:paraId="043FA83C"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Vinueza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1925BAC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577B018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526" w:type="pct"/>
            <w:tcBorders>
              <w:top w:val="nil"/>
              <w:left w:val="nil"/>
              <w:bottom w:val="single" w:sz="4" w:space="0" w:color="auto"/>
              <w:right w:val="single" w:sz="4" w:space="0" w:color="auto"/>
            </w:tcBorders>
            <w:shd w:val="clear" w:color="auto" w:fill="auto"/>
            <w:noWrap/>
            <w:vAlign w:val="bottom"/>
            <w:hideMark/>
          </w:tcPr>
          <w:p w14:paraId="24F5F8A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w:t>
            </w:r>
          </w:p>
        </w:tc>
        <w:tc>
          <w:tcPr>
            <w:tcW w:w="526" w:type="pct"/>
            <w:tcBorders>
              <w:top w:val="nil"/>
              <w:left w:val="nil"/>
              <w:bottom w:val="single" w:sz="4" w:space="0" w:color="auto"/>
              <w:right w:val="single" w:sz="4" w:space="0" w:color="auto"/>
            </w:tcBorders>
            <w:shd w:val="clear" w:color="auto" w:fill="auto"/>
            <w:noWrap/>
            <w:vAlign w:val="bottom"/>
            <w:hideMark/>
          </w:tcPr>
          <w:p w14:paraId="0B50CE0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126.1</w:t>
            </w:r>
          </w:p>
        </w:tc>
        <w:tc>
          <w:tcPr>
            <w:tcW w:w="526" w:type="pct"/>
            <w:tcBorders>
              <w:top w:val="nil"/>
              <w:left w:val="nil"/>
              <w:bottom w:val="single" w:sz="4" w:space="0" w:color="auto"/>
              <w:right w:val="single" w:sz="4" w:space="0" w:color="auto"/>
            </w:tcBorders>
            <w:shd w:val="clear" w:color="auto" w:fill="auto"/>
            <w:noWrap/>
            <w:vAlign w:val="bottom"/>
            <w:hideMark/>
          </w:tcPr>
          <w:p w14:paraId="35FC8E3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52.5</w:t>
            </w:r>
          </w:p>
        </w:tc>
        <w:tc>
          <w:tcPr>
            <w:tcW w:w="596" w:type="pct"/>
            <w:tcBorders>
              <w:top w:val="nil"/>
              <w:left w:val="nil"/>
              <w:bottom w:val="single" w:sz="4" w:space="0" w:color="auto"/>
              <w:right w:val="single" w:sz="4" w:space="0" w:color="auto"/>
            </w:tcBorders>
            <w:shd w:val="clear" w:color="auto" w:fill="auto"/>
            <w:noWrap/>
            <w:vAlign w:val="bottom"/>
            <w:hideMark/>
          </w:tcPr>
          <w:p w14:paraId="34E91CF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114.3</w:t>
            </w:r>
          </w:p>
        </w:tc>
      </w:tr>
      <w:tr w:rsidR="00574BFB" w:rsidRPr="00574BFB" w14:paraId="5635881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46E7C9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Argentina</w:t>
            </w:r>
          </w:p>
        </w:tc>
        <w:tc>
          <w:tcPr>
            <w:tcW w:w="1108" w:type="pct"/>
            <w:tcBorders>
              <w:top w:val="nil"/>
              <w:left w:val="nil"/>
              <w:bottom w:val="single" w:sz="4" w:space="0" w:color="auto"/>
              <w:right w:val="single" w:sz="4" w:space="0" w:color="auto"/>
            </w:tcBorders>
            <w:shd w:val="clear" w:color="auto" w:fill="auto"/>
            <w:noWrap/>
            <w:vAlign w:val="bottom"/>
            <w:hideMark/>
          </w:tcPr>
          <w:p w14:paraId="5DAF4D6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Salazar</w:t>
            </w:r>
          </w:p>
        </w:tc>
        <w:tc>
          <w:tcPr>
            <w:tcW w:w="530" w:type="pct"/>
            <w:tcBorders>
              <w:top w:val="nil"/>
              <w:left w:val="nil"/>
              <w:bottom w:val="single" w:sz="4" w:space="0" w:color="auto"/>
              <w:right w:val="single" w:sz="4" w:space="0" w:color="auto"/>
            </w:tcBorders>
            <w:shd w:val="clear" w:color="auto" w:fill="auto"/>
            <w:noWrap/>
            <w:vAlign w:val="bottom"/>
            <w:hideMark/>
          </w:tcPr>
          <w:p w14:paraId="2939555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178CAEA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2003</w:t>
            </w:r>
          </w:p>
        </w:tc>
        <w:tc>
          <w:tcPr>
            <w:tcW w:w="526" w:type="pct"/>
            <w:tcBorders>
              <w:top w:val="nil"/>
              <w:left w:val="nil"/>
              <w:bottom w:val="single" w:sz="4" w:space="0" w:color="auto"/>
              <w:right w:val="single" w:sz="4" w:space="0" w:color="auto"/>
            </w:tcBorders>
            <w:shd w:val="clear" w:color="auto" w:fill="auto"/>
            <w:noWrap/>
            <w:vAlign w:val="bottom"/>
            <w:hideMark/>
          </w:tcPr>
          <w:p w14:paraId="0B15C6D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231.63</w:t>
            </w:r>
          </w:p>
        </w:tc>
        <w:tc>
          <w:tcPr>
            <w:tcW w:w="526" w:type="pct"/>
            <w:tcBorders>
              <w:top w:val="nil"/>
              <w:left w:val="nil"/>
              <w:bottom w:val="single" w:sz="4" w:space="0" w:color="auto"/>
              <w:right w:val="single" w:sz="4" w:space="0" w:color="auto"/>
            </w:tcBorders>
            <w:shd w:val="clear" w:color="auto" w:fill="auto"/>
            <w:noWrap/>
            <w:vAlign w:val="bottom"/>
            <w:hideMark/>
          </w:tcPr>
          <w:p w14:paraId="5D78FA9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142.69</w:t>
            </w:r>
          </w:p>
        </w:tc>
        <w:tc>
          <w:tcPr>
            <w:tcW w:w="526" w:type="pct"/>
            <w:tcBorders>
              <w:top w:val="nil"/>
              <w:left w:val="nil"/>
              <w:bottom w:val="single" w:sz="4" w:space="0" w:color="auto"/>
              <w:right w:val="single" w:sz="4" w:space="0" w:color="auto"/>
            </w:tcBorders>
            <w:shd w:val="clear" w:color="auto" w:fill="auto"/>
            <w:noWrap/>
            <w:vAlign w:val="bottom"/>
            <w:hideMark/>
          </w:tcPr>
          <w:p w14:paraId="05327BA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58.39</w:t>
            </w:r>
          </w:p>
        </w:tc>
        <w:tc>
          <w:tcPr>
            <w:tcW w:w="596" w:type="pct"/>
            <w:tcBorders>
              <w:top w:val="nil"/>
              <w:left w:val="nil"/>
              <w:bottom w:val="single" w:sz="4" w:space="0" w:color="auto"/>
              <w:right w:val="single" w:sz="4" w:space="0" w:color="auto"/>
            </w:tcBorders>
            <w:shd w:val="clear" w:color="auto" w:fill="auto"/>
            <w:noWrap/>
            <w:vAlign w:val="bottom"/>
            <w:hideMark/>
          </w:tcPr>
          <w:p w14:paraId="7CBF693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140.83</w:t>
            </w:r>
          </w:p>
        </w:tc>
      </w:tr>
      <w:tr w:rsidR="00574BFB" w:rsidRPr="00574BFB" w14:paraId="3FC475AC"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EB23A3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Argentina</w:t>
            </w:r>
          </w:p>
        </w:tc>
        <w:tc>
          <w:tcPr>
            <w:tcW w:w="1108" w:type="pct"/>
            <w:tcBorders>
              <w:top w:val="nil"/>
              <w:left w:val="nil"/>
              <w:bottom w:val="single" w:sz="4" w:space="0" w:color="auto"/>
              <w:right w:val="single" w:sz="4" w:space="0" w:color="auto"/>
            </w:tcBorders>
            <w:shd w:val="clear" w:color="auto" w:fill="auto"/>
            <w:noWrap/>
            <w:vAlign w:val="bottom"/>
            <w:hideMark/>
          </w:tcPr>
          <w:p w14:paraId="7670066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Rubinstein</w:t>
            </w:r>
          </w:p>
        </w:tc>
        <w:tc>
          <w:tcPr>
            <w:tcW w:w="530" w:type="pct"/>
            <w:tcBorders>
              <w:top w:val="nil"/>
              <w:left w:val="nil"/>
              <w:bottom w:val="single" w:sz="4" w:space="0" w:color="auto"/>
              <w:right w:val="single" w:sz="4" w:space="0" w:color="auto"/>
            </w:tcBorders>
            <w:shd w:val="clear" w:color="auto" w:fill="auto"/>
            <w:noWrap/>
            <w:vAlign w:val="bottom"/>
            <w:hideMark/>
          </w:tcPr>
          <w:p w14:paraId="42B18C2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3059C68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526" w:type="pct"/>
            <w:tcBorders>
              <w:top w:val="nil"/>
              <w:left w:val="nil"/>
              <w:bottom w:val="single" w:sz="4" w:space="0" w:color="auto"/>
              <w:right w:val="single" w:sz="4" w:space="0" w:color="auto"/>
            </w:tcBorders>
            <w:shd w:val="clear" w:color="auto" w:fill="auto"/>
            <w:noWrap/>
            <w:vAlign w:val="bottom"/>
            <w:hideMark/>
          </w:tcPr>
          <w:p w14:paraId="7F22CCA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199.99</w:t>
            </w:r>
          </w:p>
        </w:tc>
        <w:tc>
          <w:tcPr>
            <w:tcW w:w="526" w:type="pct"/>
            <w:tcBorders>
              <w:top w:val="nil"/>
              <w:left w:val="nil"/>
              <w:bottom w:val="single" w:sz="4" w:space="0" w:color="auto"/>
              <w:right w:val="single" w:sz="4" w:space="0" w:color="auto"/>
            </w:tcBorders>
            <w:shd w:val="clear" w:color="auto" w:fill="auto"/>
            <w:noWrap/>
            <w:vAlign w:val="bottom"/>
            <w:hideMark/>
          </w:tcPr>
          <w:p w14:paraId="75126D7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125.25</w:t>
            </w:r>
          </w:p>
        </w:tc>
        <w:tc>
          <w:tcPr>
            <w:tcW w:w="526" w:type="pct"/>
            <w:tcBorders>
              <w:top w:val="nil"/>
              <w:left w:val="nil"/>
              <w:bottom w:val="single" w:sz="4" w:space="0" w:color="auto"/>
              <w:right w:val="single" w:sz="4" w:space="0" w:color="auto"/>
            </w:tcBorders>
            <w:shd w:val="clear" w:color="auto" w:fill="auto"/>
            <w:noWrap/>
            <w:vAlign w:val="bottom"/>
            <w:hideMark/>
          </w:tcPr>
          <w:p w14:paraId="5EFF95F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45.25</w:t>
            </w:r>
          </w:p>
        </w:tc>
        <w:tc>
          <w:tcPr>
            <w:tcW w:w="596" w:type="pct"/>
            <w:tcBorders>
              <w:top w:val="nil"/>
              <w:left w:val="nil"/>
              <w:bottom w:val="single" w:sz="4" w:space="0" w:color="auto"/>
              <w:right w:val="single" w:sz="4" w:space="0" w:color="auto"/>
            </w:tcBorders>
            <w:shd w:val="clear" w:color="auto" w:fill="auto"/>
            <w:noWrap/>
            <w:vAlign w:val="bottom"/>
            <w:hideMark/>
          </w:tcPr>
          <w:p w14:paraId="0E286C0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155.39</w:t>
            </w:r>
          </w:p>
        </w:tc>
      </w:tr>
      <w:tr w:rsidR="00574BFB" w:rsidRPr="00574BFB" w14:paraId="3C79C4A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EE3255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Argentina</w:t>
            </w:r>
          </w:p>
        </w:tc>
        <w:tc>
          <w:tcPr>
            <w:tcW w:w="1108" w:type="pct"/>
            <w:tcBorders>
              <w:top w:val="nil"/>
              <w:left w:val="nil"/>
              <w:bottom w:val="single" w:sz="4" w:space="0" w:color="auto"/>
              <w:right w:val="single" w:sz="4" w:space="0" w:color="auto"/>
            </w:tcBorders>
            <w:shd w:val="clear" w:color="auto" w:fill="auto"/>
            <w:noWrap/>
            <w:vAlign w:val="bottom"/>
            <w:hideMark/>
          </w:tcPr>
          <w:p w14:paraId="1B1D77D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Salazar</w:t>
            </w:r>
          </w:p>
        </w:tc>
        <w:tc>
          <w:tcPr>
            <w:tcW w:w="530" w:type="pct"/>
            <w:tcBorders>
              <w:top w:val="nil"/>
              <w:left w:val="nil"/>
              <w:bottom w:val="single" w:sz="4" w:space="0" w:color="auto"/>
              <w:right w:val="single" w:sz="4" w:space="0" w:color="auto"/>
            </w:tcBorders>
            <w:shd w:val="clear" w:color="auto" w:fill="auto"/>
            <w:noWrap/>
            <w:vAlign w:val="bottom"/>
            <w:hideMark/>
          </w:tcPr>
          <w:p w14:paraId="548B542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473" w:type="pct"/>
            <w:tcBorders>
              <w:top w:val="nil"/>
              <w:left w:val="nil"/>
              <w:bottom w:val="single" w:sz="4" w:space="0" w:color="auto"/>
              <w:right w:val="single" w:sz="4" w:space="0" w:color="auto"/>
            </w:tcBorders>
            <w:shd w:val="clear" w:color="auto" w:fill="auto"/>
            <w:noWrap/>
            <w:vAlign w:val="bottom"/>
            <w:hideMark/>
          </w:tcPr>
          <w:p w14:paraId="0027A52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526" w:type="pct"/>
            <w:tcBorders>
              <w:top w:val="nil"/>
              <w:left w:val="nil"/>
              <w:bottom w:val="single" w:sz="4" w:space="0" w:color="auto"/>
              <w:right w:val="single" w:sz="4" w:space="0" w:color="auto"/>
            </w:tcBorders>
            <w:shd w:val="clear" w:color="auto" w:fill="auto"/>
            <w:noWrap/>
            <w:vAlign w:val="bottom"/>
            <w:hideMark/>
          </w:tcPr>
          <w:p w14:paraId="0BF8566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116DFC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594501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61.7</w:t>
            </w:r>
          </w:p>
        </w:tc>
        <w:tc>
          <w:tcPr>
            <w:tcW w:w="596" w:type="pct"/>
            <w:tcBorders>
              <w:top w:val="nil"/>
              <w:left w:val="nil"/>
              <w:bottom w:val="single" w:sz="4" w:space="0" w:color="auto"/>
              <w:right w:val="single" w:sz="4" w:space="0" w:color="auto"/>
            </w:tcBorders>
            <w:shd w:val="clear" w:color="auto" w:fill="auto"/>
            <w:noWrap/>
            <w:vAlign w:val="bottom"/>
            <w:hideMark/>
          </w:tcPr>
          <w:p w14:paraId="55D08B3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124.72</w:t>
            </w:r>
          </w:p>
        </w:tc>
      </w:tr>
      <w:tr w:rsidR="00574BFB" w:rsidRPr="00574BFB" w14:paraId="7B047C2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67AF8D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Argentina</w:t>
            </w:r>
          </w:p>
        </w:tc>
        <w:tc>
          <w:tcPr>
            <w:tcW w:w="1108" w:type="pct"/>
            <w:tcBorders>
              <w:top w:val="nil"/>
              <w:left w:val="nil"/>
              <w:bottom w:val="single" w:sz="4" w:space="0" w:color="auto"/>
              <w:right w:val="single" w:sz="4" w:space="0" w:color="auto"/>
            </w:tcBorders>
            <w:shd w:val="clear" w:color="auto" w:fill="auto"/>
            <w:noWrap/>
            <w:vAlign w:val="bottom"/>
            <w:hideMark/>
          </w:tcPr>
          <w:p w14:paraId="56A826D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Carbajal</w:t>
            </w:r>
          </w:p>
        </w:tc>
        <w:tc>
          <w:tcPr>
            <w:tcW w:w="530" w:type="pct"/>
            <w:tcBorders>
              <w:top w:val="nil"/>
              <w:left w:val="nil"/>
              <w:bottom w:val="single" w:sz="4" w:space="0" w:color="auto"/>
              <w:right w:val="single" w:sz="4" w:space="0" w:color="auto"/>
            </w:tcBorders>
            <w:shd w:val="clear" w:color="auto" w:fill="auto"/>
            <w:noWrap/>
            <w:vAlign w:val="bottom"/>
            <w:hideMark/>
          </w:tcPr>
          <w:p w14:paraId="0BE6F9C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473" w:type="pct"/>
            <w:tcBorders>
              <w:top w:val="nil"/>
              <w:left w:val="nil"/>
              <w:bottom w:val="single" w:sz="4" w:space="0" w:color="auto"/>
              <w:right w:val="single" w:sz="4" w:space="0" w:color="auto"/>
            </w:tcBorders>
            <w:shd w:val="clear" w:color="auto" w:fill="auto"/>
            <w:noWrap/>
            <w:vAlign w:val="bottom"/>
            <w:hideMark/>
          </w:tcPr>
          <w:p w14:paraId="3709CBF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DE2C02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EF2C14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1EDBF9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8DB2AC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4D1B594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61C44B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Argentina</w:t>
            </w:r>
          </w:p>
        </w:tc>
        <w:tc>
          <w:tcPr>
            <w:tcW w:w="1108" w:type="pct"/>
            <w:tcBorders>
              <w:top w:val="nil"/>
              <w:left w:val="nil"/>
              <w:bottom w:val="single" w:sz="4" w:space="0" w:color="auto"/>
              <w:right w:val="single" w:sz="4" w:space="0" w:color="auto"/>
            </w:tcBorders>
            <w:shd w:val="clear" w:color="auto" w:fill="auto"/>
            <w:noWrap/>
            <w:vAlign w:val="bottom"/>
            <w:hideMark/>
          </w:tcPr>
          <w:p w14:paraId="35857BF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Schneider</w:t>
            </w:r>
          </w:p>
        </w:tc>
        <w:tc>
          <w:tcPr>
            <w:tcW w:w="530" w:type="pct"/>
            <w:tcBorders>
              <w:top w:val="nil"/>
              <w:left w:val="nil"/>
              <w:bottom w:val="single" w:sz="4" w:space="0" w:color="auto"/>
              <w:right w:val="single" w:sz="4" w:space="0" w:color="auto"/>
            </w:tcBorders>
            <w:shd w:val="clear" w:color="auto" w:fill="auto"/>
            <w:noWrap/>
            <w:vAlign w:val="bottom"/>
            <w:hideMark/>
          </w:tcPr>
          <w:p w14:paraId="5CF0CDC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473" w:type="pct"/>
            <w:tcBorders>
              <w:top w:val="nil"/>
              <w:left w:val="nil"/>
              <w:bottom w:val="single" w:sz="4" w:space="0" w:color="auto"/>
              <w:right w:val="single" w:sz="4" w:space="0" w:color="auto"/>
            </w:tcBorders>
            <w:shd w:val="clear" w:color="auto" w:fill="auto"/>
            <w:noWrap/>
            <w:vAlign w:val="bottom"/>
            <w:hideMark/>
          </w:tcPr>
          <w:p w14:paraId="1D1417F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526" w:type="pct"/>
            <w:tcBorders>
              <w:top w:val="nil"/>
              <w:left w:val="nil"/>
              <w:bottom w:val="single" w:sz="4" w:space="0" w:color="auto"/>
              <w:right w:val="single" w:sz="4" w:space="0" w:color="auto"/>
            </w:tcBorders>
            <w:shd w:val="clear" w:color="auto" w:fill="auto"/>
            <w:noWrap/>
            <w:vAlign w:val="bottom"/>
            <w:hideMark/>
          </w:tcPr>
          <w:p w14:paraId="26E897E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209</w:t>
            </w:r>
          </w:p>
        </w:tc>
        <w:tc>
          <w:tcPr>
            <w:tcW w:w="526" w:type="pct"/>
            <w:tcBorders>
              <w:top w:val="nil"/>
              <w:left w:val="nil"/>
              <w:bottom w:val="single" w:sz="4" w:space="0" w:color="auto"/>
              <w:right w:val="single" w:sz="4" w:space="0" w:color="auto"/>
            </w:tcBorders>
            <w:shd w:val="clear" w:color="auto" w:fill="auto"/>
            <w:noWrap/>
            <w:vAlign w:val="bottom"/>
            <w:hideMark/>
          </w:tcPr>
          <w:p w14:paraId="4417663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0B8E66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606CE85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124</w:t>
            </w:r>
          </w:p>
        </w:tc>
      </w:tr>
      <w:tr w:rsidR="00574BFB" w:rsidRPr="00574BFB" w14:paraId="697C864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D3BFD2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Argentina</w:t>
            </w:r>
          </w:p>
        </w:tc>
        <w:tc>
          <w:tcPr>
            <w:tcW w:w="1108" w:type="pct"/>
            <w:tcBorders>
              <w:top w:val="nil"/>
              <w:left w:val="nil"/>
              <w:bottom w:val="single" w:sz="4" w:space="0" w:color="auto"/>
              <w:right w:val="single" w:sz="4" w:space="0" w:color="auto"/>
            </w:tcBorders>
            <w:shd w:val="clear" w:color="auto" w:fill="auto"/>
            <w:noWrap/>
            <w:vAlign w:val="bottom"/>
            <w:hideMark/>
          </w:tcPr>
          <w:p w14:paraId="716BF2F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Ferrante</w:t>
            </w:r>
          </w:p>
        </w:tc>
        <w:tc>
          <w:tcPr>
            <w:tcW w:w="530" w:type="pct"/>
            <w:tcBorders>
              <w:top w:val="nil"/>
              <w:left w:val="nil"/>
              <w:bottom w:val="single" w:sz="4" w:space="0" w:color="auto"/>
              <w:right w:val="single" w:sz="4" w:space="0" w:color="auto"/>
            </w:tcBorders>
            <w:shd w:val="clear" w:color="auto" w:fill="auto"/>
            <w:noWrap/>
            <w:vAlign w:val="bottom"/>
            <w:hideMark/>
          </w:tcPr>
          <w:p w14:paraId="5555159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3C29571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18FEA0B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B67548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622C20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3E7A00C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0A951525"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938C75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Argentina</w:t>
            </w:r>
          </w:p>
        </w:tc>
        <w:tc>
          <w:tcPr>
            <w:tcW w:w="1108" w:type="pct"/>
            <w:tcBorders>
              <w:top w:val="nil"/>
              <w:left w:val="nil"/>
              <w:bottom w:val="single" w:sz="4" w:space="0" w:color="auto"/>
              <w:right w:val="single" w:sz="4" w:space="0" w:color="auto"/>
            </w:tcBorders>
            <w:shd w:val="clear" w:color="auto" w:fill="auto"/>
            <w:noWrap/>
            <w:vAlign w:val="bottom"/>
            <w:hideMark/>
          </w:tcPr>
          <w:p w14:paraId="4243EAC9"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Redruello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4292F1D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473" w:type="pct"/>
            <w:tcBorders>
              <w:top w:val="nil"/>
              <w:left w:val="nil"/>
              <w:bottom w:val="single" w:sz="4" w:space="0" w:color="auto"/>
              <w:right w:val="single" w:sz="4" w:space="0" w:color="auto"/>
            </w:tcBorders>
            <w:shd w:val="clear" w:color="auto" w:fill="auto"/>
            <w:noWrap/>
            <w:vAlign w:val="bottom"/>
            <w:hideMark/>
          </w:tcPr>
          <w:p w14:paraId="1A55AB1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526" w:type="pct"/>
            <w:tcBorders>
              <w:top w:val="nil"/>
              <w:left w:val="nil"/>
              <w:bottom w:val="single" w:sz="4" w:space="0" w:color="auto"/>
              <w:right w:val="single" w:sz="4" w:space="0" w:color="auto"/>
            </w:tcBorders>
            <w:shd w:val="clear" w:color="auto" w:fill="auto"/>
            <w:noWrap/>
            <w:vAlign w:val="bottom"/>
            <w:hideMark/>
          </w:tcPr>
          <w:p w14:paraId="63924CB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196</w:t>
            </w:r>
          </w:p>
        </w:tc>
        <w:tc>
          <w:tcPr>
            <w:tcW w:w="526" w:type="pct"/>
            <w:tcBorders>
              <w:top w:val="nil"/>
              <w:left w:val="nil"/>
              <w:bottom w:val="single" w:sz="4" w:space="0" w:color="auto"/>
              <w:right w:val="single" w:sz="4" w:space="0" w:color="auto"/>
            </w:tcBorders>
            <w:shd w:val="clear" w:color="auto" w:fill="auto"/>
            <w:noWrap/>
            <w:vAlign w:val="bottom"/>
            <w:hideMark/>
          </w:tcPr>
          <w:p w14:paraId="7E96699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126</w:t>
            </w:r>
          </w:p>
        </w:tc>
        <w:tc>
          <w:tcPr>
            <w:tcW w:w="526" w:type="pct"/>
            <w:tcBorders>
              <w:top w:val="nil"/>
              <w:left w:val="nil"/>
              <w:bottom w:val="single" w:sz="4" w:space="0" w:color="auto"/>
              <w:right w:val="single" w:sz="4" w:space="0" w:color="auto"/>
            </w:tcBorders>
            <w:shd w:val="clear" w:color="auto" w:fill="auto"/>
            <w:noWrap/>
            <w:vAlign w:val="bottom"/>
            <w:hideMark/>
          </w:tcPr>
          <w:p w14:paraId="6B5CAC0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43.3</w:t>
            </w:r>
          </w:p>
        </w:tc>
        <w:tc>
          <w:tcPr>
            <w:tcW w:w="596" w:type="pct"/>
            <w:tcBorders>
              <w:top w:val="nil"/>
              <w:left w:val="nil"/>
              <w:bottom w:val="single" w:sz="4" w:space="0" w:color="auto"/>
              <w:right w:val="single" w:sz="4" w:space="0" w:color="auto"/>
            </w:tcBorders>
            <w:shd w:val="clear" w:color="auto" w:fill="auto"/>
            <w:noWrap/>
            <w:vAlign w:val="bottom"/>
            <w:hideMark/>
          </w:tcPr>
          <w:p w14:paraId="5D4065F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138</w:t>
            </w:r>
          </w:p>
        </w:tc>
      </w:tr>
      <w:tr w:rsidR="00574BFB" w:rsidRPr="00574BFB" w14:paraId="2F1B27C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458E07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Argentina</w:t>
            </w:r>
          </w:p>
        </w:tc>
        <w:tc>
          <w:tcPr>
            <w:tcW w:w="1108" w:type="pct"/>
            <w:tcBorders>
              <w:top w:val="nil"/>
              <w:left w:val="nil"/>
              <w:bottom w:val="single" w:sz="4" w:space="0" w:color="auto"/>
              <w:right w:val="single" w:sz="4" w:space="0" w:color="auto"/>
            </w:tcBorders>
            <w:shd w:val="clear" w:color="auto" w:fill="auto"/>
            <w:noWrap/>
            <w:vAlign w:val="bottom"/>
            <w:hideMark/>
          </w:tcPr>
          <w:p w14:paraId="30A72B2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Ferrante</w:t>
            </w:r>
          </w:p>
        </w:tc>
        <w:tc>
          <w:tcPr>
            <w:tcW w:w="530" w:type="pct"/>
            <w:tcBorders>
              <w:top w:val="nil"/>
              <w:left w:val="nil"/>
              <w:bottom w:val="single" w:sz="4" w:space="0" w:color="auto"/>
              <w:right w:val="single" w:sz="4" w:space="0" w:color="auto"/>
            </w:tcBorders>
            <w:shd w:val="clear" w:color="auto" w:fill="auto"/>
            <w:noWrap/>
            <w:vAlign w:val="bottom"/>
            <w:hideMark/>
          </w:tcPr>
          <w:p w14:paraId="182EC09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54A0649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28408E2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F99A9E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518174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841CB2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E5C562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FD2C9C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Barbados</w:t>
            </w:r>
          </w:p>
        </w:tc>
        <w:tc>
          <w:tcPr>
            <w:tcW w:w="1108" w:type="pct"/>
            <w:tcBorders>
              <w:top w:val="nil"/>
              <w:left w:val="nil"/>
              <w:bottom w:val="single" w:sz="4" w:space="0" w:color="auto"/>
              <w:right w:val="single" w:sz="4" w:space="0" w:color="auto"/>
            </w:tcBorders>
            <w:shd w:val="clear" w:color="auto" w:fill="auto"/>
            <w:noWrap/>
            <w:vAlign w:val="bottom"/>
            <w:hideMark/>
          </w:tcPr>
          <w:p w14:paraId="1492A24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Howitt</w:t>
            </w:r>
          </w:p>
        </w:tc>
        <w:tc>
          <w:tcPr>
            <w:tcW w:w="530" w:type="pct"/>
            <w:tcBorders>
              <w:top w:val="nil"/>
              <w:left w:val="nil"/>
              <w:bottom w:val="single" w:sz="4" w:space="0" w:color="auto"/>
              <w:right w:val="single" w:sz="4" w:space="0" w:color="auto"/>
            </w:tcBorders>
            <w:shd w:val="clear" w:color="auto" w:fill="auto"/>
            <w:noWrap/>
            <w:vAlign w:val="bottom"/>
            <w:hideMark/>
          </w:tcPr>
          <w:p w14:paraId="5867EA8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259D6FD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526" w:type="pct"/>
            <w:tcBorders>
              <w:top w:val="nil"/>
              <w:left w:val="nil"/>
              <w:bottom w:val="single" w:sz="4" w:space="0" w:color="auto"/>
              <w:right w:val="single" w:sz="4" w:space="0" w:color="auto"/>
            </w:tcBorders>
            <w:shd w:val="clear" w:color="auto" w:fill="auto"/>
            <w:noWrap/>
            <w:vAlign w:val="bottom"/>
            <w:hideMark/>
          </w:tcPr>
          <w:p w14:paraId="23D7B44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52B5A8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B3D1EB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42CF863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1197FE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762DBA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Belize</w:t>
            </w:r>
          </w:p>
        </w:tc>
        <w:tc>
          <w:tcPr>
            <w:tcW w:w="1108" w:type="pct"/>
            <w:tcBorders>
              <w:top w:val="nil"/>
              <w:left w:val="nil"/>
              <w:bottom w:val="single" w:sz="4" w:space="0" w:color="auto"/>
              <w:right w:val="single" w:sz="4" w:space="0" w:color="auto"/>
            </w:tcBorders>
            <w:shd w:val="clear" w:color="auto" w:fill="auto"/>
            <w:noWrap/>
            <w:vAlign w:val="bottom"/>
            <w:hideMark/>
          </w:tcPr>
          <w:p w14:paraId="169197A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Wong-McClure</w:t>
            </w:r>
          </w:p>
        </w:tc>
        <w:tc>
          <w:tcPr>
            <w:tcW w:w="530" w:type="pct"/>
            <w:tcBorders>
              <w:top w:val="nil"/>
              <w:left w:val="nil"/>
              <w:bottom w:val="single" w:sz="4" w:space="0" w:color="auto"/>
              <w:right w:val="single" w:sz="4" w:space="0" w:color="auto"/>
            </w:tcBorders>
            <w:shd w:val="clear" w:color="auto" w:fill="auto"/>
            <w:noWrap/>
            <w:vAlign w:val="bottom"/>
            <w:hideMark/>
          </w:tcPr>
          <w:p w14:paraId="6A745A9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0CC3C95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4E0FE5D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2F0939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25BBE3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449CDEB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3CD86F1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A4D98B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6DE77FD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Velasquez-Melendez</w:t>
            </w:r>
          </w:p>
        </w:tc>
        <w:tc>
          <w:tcPr>
            <w:tcW w:w="530" w:type="pct"/>
            <w:tcBorders>
              <w:top w:val="nil"/>
              <w:left w:val="nil"/>
              <w:bottom w:val="single" w:sz="4" w:space="0" w:color="auto"/>
              <w:right w:val="single" w:sz="4" w:space="0" w:color="auto"/>
            </w:tcBorders>
            <w:shd w:val="clear" w:color="auto" w:fill="auto"/>
            <w:noWrap/>
            <w:vAlign w:val="bottom"/>
            <w:hideMark/>
          </w:tcPr>
          <w:p w14:paraId="652118A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1999</w:t>
            </w:r>
          </w:p>
        </w:tc>
        <w:tc>
          <w:tcPr>
            <w:tcW w:w="473" w:type="pct"/>
            <w:tcBorders>
              <w:top w:val="nil"/>
              <w:left w:val="nil"/>
              <w:bottom w:val="single" w:sz="4" w:space="0" w:color="auto"/>
              <w:right w:val="single" w:sz="4" w:space="0" w:color="auto"/>
            </w:tcBorders>
            <w:shd w:val="clear" w:color="auto" w:fill="auto"/>
            <w:noWrap/>
            <w:vAlign w:val="bottom"/>
            <w:hideMark/>
          </w:tcPr>
          <w:p w14:paraId="41BB90B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1991</w:t>
            </w:r>
          </w:p>
        </w:tc>
        <w:tc>
          <w:tcPr>
            <w:tcW w:w="526" w:type="pct"/>
            <w:tcBorders>
              <w:top w:val="nil"/>
              <w:left w:val="nil"/>
              <w:bottom w:val="single" w:sz="4" w:space="0" w:color="auto"/>
              <w:right w:val="single" w:sz="4" w:space="0" w:color="auto"/>
            </w:tcBorders>
            <w:shd w:val="clear" w:color="auto" w:fill="auto"/>
            <w:noWrap/>
            <w:vAlign w:val="bottom"/>
            <w:hideMark/>
          </w:tcPr>
          <w:p w14:paraId="53AB925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184.75</w:t>
            </w:r>
          </w:p>
        </w:tc>
        <w:tc>
          <w:tcPr>
            <w:tcW w:w="526" w:type="pct"/>
            <w:tcBorders>
              <w:top w:val="nil"/>
              <w:left w:val="nil"/>
              <w:bottom w:val="single" w:sz="4" w:space="0" w:color="auto"/>
              <w:right w:val="single" w:sz="4" w:space="0" w:color="auto"/>
            </w:tcBorders>
            <w:shd w:val="clear" w:color="auto" w:fill="auto"/>
            <w:noWrap/>
            <w:vAlign w:val="bottom"/>
            <w:hideMark/>
          </w:tcPr>
          <w:p w14:paraId="781A405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44.7</w:t>
            </w:r>
          </w:p>
        </w:tc>
        <w:tc>
          <w:tcPr>
            <w:tcW w:w="526" w:type="pct"/>
            <w:tcBorders>
              <w:top w:val="nil"/>
              <w:left w:val="nil"/>
              <w:bottom w:val="single" w:sz="4" w:space="0" w:color="auto"/>
              <w:right w:val="single" w:sz="4" w:space="0" w:color="auto"/>
            </w:tcBorders>
            <w:shd w:val="clear" w:color="auto" w:fill="auto"/>
            <w:noWrap/>
            <w:vAlign w:val="bottom"/>
            <w:hideMark/>
          </w:tcPr>
          <w:p w14:paraId="2222310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117.04</w:t>
            </w:r>
          </w:p>
        </w:tc>
        <w:tc>
          <w:tcPr>
            <w:tcW w:w="596" w:type="pct"/>
            <w:tcBorders>
              <w:top w:val="nil"/>
              <w:left w:val="nil"/>
              <w:bottom w:val="single" w:sz="4" w:space="0" w:color="auto"/>
              <w:right w:val="single" w:sz="4" w:space="0" w:color="auto"/>
            </w:tcBorders>
            <w:shd w:val="clear" w:color="auto" w:fill="auto"/>
            <w:noWrap/>
            <w:vAlign w:val="bottom"/>
            <w:hideMark/>
          </w:tcPr>
          <w:p w14:paraId="14C0A07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113.87</w:t>
            </w:r>
          </w:p>
        </w:tc>
      </w:tr>
      <w:tr w:rsidR="00574BFB" w:rsidRPr="00574BFB" w14:paraId="642E5C72"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62A7CE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37058E1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Pereira</w:t>
            </w:r>
          </w:p>
        </w:tc>
        <w:tc>
          <w:tcPr>
            <w:tcW w:w="530" w:type="pct"/>
            <w:tcBorders>
              <w:top w:val="nil"/>
              <w:left w:val="nil"/>
              <w:bottom w:val="single" w:sz="4" w:space="0" w:color="auto"/>
              <w:right w:val="single" w:sz="4" w:space="0" w:color="auto"/>
            </w:tcBorders>
            <w:shd w:val="clear" w:color="auto" w:fill="auto"/>
            <w:noWrap/>
            <w:vAlign w:val="bottom"/>
            <w:hideMark/>
          </w:tcPr>
          <w:p w14:paraId="6B28033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473" w:type="pct"/>
            <w:tcBorders>
              <w:top w:val="nil"/>
              <w:left w:val="nil"/>
              <w:bottom w:val="single" w:sz="4" w:space="0" w:color="auto"/>
              <w:right w:val="single" w:sz="4" w:space="0" w:color="auto"/>
            </w:tcBorders>
            <w:shd w:val="clear" w:color="auto" w:fill="auto"/>
            <w:noWrap/>
            <w:vAlign w:val="bottom"/>
            <w:hideMark/>
          </w:tcPr>
          <w:p w14:paraId="790FEAB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2000</w:t>
            </w:r>
          </w:p>
        </w:tc>
        <w:tc>
          <w:tcPr>
            <w:tcW w:w="526" w:type="pct"/>
            <w:tcBorders>
              <w:top w:val="nil"/>
              <w:left w:val="nil"/>
              <w:bottom w:val="single" w:sz="4" w:space="0" w:color="auto"/>
              <w:right w:val="single" w:sz="4" w:space="0" w:color="auto"/>
            </w:tcBorders>
            <w:shd w:val="clear" w:color="auto" w:fill="auto"/>
            <w:noWrap/>
            <w:vAlign w:val="bottom"/>
            <w:hideMark/>
          </w:tcPr>
          <w:p w14:paraId="72AC15A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214.4</w:t>
            </w:r>
          </w:p>
        </w:tc>
        <w:tc>
          <w:tcPr>
            <w:tcW w:w="526" w:type="pct"/>
            <w:tcBorders>
              <w:top w:val="nil"/>
              <w:left w:val="nil"/>
              <w:bottom w:val="single" w:sz="4" w:space="0" w:color="auto"/>
              <w:right w:val="single" w:sz="4" w:space="0" w:color="auto"/>
            </w:tcBorders>
            <w:shd w:val="clear" w:color="auto" w:fill="auto"/>
            <w:noWrap/>
            <w:vAlign w:val="bottom"/>
            <w:hideMark/>
          </w:tcPr>
          <w:p w14:paraId="4EC81AF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142.21</w:t>
            </w:r>
          </w:p>
        </w:tc>
        <w:tc>
          <w:tcPr>
            <w:tcW w:w="526" w:type="pct"/>
            <w:tcBorders>
              <w:top w:val="nil"/>
              <w:left w:val="nil"/>
              <w:bottom w:val="single" w:sz="4" w:space="0" w:color="auto"/>
              <w:right w:val="single" w:sz="4" w:space="0" w:color="auto"/>
            </w:tcBorders>
            <w:shd w:val="clear" w:color="auto" w:fill="auto"/>
            <w:noWrap/>
            <w:vAlign w:val="bottom"/>
            <w:hideMark/>
          </w:tcPr>
          <w:p w14:paraId="6DBF211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45.36</w:t>
            </w:r>
          </w:p>
        </w:tc>
        <w:tc>
          <w:tcPr>
            <w:tcW w:w="596" w:type="pct"/>
            <w:tcBorders>
              <w:top w:val="nil"/>
              <w:left w:val="nil"/>
              <w:bottom w:val="single" w:sz="4" w:space="0" w:color="auto"/>
              <w:right w:val="single" w:sz="4" w:space="0" w:color="auto"/>
            </w:tcBorders>
            <w:shd w:val="clear" w:color="auto" w:fill="auto"/>
            <w:noWrap/>
            <w:vAlign w:val="bottom"/>
            <w:hideMark/>
          </w:tcPr>
          <w:p w14:paraId="586635E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137.61</w:t>
            </w:r>
          </w:p>
        </w:tc>
      </w:tr>
      <w:tr w:rsidR="00574BFB" w:rsidRPr="00574BFB" w14:paraId="7F48521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19D5B7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6CCB3DE5"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Poletto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4C126D9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1992</w:t>
            </w:r>
          </w:p>
        </w:tc>
        <w:tc>
          <w:tcPr>
            <w:tcW w:w="473" w:type="pct"/>
            <w:tcBorders>
              <w:top w:val="nil"/>
              <w:left w:val="nil"/>
              <w:bottom w:val="single" w:sz="4" w:space="0" w:color="auto"/>
              <w:right w:val="single" w:sz="4" w:space="0" w:color="auto"/>
            </w:tcBorders>
            <w:shd w:val="clear" w:color="auto" w:fill="auto"/>
            <w:noWrap/>
            <w:vAlign w:val="bottom"/>
            <w:hideMark/>
          </w:tcPr>
          <w:p w14:paraId="7A02BC7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1989</w:t>
            </w:r>
          </w:p>
        </w:tc>
        <w:tc>
          <w:tcPr>
            <w:tcW w:w="526" w:type="pct"/>
            <w:tcBorders>
              <w:top w:val="nil"/>
              <w:left w:val="nil"/>
              <w:bottom w:val="single" w:sz="4" w:space="0" w:color="auto"/>
              <w:right w:val="single" w:sz="4" w:space="0" w:color="auto"/>
            </w:tcBorders>
            <w:shd w:val="clear" w:color="auto" w:fill="auto"/>
            <w:noWrap/>
            <w:vAlign w:val="bottom"/>
            <w:hideMark/>
          </w:tcPr>
          <w:p w14:paraId="56057BD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174.7</w:t>
            </w:r>
          </w:p>
        </w:tc>
        <w:tc>
          <w:tcPr>
            <w:tcW w:w="526" w:type="pct"/>
            <w:tcBorders>
              <w:top w:val="nil"/>
              <w:left w:val="nil"/>
              <w:bottom w:val="single" w:sz="4" w:space="0" w:color="auto"/>
              <w:right w:val="single" w:sz="4" w:space="0" w:color="auto"/>
            </w:tcBorders>
            <w:shd w:val="clear" w:color="auto" w:fill="auto"/>
            <w:noWrap/>
            <w:vAlign w:val="bottom"/>
            <w:hideMark/>
          </w:tcPr>
          <w:p w14:paraId="2B6DF50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121.5</w:t>
            </w:r>
          </w:p>
        </w:tc>
        <w:tc>
          <w:tcPr>
            <w:tcW w:w="526" w:type="pct"/>
            <w:tcBorders>
              <w:top w:val="nil"/>
              <w:left w:val="nil"/>
              <w:bottom w:val="single" w:sz="4" w:space="0" w:color="auto"/>
              <w:right w:val="single" w:sz="4" w:space="0" w:color="auto"/>
            </w:tcBorders>
            <w:shd w:val="clear" w:color="auto" w:fill="auto"/>
            <w:noWrap/>
            <w:vAlign w:val="bottom"/>
            <w:hideMark/>
          </w:tcPr>
          <w:p w14:paraId="345EC1C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52.8</w:t>
            </w:r>
          </w:p>
        </w:tc>
        <w:tc>
          <w:tcPr>
            <w:tcW w:w="596" w:type="pct"/>
            <w:tcBorders>
              <w:top w:val="nil"/>
              <w:left w:val="nil"/>
              <w:bottom w:val="single" w:sz="4" w:space="0" w:color="auto"/>
              <w:right w:val="single" w:sz="4" w:space="0" w:color="auto"/>
            </w:tcBorders>
            <w:shd w:val="clear" w:color="auto" w:fill="auto"/>
            <w:noWrap/>
            <w:vAlign w:val="bottom"/>
            <w:hideMark/>
          </w:tcPr>
          <w:p w14:paraId="323D934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3B14D2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4828F9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6FCAFC6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Rigo</w:t>
            </w:r>
          </w:p>
        </w:tc>
        <w:tc>
          <w:tcPr>
            <w:tcW w:w="530" w:type="pct"/>
            <w:tcBorders>
              <w:top w:val="nil"/>
              <w:left w:val="nil"/>
              <w:bottom w:val="single" w:sz="4" w:space="0" w:color="auto"/>
              <w:right w:val="single" w:sz="4" w:space="0" w:color="auto"/>
            </w:tcBorders>
            <w:shd w:val="clear" w:color="auto" w:fill="auto"/>
            <w:noWrap/>
            <w:vAlign w:val="bottom"/>
            <w:hideMark/>
          </w:tcPr>
          <w:p w14:paraId="5941DAE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473" w:type="pct"/>
            <w:tcBorders>
              <w:top w:val="nil"/>
              <w:left w:val="nil"/>
              <w:bottom w:val="single" w:sz="4" w:space="0" w:color="auto"/>
              <w:right w:val="single" w:sz="4" w:space="0" w:color="auto"/>
            </w:tcBorders>
            <w:shd w:val="clear" w:color="auto" w:fill="auto"/>
            <w:noWrap/>
            <w:vAlign w:val="bottom"/>
            <w:hideMark/>
          </w:tcPr>
          <w:p w14:paraId="4E76AD1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39DB7D3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204</w:t>
            </w:r>
          </w:p>
        </w:tc>
        <w:tc>
          <w:tcPr>
            <w:tcW w:w="526" w:type="pct"/>
            <w:tcBorders>
              <w:top w:val="nil"/>
              <w:left w:val="nil"/>
              <w:bottom w:val="single" w:sz="4" w:space="0" w:color="auto"/>
              <w:right w:val="single" w:sz="4" w:space="0" w:color="auto"/>
            </w:tcBorders>
            <w:shd w:val="clear" w:color="auto" w:fill="auto"/>
            <w:noWrap/>
            <w:vAlign w:val="bottom"/>
            <w:hideMark/>
          </w:tcPr>
          <w:p w14:paraId="346048E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129.67</w:t>
            </w:r>
          </w:p>
        </w:tc>
        <w:tc>
          <w:tcPr>
            <w:tcW w:w="526" w:type="pct"/>
            <w:tcBorders>
              <w:top w:val="nil"/>
              <w:left w:val="nil"/>
              <w:bottom w:val="single" w:sz="4" w:space="0" w:color="auto"/>
              <w:right w:val="single" w:sz="4" w:space="0" w:color="auto"/>
            </w:tcBorders>
            <w:shd w:val="clear" w:color="auto" w:fill="auto"/>
            <w:noWrap/>
            <w:vAlign w:val="bottom"/>
            <w:hideMark/>
          </w:tcPr>
          <w:p w14:paraId="6CD8B0A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43.33</w:t>
            </w:r>
          </w:p>
        </w:tc>
        <w:tc>
          <w:tcPr>
            <w:tcW w:w="596" w:type="pct"/>
            <w:tcBorders>
              <w:top w:val="nil"/>
              <w:left w:val="nil"/>
              <w:bottom w:val="single" w:sz="4" w:space="0" w:color="auto"/>
              <w:right w:val="single" w:sz="4" w:space="0" w:color="auto"/>
            </w:tcBorders>
            <w:shd w:val="clear" w:color="auto" w:fill="auto"/>
            <w:noWrap/>
            <w:vAlign w:val="bottom"/>
            <w:hideMark/>
          </w:tcPr>
          <w:p w14:paraId="4FFE23D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130</w:t>
            </w:r>
          </w:p>
        </w:tc>
      </w:tr>
      <w:tr w:rsidR="00574BFB" w:rsidRPr="00574BFB" w14:paraId="3EBFA17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3EA133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65F0A981"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Sesso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5CA3A95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473" w:type="pct"/>
            <w:tcBorders>
              <w:top w:val="nil"/>
              <w:left w:val="nil"/>
              <w:bottom w:val="single" w:sz="4" w:space="0" w:color="auto"/>
              <w:right w:val="single" w:sz="4" w:space="0" w:color="auto"/>
            </w:tcBorders>
            <w:shd w:val="clear" w:color="auto" w:fill="auto"/>
            <w:noWrap/>
            <w:vAlign w:val="bottom"/>
            <w:hideMark/>
          </w:tcPr>
          <w:p w14:paraId="0DA4ECB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1992</w:t>
            </w:r>
          </w:p>
        </w:tc>
        <w:tc>
          <w:tcPr>
            <w:tcW w:w="526" w:type="pct"/>
            <w:tcBorders>
              <w:top w:val="nil"/>
              <w:left w:val="nil"/>
              <w:bottom w:val="single" w:sz="4" w:space="0" w:color="auto"/>
              <w:right w:val="single" w:sz="4" w:space="0" w:color="auto"/>
            </w:tcBorders>
            <w:shd w:val="clear" w:color="auto" w:fill="auto"/>
            <w:noWrap/>
            <w:vAlign w:val="bottom"/>
            <w:hideMark/>
          </w:tcPr>
          <w:p w14:paraId="0B18F39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202</w:t>
            </w:r>
          </w:p>
        </w:tc>
        <w:tc>
          <w:tcPr>
            <w:tcW w:w="526" w:type="pct"/>
            <w:tcBorders>
              <w:top w:val="nil"/>
              <w:left w:val="nil"/>
              <w:bottom w:val="single" w:sz="4" w:space="0" w:color="auto"/>
              <w:right w:val="single" w:sz="4" w:space="0" w:color="auto"/>
            </w:tcBorders>
            <w:shd w:val="clear" w:color="auto" w:fill="auto"/>
            <w:noWrap/>
            <w:vAlign w:val="bottom"/>
            <w:hideMark/>
          </w:tcPr>
          <w:p w14:paraId="574648B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129</w:t>
            </w:r>
          </w:p>
        </w:tc>
        <w:tc>
          <w:tcPr>
            <w:tcW w:w="526" w:type="pct"/>
            <w:tcBorders>
              <w:top w:val="nil"/>
              <w:left w:val="nil"/>
              <w:bottom w:val="single" w:sz="4" w:space="0" w:color="auto"/>
              <w:right w:val="single" w:sz="4" w:space="0" w:color="auto"/>
            </w:tcBorders>
            <w:shd w:val="clear" w:color="auto" w:fill="auto"/>
            <w:noWrap/>
            <w:vAlign w:val="bottom"/>
            <w:hideMark/>
          </w:tcPr>
          <w:p w14:paraId="3E60724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39</w:t>
            </w:r>
          </w:p>
        </w:tc>
        <w:tc>
          <w:tcPr>
            <w:tcW w:w="596" w:type="pct"/>
            <w:tcBorders>
              <w:top w:val="nil"/>
              <w:left w:val="nil"/>
              <w:bottom w:val="single" w:sz="4" w:space="0" w:color="auto"/>
              <w:right w:val="single" w:sz="4" w:space="0" w:color="auto"/>
            </w:tcBorders>
            <w:shd w:val="clear" w:color="auto" w:fill="auto"/>
            <w:noWrap/>
            <w:vAlign w:val="bottom"/>
            <w:hideMark/>
          </w:tcPr>
          <w:p w14:paraId="150D6A9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147</w:t>
            </w:r>
          </w:p>
        </w:tc>
      </w:tr>
      <w:tr w:rsidR="00574BFB" w:rsidRPr="00574BFB" w14:paraId="3F98D105"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8A20DF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5BFDF433"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Pimenta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388E28F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40C6367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0F23550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982E94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E3C37E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3739CDC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904F0D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497725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210AAFC1"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Quintino</w:t>
            </w:r>
            <w:proofErr w:type="spellEnd"/>
            <w:r w:rsidRPr="00574BFB">
              <w:rPr>
                <w:rFonts w:ascii="Arial" w:eastAsia="Times New Roman" w:hAnsi="Arial" w:cs="Arial"/>
                <w:color w:val="000000"/>
                <w:sz w:val="16"/>
                <w:szCs w:val="16"/>
                <w:lang w:eastAsia="en-GB"/>
              </w:rPr>
              <w:t>-Santos</w:t>
            </w:r>
          </w:p>
        </w:tc>
        <w:tc>
          <w:tcPr>
            <w:tcW w:w="530" w:type="pct"/>
            <w:tcBorders>
              <w:top w:val="nil"/>
              <w:left w:val="nil"/>
              <w:bottom w:val="single" w:sz="4" w:space="0" w:color="auto"/>
              <w:right w:val="single" w:sz="4" w:space="0" w:color="auto"/>
            </w:tcBorders>
            <w:shd w:val="clear" w:color="auto" w:fill="auto"/>
            <w:noWrap/>
            <w:vAlign w:val="bottom"/>
            <w:hideMark/>
          </w:tcPr>
          <w:p w14:paraId="3205366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473" w:type="pct"/>
            <w:tcBorders>
              <w:top w:val="nil"/>
              <w:left w:val="nil"/>
              <w:bottom w:val="single" w:sz="4" w:space="0" w:color="auto"/>
              <w:right w:val="single" w:sz="4" w:space="0" w:color="auto"/>
            </w:tcBorders>
            <w:shd w:val="clear" w:color="auto" w:fill="auto"/>
            <w:noWrap/>
            <w:vAlign w:val="bottom"/>
            <w:hideMark/>
          </w:tcPr>
          <w:p w14:paraId="0D0535E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1996</w:t>
            </w:r>
          </w:p>
        </w:tc>
        <w:tc>
          <w:tcPr>
            <w:tcW w:w="526" w:type="pct"/>
            <w:tcBorders>
              <w:top w:val="nil"/>
              <w:left w:val="nil"/>
              <w:bottom w:val="single" w:sz="4" w:space="0" w:color="auto"/>
              <w:right w:val="single" w:sz="4" w:space="0" w:color="auto"/>
            </w:tcBorders>
            <w:shd w:val="clear" w:color="auto" w:fill="auto"/>
            <w:noWrap/>
            <w:vAlign w:val="bottom"/>
            <w:hideMark/>
          </w:tcPr>
          <w:p w14:paraId="1BF2D8D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E762AE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65844C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49.2</w:t>
            </w:r>
          </w:p>
        </w:tc>
        <w:tc>
          <w:tcPr>
            <w:tcW w:w="596" w:type="pct"/>
            <w:tcBorders>
              <w:top w:val="nil"/>
              <w:left w:val="nil"/>
              <w:bottom w:val="single" w:sz="4" w:space="0" w:color="auto"/>
              <w:right w:val="single" w:sz="4" w:space="0" w:color="auto"/>
            </w:tcBorders>
            <w:shd w:val="clear" w:color="auto" w:fill="auto"/>
            <w:noWrap/>
            <w:vAlign w:val="bottom"/>
            <w:hideMark/>
          </w:tcPr>
          <w:p w14:paraId="2354030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151.1</w:t>
            </w:r>
          </w:p>
        </w:tc>
      </w:tr>
      <w:tr w:rsidR="00574BFB" w:rsidRPr="00574BFB" w14:paraId="732A073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D995FD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7FFFC513"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Togeiro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12386CC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19B2DAE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526" w:type="pct"/>
            <w:tcBorders>
              <w:top w:val="nil"/>
              <w:left w:val="nil"/>
              <w:bottom w:val="single" w:sz="4" w:space="0" w:color="auto"/>
              <w:right w:val="single" w:sz="4" w:space="0" w:color="auto"/>
            </w:tcBorders>
            <w:shd w:val="clear" w:color="auto" w:fill="auto"/>
            <w:noWrap/>
            <w:vAlign w:val="bottom"/>
            <w:hideMark/>
          </w:tcPr>
          <w:p w14:paraId="7D848F0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190.52</w:t>
            </w:r>
          </w:p>
        </w:tc>
        <w:tc>
          <w:tcPr>
            <w:tcW w:w="526" w:type="pct"/>
            <w:tcBorders>
              <w:top w:val="nil"/>
              <w:left w:val="nil"/>
              <w:bottom w:val="single" w:sz="4" w:space="0" w:color="auto"/>
              <w:right w:val="single" w:sz="4" w:space="0" w:color="auto"/>
            </w:tcBorders>
            <w:shd w:val="clear" w:color="auto" w:fill="auto"/>
            <w:noWrap/>
            <w:vAlign w:val="bottom"/>
            <w:hideMark/>
          </w:tcPr>
          <w:p w14:paraId="616F175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111.53</w:t>
            </w:r>
          </w:p>
        </w:tc>
        <w:tc>
          <w:tcPr>
            <w:tcW w:w="526" w:type="pct"/>
            <w:tcBorders>
              <w:top w:val="nil"/>
              <w:left w:val="nil"/>
              <w:bottom w:val="single" w:sz="4" w:space="0" w:color="auto"/>
              <w:right w:val="single" w:sz="4" w:space="0" w:color="auto"/>
            </w:tcBorders>
            <w:shd w:val="clear" w:color="auto" w:fill="auto"/>
            <w:noWrap/>
            <w:vAlign w:val="bottom"/>
            <w:hideMark/>
          </w:tcPr>
          <w:p w14:paraId="7DDE654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53.41</w:t>
            </w:r>
          </w:p>
        </w:tc>
        <w:tc>
          <w:tcPr>
            <w:tcW w:w="596" w:type="pct"/>
            <w:tcBorders>
              <w:top w:val="nil"/>
              <w:left w:val="nil"/>
              <w:bottom w:val="single" w:sz="4" w:space="0" w:color="auto"/>
              <w:right w:val="single" w:sz="4" w:space="0" w:color="auto"/>
            </w:tcBorders>
            <w:shd w:val="clear" w:color="auto" w:fill="auto"/>
            <w:noWrap/>
            <w:vAlign w:val="bottom"/>
            <w:hideMark/>
          </w:tcPr>
          <w:p w14:paraId="57E123D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128.09</w:t>
            </w:r>
          </w:p>
        </w:tc>
      </w:tr>
      <w:tr w:rsidR="00574BFB" w:rsidRPr="00574BFB" w14:paraId="77A6803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E64983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64301C9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Ota</w:t>
            </w:r>
          </w:p>
        </w:tc>
        <w:tc>
          <w:tcPr>
            <w:tcW w:w="530" w:type="pct"/>
            <w:tcBorders>
              <w:top w:val="nil"/>
              <w:left w:val="nil"/>
              <w:bottom w:val="single" w:sz="4" w:space="0" w:color="auto"/>
              <w:right w:val="single" w:sz="4" w:space="0" w:color="auto"/>
            </w:tcBorders>
            <w:shd w:val="clear" w:color="auto" w:fill="auto"/>
            <w:noWrap/>
            <w:vAlign w:val="bottom"/>
            <w:hideMark/>
          </w:tcPr>
          <w:p w14:paraId="24C4D56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2E3C558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526" w:type="pct"/>
            <w:tcBorders>
              <w:top w:val="nil"/>
              <w:left w:val="nil"/>
              <w:bottom w:val="single" w:sz="4" w:space="0" w:color="auto"/>
              <w:right w:val="single" w:sz="4" w:space="0" w:color="auto"/>
            </w:tcBorders>
            <w:shd w:val="clear" w:color="auto" w:fill="auto"/>
            <w:noWrap/>
            <w:vAlign w:val="bottom"/>
            <w:hideMark/>
          </w:tcPr>
          <w:p w14:paraId="5BAA900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215.9</w:t>
            </w:r>
          </w:p>
        </w:tc>
        <w:tc>
          <w:tcPr>
            <w:tcW w:w="526" w:type="pct"/>
            <w:tcBorders>
              <w:top w:val="nil"/>
              <w:left w:val="nil"/>
              <w:bottom w:val="single" w:sz="4" w:space="0" w:color="auto"/>
              <w:right w:val="single" w:sz="4" w:space="0" w:color="auto"/>
            </w:tcBorders>
            <w:shd w:val="clear" w:color="auto" w:fill="auto"/>
            <w:noWrap/>
            <w:vAlign w:val="bottom"/>
            <w:hideMark/>
          </w:tcPr>
          <w:p w14:paraId="396386C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131.85</w:t>
            </w:r>
          </w:p>
        </w:tc>
        <w:tc>
          <w:tcPr>
            <w:tcW w:w="526" w:type="pct"/>
            <w:tcBorders>
              <w:top w:val="nil"/>
              <w:left w:val="nil"/>
              <w:bottom w:val="single" w:sz="4" w:space="0" w:color="auto"/>
              <w:right w:val="single" w:sz="4" w:space="0" w:color="auto"/>
            </w:tcBorders>
            <w:shd w:val="clear" w:color="auto" w:fill="auto"/>
            <w:noWrap/>
            <w:vAlign w:val="bottom"/>
            <w:hideMark/>
          </w:tcPr>
          <w:p w14:paraId="3A354E6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54.36</w:t>
            </w:r>
          </w:p>
        </w:tc>
        <w:tc>
          <w:tcPr>
            <w:tcW w:w="596" w:type="pct"/>
            <w:tcBorders>
              <w:top w:val="nil"/>
              <w:left w:val="nil"/>
              <w:bottom w:val="single" w:sz="4" w:space="0" w:color="auto"/>
              <w:right w:val="single" w:sz="4" w:space="0" w:color="auto"/>
            </w:tcBorders>
            <w:shd w:val="clear" w:color="auto" w:fill="auto"/>
            <w:noWrap/>
            <w:vAlign w:val="bottom"/>
            <w:hideMark/>
          </w:tcPr>
          <w:p w14:paraId="2A0E0A1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149.51</w:t>
            </w:r>
          </w:p>
        </w:tc>
      </w:tr>
      <w:tr w:rsidR="00574BFB" w:rsidRPr="00574BFB" w14:paraId="6EAABA9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99229C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0759A91D"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Pimenta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15B96DA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05AFF79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526" w:type="pct"/>
            <w:tcBorders>
              <w:top w:val="nil"/>
              <w:left w:val="nil"/>
              <w:bottom w:val="single" w:sz="4" w:space="0" w:color="auto"/>
              <w:right w:val="single" w:sz="4" w:space="0" w:color="auto"/>
            </w:tcBorders>
            <w:shd w:val="clear" w:color="auto" w:fill="auto"/>
            <w:noWrap/>
            <w:vAlign w:val="bottom"/>
            <w:hideMark/>
          </w:tcPr>
          <w:p w14:paraId="4AB9E22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825AF8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8CBEB8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021805F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745DB1E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6C4FA1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6DBC116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Souza</w:t>
            </w:r>
          </w:p>
        </w:tc>
        <w:tc>
          <w:tcPr>
            <w:tcW w:w="530" w:type="pct"/>
            <w:tcBorders>
              <w:top w:val="nil"/>
              <w:left w:val="nil"/>
              <w:bottom w:val="single" w:sz="4" w:space="0" w:color="auto"/>
              <w:right w:val="single" w:sz="4" w:space="0" w:color="auto"/>
            </w:tcBorders>
            <w:shd w:val="clear" w:color="auto" w:fill="auto"/>
            <w:noWrap/>
            <w:vAlign w:val="bottom"/>
            <w:hideMark/>
          </w:tcPr>
          <w:p w14:paraId="62F4D20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2003</w:t>
            </w:r>
          </w:p>
        </w:tc>
        <w:tc>
          <w:tcPr>
            <w:tcW w:w="473" w:type="pct"/>
            <w:tcBorders>
              <w:top w:val="nil"/>
              <w:left w:val="nil"/>
              <w:bottom w:val="single" w:sz="4" w:space="0" w:color="auto"/>
              <w:right w:val="single" w:sz="4" w:space="0" w:color="auto"/>
            </w:tcBorders>
            <w:shd w:val="clear" w:color="auto" w:fill="auto"/>
            <w:noWrap/>
            <w:vAlign w:val="bottom"/>
            <w:hideMark/>
          </w:tcPr>
          <w:p w14:paraId="652AD53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526" w:type="pct"/>
            <w:tcBorders>
              <w:top w:val="nil"/>
              <w:left w:val="nil"/>
              <w:bottom w:val="single" w:sz="4" w:space="0" w:color="auto"/>
              <w:right w:val="single" w:sz="4" w:space="0" w:color="auto"/>
            </w:tcBorders>
            <w:shd w:val="clear" w:color="auto" w:fill="auto"/>
            <w:noWrap/>
            <w:vAlign w:val="bottom"/>
            <w:hideMark/>
          </w:tcPr>
          <w:p w14:paraId="3742D4C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187.65</w:t>
            </w:r>
          </w:p>
        </w:tc>
        <w:tc>
          <w:tcPr>
            <w:tcW w:w="526" w:type="pct"/>
            <w:tcBorders>
              <w:top w:val="nil"/>
              <w:left w:val="nil"/>
              <w:bottom w:val="single" w:sz="4" w:space="0" w:color="auto"/>
              <w:right w:val="single" w:sz="4" w:space="0" w:color="auto"/>
            </w:tcBorders>
            <w:shd w:val="clear" w:color="auto" w:fill="auto"/>
            <w:noWrap/>
            <w:vAlign w:val="bottom"/>
            <w:hideMark/>
          </w:tcPr>
          <w:p w14:paraId="19E8E34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104.35</w:t>
            </w:r>
          </w:p>
        </w:tc>
        <w:tc>
          <w:tcPr>
            <w:tcW w:w="526" w:type="pct"/>
            <w:tcBorders>
              <w:top w:val="nil"/>
              <w:left w:val="nil"/>
              <w:bottom w:val="single" w:sz="4" w:space="0" w:color="auto"/>
              <w:right w:val="single" w:sz="4" w:space="0" w:color="auto"/>
            </w:tcBorders>
            <w:shd w:val="clear" w:color="auto" w:fill="auto"/>
            <w:noWrap/>
            <w:vAlign w:val="bottom"/>
            <w:hideMark/>
          </w:tcPr>
          <w:p w14:paraId="1663FB9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48.4</w:t>
            </w:r>
          </w:p>
        </w:tc>
        <w:tc>
          <w:tcPr>
            <w:tcW w:w="596" w:type="pct"/>
            <w:tcBorders>
              <w:top w:val="nil"/>
              <w:left w:val="nil"/>
              <w:bottom w:val="single" w:sz="4" w:space="0" w:color="auto"/>
              <w:right w:val="single" w:sz="4" w:space="0" w:color="auto"/>
            </w:tcBorders>
            <w:shd w:val="clear" w:color="auto" w:fill="auto"/>
            <w:noWrap/>
            <w:vAlign w:val="bottom"/>
            <w:hideMark/>
          </w:tcPr>
          <w:p w14:paraId="14B8108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150.08</w:t>
            </w:r>
          </w:p>
        </w:tc>
      </w:tr>
      <w:tr w:rsidR="00574BFB" w:rsidRPr="00574BFB" w14:paraId="13FC8C32"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97EB59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1D0A725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Yokota</w:t>
            </w:r>
          </w:p>
        </w:tc>
        <w:tc>
          <w:tcPr>
            <w:tcW w:w="530" w:type="pct"/>
            <w:tcBorders>
              <w:top w:val="nil"/>
              <w:left w:val="nil"/>
              <w:bottom w:val="single" w:sz="4" w:space="0" w:color="auto"/>
              <w:right w:val="single" w:sz="4" w:space="0" w:color="auto"/>
            </w:tcBorders>
            <w:shd w:val="clear" w:color="auto" w:fill="auto"/>
            <w:noWrap/>
            <w:vAlign w:val="bottom"/>
            <w:hideMark/>
          </w:tcPr>
          <w:p w14:paraId="34D1952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473" w:type="pct"/>
            <w:tcBorders>
              <w:top w:val="nil"/>
              <w:left w:val="nil"/>
              <w:bottom w:val="single" w:sz="4" w:space="0" w:color="auto"/>
              <w:right w:val="single" w:sz="4" w:space="0" w:color="auto"/>
            </w:tcBorders>
            <w:shd w:val="clear" w:color="auto" w:fill="auto"/>
            <w:noWrap/>
            <w:vAlign w:val="bottom"/>
            <w:hideMark/>
          </w:tcPr>
          <w:p w14:paraId="6753C45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526" w:type="pct"/>
            <w:tcBorders>
              <w:top w:val="nil"/>
              <w:left w:val="nil"/>
              <w:bottom w:val="single" w:sz="4" w:space="0" w:color="auto"/>
              <w:right w:val="single" w:sz="4" w:space="0" w:color="auto"/>
            </w:tcBorders>
            <w:shd w:val="clear" w:color="auto" w:fill="auto"/>
            <w:noWrap/>
            <w:vAlign w:val="bottom"/>
            <w:hideMark/>
          </w:tcPr>
          <w:p w14:paraId="139F5EC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402A0D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3E282E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33C47D0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3C790D6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A9B252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0CEDB5A5"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Petris</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165E385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37A2FF7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526" w:type="pct"/>
            <w:tcBorders>
              <w:top w:val="nil"/>
              <w:left w:val="nil"/>
              <w:bottom w:val="single" w:sz="4" w:space="0" w:color="auto"/>
              <w:right w:val="single" w:sz="4" w:space="0" w:color="auto"/>
            </w:tcBorders>
            <w:shd w:val="clear" w:color="auto" w:fill="auto"/>
            <w:noWrap/>
            <w:vAlign w:val="bottom"/>
            <w:hideMark/>
          </w:tcPr>
          <w:p w14:paraId="032F977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3D2167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DB44DC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491818B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0CF9E25"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B03277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130DE94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Pirkle</w:t>
            </w:r>
          </w:p>
        </w:tc>
        <w:tc>
          <w:tcPr>
            <w:tcW w:w="530" w:type="pct"/>
            <w:tcBorders>
              <w:top w:val="nil"/>
              <w:left w:val="nil"/>
              <w:bottom w:val="single" w:sz="4" w:space="0" w:color="auto"/>
              <w:right w:val="single" w:sz="4" w:space="0" w:color="auto"/>
            </w:tcBorders>
            <w:shd w:val="clear" w:color="auto" w:fill="auto"/>
            <w:noWrap/>
            <w:vAlign w:val="bottom"/>
            <w:hideMark/>
          </w:tcPr>
          <w:p w14:paraId="17BB3BF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2018</w:t>
            </w:r>
          </w:p>
        </w:tc>
        <w:tc>
          <w:tcPr>
            <w:tcW w:w="473" w:type="pct"/>
            <w:tcBorders>
              <w:top w:val="nil"/>
              <w:left w:val="nil"/>
              <w:bottom w:val="single" w:sz="4" w:space="0" w:color="auto"/>
              <w:right w:val="single" w:sz="4" w:space="0" w:color="auto"/>
            </w:tcBorders>
            <w:shd w:val="clear" w:color="auto" w:fill="auto"/>
            <w:noWrap/>
            <w:vAlign w:val="bottom"/>
            <w:hideMark/>
          </w:tcPr>
          <w:p w14:paraId="04F806D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526" w:type="pct"/>
            <w:tcBorders>
              <w:top w:val="nil"/>
              <w:left w:val="nil"/>
              <w:bottom w:val="single" w:sz="4" w:space="0" w:color="auto"/>
              <w:right w:val="single" w:sz="4" w:space="0" w:color="auto"/>
            </w:tcBorders>
            <w:shd w:val="clear" w:color="auto" w:fill="auto"/>
            <w:noWrap/>
            <w:vAlign w:val="bottom"/>
            <w:hideMark/>
          </w:tcPr>
          <w:p w14:paraId="3A2A271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E2B5D4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0A71DA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53.33</w:t>
            </w:r>
          </w:p>
        </w:tc>
        <w:tc>
          <w:tcPr>
            <w:tcW w:w="596" w:type="pct"/>
            <w:tcBorders>
              <w:top w:val="nil"/>
              <w:left w:val="nil"/>
              <w:bottom w:val="single" w:sz="4" w:space="0" w:color="auto"/>
              <w:right w:val="single" w:sz="4" w:space="0" w:color="auto"/>
            </w:tcBorders>
            <w:shd w:val="clear" w:color="auto" w:fill="auto"/>
            <w:noWrap/>
            <w:vAlign w:val="bottom"/>
            <w:hideMark/>
          </w:tcPr>
          <w:p w14:paraId="062A537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139.7</w:t>
            </w:r>
          </w:p>
        </w:tc>
      </w:tr>
      <w:tr w:rsidR="00574BFB" w:rsidRPr="00574BFB" w14:paraId="56296C55"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7F2BC9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1639F42E"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Werle</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48593DD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22A60C4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1994</w:t>
            </w:r>
          </w:p>
        </w:tc>
        <w:tc>
          <w:tcPr>
            <w:tcW w:w="526" w:type="pct"/>
            <w:tcBorders>
              <w:top w:val="nil"/>
              <w:left w:val="nil"/>
              <w:bottom w:val="single" w:sz="4" w:space="0" w:color="auto"/>
              <w:right w:val="single" w:sz="4" w:space="0" w:color="auto"/>
            </w:tcBorders>
            <w:shd w:val="clear" w:color="auto" w:fill="auto"/>
            <w:noWrap/>
            <w:vAlign w:val="bottom"/>
            <w:hideMark/>
          </w:tcPr>
          <w:p w14:paraId="5731582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211.6</w:t>
            </w:r>
          </w:p>
        </w:tc>
        <w:tc>
          <w:tcPr>
            <w:tcW w:w="526" w:type="pct"/>
            <w:tcBorders>
              <w:top w:val="nil"/>
              <w:left w:val="nil"/>
              <w:bottom w:val="single" w:sz="4" w:space="0" w:color="auto"/>
              <w:right w:val="single" w:sz="4" w:space="0" w:color="auto"/>
            </w:tcBorders>
            <w:shd w:val="clear" w:color="auto" w:fill="auto"/>
            <w:noWrap/>
            <w:vAlign w:val="bottom"/>
            <w:hideMark/>
          </w:tcPr>
          <w:p w14:paraId="1B0FCD0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139.1</w:t>
            </w:r>
          </w:p>
        </w:tc>
        <w:tc>
          <w:tcPr>
            <w:tcW w:w="526" w:type="pct"/>
            <w:tcBorders>
              <w:top w:val="nil"/>
              <w:left w:val="nil"/>
              <w:bottom w:val="single" w:sz="4" w:space="0" w:color="auto"/>
              <w:right w:val="single" w:sz="4" w:space="0" w:color="auto"/>
            </w:tcBorders>
            <w:shd w:val="clear" w:color="auto" w:fill="auto"/>
            <w:noWrap/>
            <w:vAlign w:val="bottom"/>
            <w:hideMark/>
          </w:tcPr>
          <w:p w14:paraId="4838440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45.5</w:t>
            </w:r>
          </w:p>
        </w:tc>
        <w:tc>
          <w:tcPr>
            <w:tcW w:w="596" w:type="pct"/>
            <w:tcBorders>
              <w:top w:val="nil"/>
              <w:left w:val="nil"/>
              <w:bottom w:val="single" w:sz="4" w:space="0" w:color="auto"/>
              <w:right w:val="single" w:sz="4" w:space="0" w:color="auto"/>
            </w:tcBorders>
            <w:shd w:val="clear" w:color="auto" w:fill="auto"/>
            <w:noWrap/>
            <w:vAlign w:val="bottom"/>
            <w:hideMark/>
          </w:tcPr>
          <w:p w14:paraId="3195AD6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137.2</w:t>
            </w:r>
          </w:p>
        </w:tc>
      </w:tr>
      <w:tr w:rsidR="00574BFB" w:rsidRPr="00574BFB" w14:paraId="6BE497C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E2DC9A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lastRenderedPageBreak/>
              <w:t>Brazil</w:t>
            </w:r>
          </w:p>
        </w:tc>
        <w:tc>
          <w:tcPr>
            <w:tcW w:w="1108" w:type="pct"/>
            <w:tcBorders>
              <w:top w:val="nil"/>
              <w:left w:val="nil"/>
              <w:bottom w:val="single" w:sz="4" w:space="0" w:color="auto"/>
              <w:right w:val="single" w:sz="4" w:space="0" w:color="auto"/>
            </w:tcBorders>
            <w:shd w:val="clear" w:color="auto" w:fill="auto"/>
            <w:noWrap/>
            <w:vAlign w:val="bottom"/>
            <w:hideMark/>
          </w:tcPr>
          <w:p w14:paraId="0D9DDE2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Oliveira</w:t>
            </w:r>
          </w:p>
        </w:tc>
        <w:tc>
          <w:tcPr>
            <w:tcW w:w="530" w:type="pct"/>
            <w:tcBorders>
              <w:top w:val="nil"/>
              <w:left w:val="nil"/>
              <w:bottom w:val="single" w:sz="4" w:space="0" w:color="auto"/>
              <w:right w:val="single" w:sz="4" w:space="0" w:color="auto"/>
            </w:tcBorders>
            <w:shd w:val="clear" w:color="auto" w:fill="auto"/>
            <w:noWrap/>
            <w:vAlign w:val="bottom"/>
            <w:hideMark/>
          </w:tcPr>
          <w:p w14:paraId="7C60CA9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473" w:type="pct"/>
            <w:tcBorders>
              <w:top w:val="nil"/>
              <w:left w:val="nil"/>
              <w:bottom w:val="single" w:sz="4" w:space="0" w:color="auto"/>
              <w:right w:val="single" w:sz="4" w:space="0" w:color="auto"/>
            </w:tcBorders>
            <w:shd w:val="clear" w:color="auto" w:fill="auto"/>
            <w:noWrap/>
            <w:vAlign w:val="bottom"/>
            <w:hideMark/>
          </w:tcPr>
          <w:p w14:paraId="284830A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526" w:type="pct"/>
            <w:tcBorders>
              <w:top w:val="nil"/>
              <w:left w:val="nil"/>
              <w:bottom w:val="single" w:sz="4" w:space="0" w:color="auto"/>
              <w:right w:val="single" w:sz="4" w:space="0" w:color="auto"/>
            </w:tcBorders>
            <w:shd w:val="clear" w:color="auto" w:fill="auto"/>
            <w:noWrap/>
            <w:vAlign w:val="bottom"/>
            <w:hideMark/>
          </w:tcPr>
          <w:p w14:paraId="747F935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163</w:t>
            </w:r>
          </w:p>
        </w:tc>
        <w:tc>
          <w:tcPr>
            <w:tcW w:w="526" w:type="pct"/>
            <w:tcBorders>
              <w:top w:val="nil"/>
              <w:left w:val="nil"/>
              <w:bottom w:val="single" w:sz="4" w:space="0" w:color="auto"/>
              <w:right w:val="single" w:sz="4" w:space="0" w:color="auto"/>
            </w:tcBorders>
            <w:shd w:val="clear" w:color="auto" w:fill="auto"/>
            <w:noWrap/>
            <w:vAlign w:val="bottom"/>
            <w:hideMark/>
          </w:tcPr>
          <w:p w14:paraId="5D44698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491B39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04A292C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148.54</w:t>
            </w:r>
          </w:p>
        </w:tc>
      </w:tr>
      <w:tr w:rsidR="00574BFB" w:rsidRPr="00574BFB" w14:paraId="532227B0"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B9EB64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52C4BD74"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Venturini</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60A4F34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33164A2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526" w:type="pct"/>
            <w:tcBorders>
              <w:top w:val="nil"/>
              <w:left w:val="nil"/>
              <w:bottom w:val="single" w:sz="4" w:space="0" w:color="auto"/>
              <w:right w:val="single" w:sz="4" w:space="0" w:color="auto"/>
            </w:tcBorders>
            <w:shd w:val="clear" w:color="auto" w:fill="auto"/>
            <w:noWrap/>
            <w:vAlign w:val="bottom"/>
            <w:hideMark/>
          </w:tcPr>
          <w:p w14:paraId="7927A61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209.95</w:t>
            </w:r>
          </w:p>
        </w:tc>
        <w:tc>
          <w:tcPr>
            <w:tcW w:w="526" w:type="pct"/>
            <w:tcBorders>
              <w:top w:val="nil"/>
              <w:left w:val="nil"/>
              <w:bottom w:val="single" w:sz="4" w:space="0" w:color="auto"/>
              <w:right w:val="single" w:sz="4" w:space="0" w:color="auto"/>
            </w:tcBorders>
            <w:shd w:val="clear" w:color="auto" w:fill="auto"/>
            <w:noWrap/>
            <w:vAlign w:val="bottom"/>
            <w:hideMark/>
          </w:tcPr>
          <w:p w14:paraId="011AA33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132.7</w:t>
            </w:r>
          </w:p>
        </w:tc>
        <w:tc>
          <w:tcPr>
            <w:tcW w:w="526" w:type="pct"/>
            <w:tcBorders>
              <w:top w:val="nil"/>
              <w:left w:val="nil"/>
              <w:bottom w:val="single" w:sz="4" w:space="0" w:color="auto"/>
              <w:right w:val="single" w:sz="4" w:space="0" w:color="auto"/>
            </w:tcBorders>
            <w:shd w:val="clear" w:color="auto" w:fill="auto"/>
            <w:noWrap/>
            <w:vAlign w:val="bottom"/>
            <w:hideMark/>
          </w:tcPr>
          <w:p w14:paraId="75F4EC2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45.68</w:t>
            </w:r>
          </w:p>
        </w:tc>
        <w:tc>
          <w:tcPr>
            <w:tcW w:w="596" w:type="pct"/>
            <w:tcBorders>
              <w:top w:val="nil"/>
              <w:left w:val="nil"/>
              <w:bottom w:val="single" w:sz="4" w:space="0" w:color="auto"/>
              <w:right w:val="single" w:sz="4" w:space="0" w:color="auto"/>
            </w:tcBorders>
            <w:shd w:val="clear" w:color="auto" w:fill="auto"/>
            <w:noWrap/>
            <w:vAlign w:val="bottom"/>
            <w:hideMark/>
          </w:tcPr>
          <w:p w14:paraId="5015106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172.07</w:t>
            </w:r>
          </w:p>
        </w:tc>
      </w:tr>
      <w:tr w:rsidR="00574BFB" w:rsidRPr="00574BFB" w14:paraId="3E7FBD2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0596B9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61818C3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Pavan</w:t>
            </w:r>
          </w:p>
        </w:tc>
        <w:tc>
          <w:tcPr>
            <w:tcW w:w="530" w:type="pct"/>
            <w:tcBorders>
              <w:top w:val="nil"/>
              <w:left w:val="nil"/>
              <w:bottom w:val="single" w:sz="4" w:space="0" w:color="auto"/>
              <w:right w:val="single" w:sz="4" w:space="0" w:color="auto"/>
            </w:tcBorders>
            <w:shd w:val="clear" w:color="auto" w:fill="auto"/>
            <w:noWrap/>
            <w:vAlign w:val="bottom"/>
            <w:hideMark/>
          </w:tcPr>
          <w:p w14:paraId="41EC3C2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1997</w:t>
            </w:r>
          </w:p>
        </w:tc>
        <w:tc>
          <w:tcPr>
            <w:tcW w:w="473" w:type="pct"/>
            <w:tcBorders>
              <w:top w:val="nil"/>
              <w:left w:val="nil"/>
              <w:bottom w:val="single" w:sz="4" w:space="0" w:color="auto"/>
              <w:right w:val="single" w:sz="4" w:space="0" w:color="auto"/>
            </w:tcBorders>
            <w:shd w:val="clear" w:color="auto" w:fill="auto"/>
            <w:noWrap/>
            <w:vAlign w:val="bottom"/>
            <w:hideMark/>
          </w:tcPr>
          <w:p w14:paraId="1ECD2DF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06834B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185.8</w:t>
            </w:r>
          </w:p>
        </w:tc>
        <w:tc>
          <w:tcPr>
            <w:tcW w:w="526" w:type="pct"/>
            <w:tcBorders>
              <w:top w:val="nil"/>
              <w:left w:val="nil"/>
              <w:bottom w:val="single" w:sz="4" w:space="0" w:color="auto"/>
              <w:right w:val="single" w:sz="4" w:space="0" w:color="auto"/>
            </w:tcBorders>
            <w:shd w:val="clear" w:color="auto" w:fill="auto"/>
            <w:noWrap/>
            <w:vAlign w:val="bottom"/>
            <w:hideMark/>
          </w:tcPr>
          <w:p w14:paraId="78BC2DB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632DDB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487152B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7CA3C07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589611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425F2904"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Roriz</w:t>
            </w:r>
            <w:proofErr w:type="spellEnd"/>
            <w:r w:rsidRPr="00574BFB">
              <w:rPr>
                <w:rFonts w:ascii="Arial" w:eastAsia="Times New Roman" w:hAnsi="Arial" w:cs="Arial"/>
                <w:color w:val="000000"/>
                <w:sz w:val="16"/>
                <w:szCs w:val="16"/>
                <w:lang w:eastAsia="en-GB"/>
              </w:rPr>
              <w:t>-Cruz</w:t>
            </w:r>
          </w:p>
        </w:tc>
        <w:tc>
          <w:tcPr>
            <w:tcW w:w="530" w:type="pct"/>
            <w:tcBorders>
              <w:top w:val="nil"/>
              <w:left w:val="nil"/>
              <w:bottom w:val="single" w:sz="4" w:space="0" w:color="auto"/>
              <w:right w:val="single" w:sz="4" w:space="0" w:color="auto"/>
            </w:tcBorders>
            <w:shd w:val="clear" w:color="auto" w:fill="auto"/>
            <w:noWrap/>
            <w:vAlign w:val="bottom"/>
            <w:hideMark/>
          </w:tcPr>
          <w:p w14:paraId="57B560F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645677E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4433A1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188.77</w:t>
            </w:r>
          </w:p>
        </w:tc>
        <w:tc>
          <w:tcPr>
            <w:tcW w:w="526" w:type="pct"/>
            <w:tcBorders>
              <w:top w:val="nil"/>
              <w:left w:val="nil"/>
              <w:bottom w:val="single" w:sz="4" w:space="0" w:color="auto"/>
              <w:right w:val="single" w:sz="4" w:space="0" w:color="auto"/>
            </w:tcBorders>
            <w:shd w:val="clear" w:color="auto" w:fill="auto"/>
            <w:noWrap/>
            <w:vAlign w:val="bottom"/>
            <w:hideMark/>
          </w:tcPr>
          <w:p w14:paraId="0217E49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117.64</w:t>
            </w:r>
          </w:p>
        </w:tc>
        <w:tc>
          <w:tcPr>
            <w:tcW w:w="526" w:type="pct"/>
            <w:tcBorders>
              <w:top w:val="nil"/>
              <w:left w:val="nil"/>
              <w:bottom w:val="single" w:sz="4" w:space="0" w:color="auto"/>
              <w:right w:val="single" w:sz="4" w:space="0" w:color="auto"/>
            </w:tcBorders>
            <w:shd w:val="clear" w:color="auto" w:fill="auto"/>
            <w:noWrap/>
            <w:vAlign w:val="bottom"/>
            <w:hideMark/>
          </w:tcPr>
          <w:p w14:paraId="69A927B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43.35</w:t>
            </w:r>
          </w:p>
        </w:tc>
        <w:tc>
          <w:tcPr>
            <w:tcW w:w="596" w:type="pct"/>
            <w:tcBorders>
              <w:top w:val="nil"/>
              <w:left w:val="nil"/>
              <w:bottom w:val="single" w:sz="4" w:space="0" w:color="auto"/>
              <w:right w:val="single" w:sz="4" w:space="0" w:color="auto"/>
            </w:tcBorders>
            <w:shd w:val="clear" w:color="auto" w:fill="auto"/>
            <w:noWrap/>
            <w:vAlign w:val="bottom"/>
            <w:hideMark/>
          </w:tcPr>
          <w:p w14:paraId="1966179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138.72</w:t>
            </w:r>
          </w:p>
        </w:tc>
      </w:tr>
      <w:tr w:rsidR="00574BFB" w:rsidRPr="00574BFB" w14:paraId="7C8068DC"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11C63F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2932B0A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Neumann</w:t>
            </w:r>
          </w:p>
        </w:tc>
        <w:tc>
          <w:tcPr>
            <w:tcW w:w="530" w:type="pct"/>
            <w:tcBorders>
              <w:top w:val="nil"/>
              <w:left w:val="nil"/>
              <w:bottom w:val="single" w:sz="4" w:space="0" w:color="auto"/>
              <w:right w:val="single" w:sz="4" w:space="0" w:color="auto"/>
            </w:tcBorders>
            <w:shd w:val="clear" w:color="auto" w:fill="auto"/>
            <w:noWrap/>
            <w:vAlign w:val="bottom"/>
            <w:hideMark/>
          </w:tcPr>
          <w:p w14:paraId="18AFAE9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26C8B77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526" w:type="pct"/>
            <w:tcBorders>
              <w:top w:val="nil"/>
              <w:left w:val="nil"/>
              <w:bottom w:val="single" w:sz="4" w:space="0" w:color="auto"/>
              <w:right w:val="single" w:sz="4" w:space="0" w:color="auto"/>
            </w:tcBorders>
            <w:shd w:val="clear" w:color="auto" w:fill="auto"/>
            <w:noWrap/>
            <w:vAlign w:val="bottom"/>
            <w:hideMark/>
          </w:tcPr>
          <w:p w14:paraId="7D33DC7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99DF24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B64BCC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2A9F09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77A1EE8"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543B82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71FDAB1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Nunes Filho</w:t>
            </w:r>
          </w:p>
        </w:tc>
        <w:tc>
          <w:tcPr>
            <w:tcW w:w="530" w:type="pct"/>
            <w:tcBorders>
              <w:top w:val="nil"/>
              <w:left w:val="nil"/>
              <w:bottom w:val="single" w:sz="4" w:space="0" w:color="auto"/>
              <w:right w:val="single" w:sz="4" w:space="0" w:color="auto"/>
            </w:tcBorders>
            <w:shd w:val="clear" w:color="auto" w:fill="auto"/>
            <w:noWrap/>
            <w:vAlign w:val="bottom"/>
            <w:hideMark/>
          </w:tcPr>
          <w:p w14:paraId="2B990D7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29A630A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526" w:type="pct"/>
            <w:tcBorders>
              <w:top w:val="nil"/>
              <w:left w:val="nil"/>
              <w:bottom w:val="single" w:sz="4" w:space="0" w:color="auto"/>
              <w:right w:val="single" w:sz="4" w:space="0" w:color="auto"/>
            </w:tcBorders>
            <w:shd w:val="clear" w:color="auto" w:fill="auto"/>
            <w:noWrap/>
            <w:vAlign w:val="bottom"/>
            <w:hideMark/>
          </w:tcPr>
          <w:p w14:paraId="67A42BE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03575E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DF97DE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75FF65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4D8470E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3005FB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106469C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Gimeno</w:t>
            </w:r>
          </w:p>
        </w:tc>
        <w:tc>
          <w:tcPr>
            <w:tcW w:w="530" w:type="pct"/>
            <w:tcBorders>
              <w:top w:val="nil"/>
              <w:left w:val="nil"/>
              <w:bottom w:val="single" w:sz="4" w:space="0" w:color="auto"/>
              <w:right w:val="single" w:sz="4" w:space="0" w:color="auto"/>
            </w:tcBorders>
            <w:shd w:val="clear" w:color="auto" w:fill="auto"/>
            <w:noWrap/>
            <w:vAlign w:val="bottom"/>
            <w:hideMark/>
          </w:tcPr>
          <w:p w14:paraId="773B255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3314C5A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526" w:type="pct"/>
            <w:tcBorders>
              <w:top w:val="nil"/>
              <w:left w:val="nil"/>
              <w:bottom w:val="single" w:sz="4" w:space="0" w:color="auto"/>
              <w:right w:val="single" w:sz="4" w:space="0" w:color="auto"/>
            </w:tcBorders>
            <w:shd w:val="clear" w:color="auto" w:fill="auto"/>
            <w:noWrap/>
            <w:vAlign w:val="bottom"/>
            <w:hideMark/>
          </w:tcPr>
          <w:p w14:paraId="3EEFC7D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FD1C4E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D7C27F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F16ECB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3C55D493"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CEC969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4B596FE0"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Moraes</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4125C28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473" w:type="pct"/>
            <w:tcBorders>
              <w:top w:val="nil"/>
              <w:left w:val="nil"/>
              <w:bottom w:val="single" w:sz="4" w:space="0" w:color="auto"/>
              <w:right w:val="single" w:sz="4" w:space="0" w:color="auto"/>
            </w:tcBorders>
            <w:shd w:val="clear" w:color="auto" w:fill="auto"/>
            <w:noWrap/>
            <w:vAlign w:val="bottom"/>
            <w:hideMark/>
          </w:tcPr>
          <w:p w14:paraId="60A5CE2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526" w:type="pct"/>
            <w:tcBorders>
              <w:top w:val="nil"/>
              <w:left w:val="nil"/>
              <w:bottom w:val="single" w:sz="4" w:space="0" w:color="auto"/>
              <w:right w:val="single" w:sz="4" w:space="0" w:color="auto"/>
            </w:tcBorders>
            <w:shd w:val="clear" w:color="auto" w:fill="auto"/>
            <w:noWrap/>
            <w:vAlign w:val="bottom"/>
            <w:hideMark/>
          </w:tcPr>
          <w:p w14:paraId="53E27EB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324167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A7D860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0C8A9A8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79FFA98C"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3C8EE7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0E70DD4B"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Garcez</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1AE6311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2014</w:t>
            </w:r>
          </w:p>
        </w:tc>
        <w:tc>
          <w:tcPr>
            <w:tcW w:w="473" w:type="pct"/>
            <w:tcBorders>
              <w:top w:val="nil"/>
              <w:left w:val="nil"/>
              <w:bottom w:val="single" w:sz="4" w:space="0" w:color="auto"/>
              <w:right w:val="single" w:sz="4" w:space="0" w:color="auto"/>
            </w:tcBorders>
            <w:shd w:val="clear" w:color="auto" w:fill="auto"/>
            <w:noWrap/>
            <w:vAlign w:val="bottom"/>
            <w:hideMark/>
          </w:tcPr>
          <w:p w14:paraId="0BF6AEC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526" w:type="pct"/>
            <w:tcBorders>
              <w:top w:val="nil"/>
              <w:left w:val="nil"/>
              <w:bottom w:val="single" w:sz="4" w:space="0" w:color="auto"/>
              <w:right w:val="single" w:sz="4" w:space="0" w:color="auto"/>
            </w:tcBorders>
            <w:shd w:val="clear" w:color="auto" w:fill="auto"/>
            <w:noWrap/>
            <w:vAlign w:val="bottom"/>
            <w:hideMark/>
          </w:tcPr>
          <w:p w14:paraId="119AE2B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187</w:t>
            </w:r>
          </w:p>
        </w:tc>
        <w:tc>
          <w:tcPr>
            <w:tcW w:w="526" w:type="pct"/>
            <w:tcBorders>
              <w:top w:val="nil"/>
              <w:left w:val="nil"/>
              <w:bottom w:val="single" w:sz="4" w:space="0" w:color="auto"/>
              <w:right w:val="single" w:sz="4" w:space="0" w:color="auto"/>
            </w:tcBorders>
            <w:shd w:val="clear" w:color="auto" w:fill="auto"/>
            <w:noWrap/>
            <w:vAlign w:val="bottom"/>
            <w:hideMark/>
          </w:tcPr>
          <w:p w14:paraId="7DF7DCE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112</w:t>
            </w:r>
          </w:p>
        </w:tc>
        <w:tc>
          <w:tcPr>
            <w:tcW w:w="526" w:type="pct"/>
            <w:tcBorders>
              <w:top w:val="nil"/>
              <w:left w:val="nil"/>
              <w:bottom w:val="single" w:sz="4" w:space="0" w:color="auto"/>
              <w:right w:val="single" w:sz="4" w:space="0" w:color="auto"/>
            </w:tcBorders>
            <w:shd w:val="clear" w:color="auto" w:fill="auto"/>
            <w:noWrap/>
            <w:vAlign w:val="bottom"/>
            <w:hideMark/>
          </w:tcPr>
          <w:p w14:paraId="28E21E4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48</w:t>
            </w:r>
          </w:p>
        </w:tc>
        <w:tc>
          <w:tcPr>
            <w:tcW w:w="596" w:type="pct"/>
            <w:tcBorders>
              <w:top w:val="nil"/>
              <w:left w:val="nil"/>
              <w:bottom w:val="single" w:sz="4" w:space="0" w:color="auto"/>
              <w:right w:val="single" w:sz="4" w:space="0" w:color="auto"/>
            </w:tcBorders>
            <w:shd w:val="clear" w:color="auto" w:fill="auto"/>
            <w:noWrap/>
            <w:vAlign w:val="bottom"/>
            <w:hideMark/>
          </w:tcPr>
          <w:p w14:paraId="05B1330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139</w:t>
            </w:r>
          </w:p>
        </w:tc>
      </w:tr>
      <w:tr w:rsidR="00574BFB" w:rsidRPr="00574BFB" w14:paraId="3D00FC35"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018526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201EEF19"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Garcez</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5DC7613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2014</w:t>
            </w:r>
          </w:p>
        </w:tc>
        <w:tc>
          <w:tcPr>
            <w:tcW w:w="473" w:type="pct"/>
            <w:tcBorders>
              <w:top w:val="nil"/>
              <w:left w:val="nil"/>
              <w:bottom w:val="single" w:sz="4" w:space="0" w:color="auto"/>
              <w:right w:val="single" w:sz="4" w:space="0" w:color="auto"/>
            </w:tcBorders>
            <w:shd w:val="clear" w:color="auto" w:fill="auto"/>
            <w:noWrap/>
            <w:vAlign w:val="bottom"/>
            <w:hideMark/>
          </w:tcPr>
          <w:p w14:paraId="44E900E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526" w:type="pct"/>
            <w:tcBorders>
              <w:top w:val="nil"/>
              <w:left w:val="nil"/>
              <w:bottom w:val="single" w:sz="4" w:space="0" w:color="auto"/>
              <w:right w:val="single" w:sz="4" w:space="0" w:color="auto"/>
            </w:tcBorders>
            <w:shd w:val="clear" w:color="auto" w:fill="auto"/>
            <w:noWrap/>
            <w:vAlign w:val="bottom"/>
            <w:hideMark/>
          </w:tcPr>
          <w:p w14:paraId="39D45EC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206</w:t>
            </w:r>
          </w:p>
        </w:tc>
        <w:tc>
          <w:tcPr>
            <w:tcW w:w="526" w:type="pct"/>
            <w:tcBorders>
              <w:top w:val="nil"/>
              <w:left w:val="nil"/>
              <w:bottom w:val="single" w:sz="4" w:space="0" w:color="auto"/>
              <w:right w:val="single" w:sz="4" w:space="0" w:color="auto"/>
            </w:tcBorders>
            <w:shd w:val="clear" w:color="auto" w:fill="auto"/>
            <w:noWrap/>
            <w:vAlign w:val="bottom"/>
            <w:hideMark/>
          </w:tcPr>
          <w:p w14:paraId="2345EA3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126</w:t>
            </w:r>
          </w:p>
        </w:tc>
        <w:tc>
          <w:tcPr>
            <w:tcW w:w="526" w:type="pct"/>
            <w:tcBorders>
              <w:top w:val="nil"/>
              <w:left w:val="nil"/>
              <w:bottom w:val="single" w:sz="4" w:space="0" w:color="auto"/>
              <w:right w:val="single" w:sz="4" w:space="0" w:color="auto"/>
            </w:tcBorders>
            <w:shd w:val="clear" w:color="auto" w:fill="auto"/>
            <w:noWrap/>
            <w:vAlign w:val="bottom"/>
            <w:hideMark/>
          </w:tcPr>
          <w:p w14:paraId="4C37109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52</w:t>
            </w:r>
          </w:p>
        </w:tc>
        <w:tc>
          <w:tcPr>
            <w:tcW w:w="596" w:type="pct"/>
            <w:tcBorders>
              <w:top w:val="nil"/>
              <w:left w:val="nil"/>
              <w:bottom w:val="single" w:sz="4" w:space="0" w:color="auto"/>
              <w:right w:val="single" w:sz="4" w:space="0" w:color="auto"/>
            </w:tcBorders>
            <w:shd w:val="clear" w:color="auto" w:fill="auto"/>
            <w:noWrap/>
            <w:vAlign w:val="bottom"/>
            <w:hideMark/>
          </w:tcPr>
          <w:p w14:paraId="7784CED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141</w:t>
            </w:r>
          </w:p>
        </w:tc>
      </w:tr>
      <w:tr w:rsidR="00574BFB" w:rsidRPr="00574BFB" w14:paraId="5B07FE4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9D843E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28B2268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xml:space="preserve">Igor </w:t>
            </w:r>
            <w:proofErr w:type="spellStart"/>
            <w:r w:rsidRPr="00574BFB">
              <w:rPr>
                <w:rFonts w:ascii="Arial" w:eastAsia="Times New Roman" w:hAnsi="Arial" w:cs="Arial"/>
                <w:color w:val="000000"/>
                <w:sz w:val="16"/>
                <w:szCs w:val="16"/>
                <w:lang w:eastAsia="en-GB"/>
              </w:rPr>
              <w:t>Conterato</w:t>
            </w:r>
            <w:proofErr w:type="spellEnd"/>
            <w:r w:rsidRPr="00574BFB">
              <w:rPr>
                <w:rFonts w:ascii="Arial" w:eastAsia="Times New Roman" w:hAnsi="Arial" w:cs="Arial"/>
                <w:color w:val="000000"/>
                <w:sz w:val="16"/>
                <w:szCs w:val="16"/>
                <w:lang w:eastAsia="en-GB"/>
              </w:rPr>
              <w:t xml:space="preserve"> Gomes</w:t>
            </w:r>
          </w:p>
        </w:tc>
        <w:tc>
          <w:tcPr>
            <w:tcW w:w="530" w:type="pct"/>
            <w:tcBorders>
              <w:top w:val="nil"/>
              <w:left w:val="nil"/>
              <w:bottom w:val="single" w:sz="4" w:space="0" w:color="auto"/>
              <w:right w:val="single" w:sz="4" w:space="0" w:color="auto"/>
            </w:tcBorders>
            <w:shd w:val="clear" w:color="auto" w:fill="auto"/>
            <w:noWrap/>
            <w:vAlign w:val="bottom"/>
            <w:hideMark/>
          </w:tcPr>
          <w:p w14:paraId="557BC2B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07E97B2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526" w:type="pct"/>
            <w:tcBorders>
              <w:top w:val="nil"/>
              <w:left w:val="nil"/>
              <w:bottom w:val="single" w:sz="4" w:space="0" w:color="auto"/>
              <w:right w:val="single" w:sz="4" w:space="0" w:color="auto"/>
            </w:tcBorders>
            <w:shd w:val="clear" w:color="auto" w:fill="auto"/>
            <w:noWrap/>
            <w:vAlign w:val="bottom"/>
            <w:hideMark/>
          </w:tcPr>
          <w:p w14:paraId="2326B2D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200.91</w:t>
            </w:r>
          </w:p>
        </w:tc>
        <w:tc>
          <w:tcPr>
            <w:tcW w:w="526" w:type="pct"/>
            <w:tcBorders>
              <w:top w:val="nil"/>
              <w:left w:val="nil"/>
              <w:bottom w:val="single" w:sz="4" w:space="0" w:color="auto"/>
              <w:right w:val="single" w:sz="4" w:space="0" w:color="auto"/>
            </w:tcBorders>
            <w:shd w:val="clear" w:color="auto" w:fill="auto"/>
            <w:noWrap/>
            <w:vAlign w:val="bottom"/>
            <w:hideMark/>
          </w:tcPr>
          <w:p w14:paraId="1EA74E2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110.23</w:t>
            </w:r>
          </w:p>
        </w:tc>
        <w:tc>
          <w:tcPr>
            <w:tcW w:w="526" w:type="pct"/>
            <w:tcBorders>
              <w:top w:val="nil"/>
              <w:left w:val="nil"/>
              <w:bottom w:val="single" w:sz="4" w:space="0" w:color="auto"/>
              <w:right w:val="single" w:sz="4" w:space="0" w:color="auto"/>
            </w:tcBorders>
            <w:shd w:val="clear" w:color="auto" w:fill="auto"/>
            <w:noWrap/>
            <w:vAlign w:val="bottom"/>
            <w:hideMark/>
          </w:tcPr>
          <w:p w14:paraId="136EE20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FE2CE1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02C124A8"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CB2A1B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4BF1CA1C"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Fortanelli</w:t>
            </w:r>
            <w:proofErr w:type="spellEnd"/>
            <w:r w:rsidRPr="00574BFB">
              <w:rPr>
                <w:rFonts w:ascii="Arial" w:eastAsia="Times New Roman" w:hAnsi="Arial" w:cs="Arial"/>
                <w:color w:val="000000"/>
                <w:sz w:val="16"/>
                <w:szCs w:val="16"/>
                <w:lang w:eastAsia="en-GB"/>
              </w:rPr>
              <w:t xml:space="preserve"> </w:t>
            </w:r>
          </w:p>
        </w:tc>
        <w:tc>
          <w:tcPr>
            <w:tcW w:w="530" w:type="pct"/>
            <w:tcBorders>
              <w:top w:val="nil"/>
              <w:left w:val="nil"/>
              <w:bottom w:val="single" w:sz="4" w:space="0" w:color="auto"/>
              <w:right w:val="single" w:sz="4" w:space="0" w:color="auto"/>
            </w:tcBorders>
            <w:shd w:val="clear" w:color="auto" w:fill="auto"/>
            <w:noWrap/>
            <w:vAlign w:val="bottom"/>
            <w:hideMark/>
          </w:tcPr>
          <w:p w14:paraId="15E3609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2018</w:t>
            </w:r>
          </w:p>
        </w:tc>
        <w:tc>
          <w:tcPr>
            <w:tcW w:w="473" w:type="pct"/>
            <w:tcBorders>
              <w:top w:val="nil"/>
              <w:left w:val="nil"/>
              <w:bottom w:val="single" w:sz="4" w:space="0" w:color="auto"/>
              <w:right w:val="single" w:sz="4" w:space="0" w:color="auto"/>
            </w:tcBorders>
            <w:shd w:val="clear" w:color="auto" w:fill="auto"/>
            <w:noWrap/>
            <w:vAlign w:val="bottom"/>
            <w:hideMark/>
          </w:tcPr>
          <w:p w14:paraId="4EFDB1E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526" w:type="pct"/>
            <w:tcBorders>
              <w:top w:val="nil"/>
              <w:left w:val="nil"/>
              <w:bottom w:val="single" w:sz="4" w:space="0" w:color="auto"/>
              <w:right w:val="single" w:sz="4" w:space="0" w:color="auto"/>
            </w:tcBorders>
            <w:shd w:val="clear" w:color="auto" w:fill="auto"/>
            <w:noWrap/>
            <w:vAlign w:val="bottom"/>
            <w:hideMark/>
          </w:tcPr>
          <w:p w14:paraId="759F19C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3ADA55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7ADBD2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0F3F197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1E89C1B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6A7F18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33E8F613"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Marquezine</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B350C5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473" w:type="pct"/>
            <w:tcBorders>
              <w:top w:val="nil"/>
              <w:left w:val="nil"/>
              <w:bottom w:val="single" w:sz="4" w:space="0" w:color="auto"/>
              <w:right w:val="single" w:sz="4" w:space="0" w:color="auto"/>
            </w:tcBorders>
            <w:shd w:val="clear" w:color="auto" w:fill="auto"/>
            <w:noWrap/>
            <w:vAlign w:val="bottom"/>
            <w:hideMark/>
          </w:tcPr>
          <w:p w14:paraId="0D26825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962908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54E835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011C90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55A916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7CA46BE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5D8548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772FA5D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Mendes-Lana</w:t>
            </w:r>
          </w:p>
        </w:tc>
        <w:tc>
          <w:tcPr>
            <w:tcW w:w="530" w:type="pct"/>
            <w:tcBorders>
              <w:top w:val="nil"/>
              <w:left w:val="nil"/>
              <w:bottom w:val="single" w:sz="4" w:space="0" w:color="auto"/>
              <w:right w:val="single" w:sz="4" w:space="0" w:color="auto"/>
            </w:tcBorders>
            <w:shd w:val="clear" w:color="auto" w:fill="auto"/>
            <w:noWrap/>
            <w:vAlign w:val="bottom"/>
            <w:hideMark/>
          </w:tcPr>
          <w:p w14:paraId="79FA316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0E45FF7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E66DB0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200.21</w:t>
            </w:r>
          </w:p>
        </w:tc>
        <w:tc>
          <w:tcPr>
            <w:tcW w:w="526" w:type="pct"/>
            <w:tcBorders>
              <w:top w:val="nil"/>
              <w:left w:val="nil"/>
              <w:bottom w:val="single" w:sz="4" w:space="0" w:color="auto"/>
              <w:right w:val="single" w:sz="4" w:space="0" w:color="auto"/>
            </w:tcBorders>
            <w:shd w:val="clear" w:color="auto" w:fill="auto"/>
            <w:noWrap/>
            <w:vAlign w:val="bottom"/>
            <w:hideMark/>
          </w:tcPr>
          <w:p w14:paraId="3AEDE1C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102.08</w:t>
            </w:r>
          </w:p>
        </w:tc>
        <w:tc>
          <w:tcPr>
            <w:tcW w:w="526" w:type="pct"/>
            <w:tcBorders>
              <w:top w:val="nil"/>
              <w:left w:val="nil"/>
              <w:bottom w:val="single" w:sz="4" w:space="0" w:color="auto"/>
              <w:right w:val="single" w:sz="4" w:space="0" w:color="auto"/>
            </w:tcBorders>
            <w:shd w:val="clear" w:color="auto" w:fill="auto"/>
            <w:noWrap/>
            <w:vAlign w:val="bottom"/>
            <w:hideMark/>
          </w:tcPr>
          <w:p w14:paraId="52FC672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67.01</w:t>
            </w:r>
          </w:p>
        </w:tc>
        <w:tc>
          <w:tcPr>
            <w:tcW w:w="596" w:type="pct"/>
            <w:tcBorders>
              <w:top w:val="nil"/>
              <w:left w:val="nil"/>
              <w:bottom w:val="single" w:sz="4" w:space="0" w:color="auto"/>
              <w:right w:val="single" w:sz="4" w:space="0" w:color="auto"/>
            </w:tcBorders>
            <w:shd w:val="clear" w:color="auto" w:fill="auto"/>
            <w:noWrap/>
            <w:vAlign w:val="bottom"/>
            <w:hideMark/>
          </w:tcPr>
          <w:p w14:paraId="380D989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151.3</w:t>
            </w:r>
          </w:p>
        </w:tc>
      </w:tr>
      <w:tr w:rsidR="00574BFB" w:rsidRPr="00574BFB" w14:paraId="69DA16A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ACCE8A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3205C68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Pena</w:t>
            </w:r>
          </w:p>
        </w:tc>
        <w:tc>
          <w:tcPr>
            <w:tcW w:w="530" w:type="pct"/>
            <w:tcBorders>
              <w:top w:val="nil"/>
              <w:left w:val="nil"/>
              <w:bottom w:val="single" w:sz="4" w:space="0" w:color="auto"/>
              <w:right w:val="single" w:sz="4" w:space="0" w:color="auto"/>
            </w:tcBorders>
            <w:shd w:val="clear" w:color="auto" w:fill="auto"/>
            <w:noWrap/>
            <w:vAlign w:val="bottom"/>
            <w:hideMark/>
          </w:tcPr>
          <w:p w14:paraId="229CFE0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7BCB4BF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412DCCE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195.7</w:t>
            </w:r>
          </w:p>
        </w:tc>
        <w:tc>
          <w:tcPr>
            <w:tcW w:w="526" w:type="pct"/>
            <w:tcBorders>
              <w:top w:val="nil"/>
              <w:left w:val="nil"/>
              <w:bottom w:val="single" w:sz="4" w:space="0" w:color="auto"/>
              <w:right w:val="single" w:sz="4" w:space="0" w:color="auto"/>
            </w:tcBorders>
            <w:shd w:val="clear" w:color="auto" w:fill="auto"/>
            <w:noWrap/>
            <w:vAlign w:val="bottom"/>
            <w:hideMark/>
          </w:tcPr>
          <w:p w14:paraId="151B483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2AD13B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48.55</w:t>
            </w:r>
          </w:p>
        </w:tc>
        <w:tc>
          <w:tcPr>
            <w:tcW w:w="596" w:type="pct"/>
            <w:tcBorders>
              <w:top w:val="nil"/>
              <w:left w:val="nil"/>
              <w:bottom w:val="single" w:sz="4" w:space="0" w:color="auto"/>
              <w:right w:val="single" w:sz="4" w:space="0" w:color="auto"/>
            </w:tcBorders>
            <w:shd w:val="clear" w:color="auto" w:fill="auto"/>
            <w:noWrap/>
            <w:vAlign w:val="bottom"/>
            <w:hideMark/>
          </w:tcPr>
          <w:p w14:paraId="54DAD2E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105.67</w:t>
            </w:r>
          </w:p>
        </w:tc>
      </w:tr>
      <w:tr w:rsidR="00574BFB" w:rsidRPr="00574BFB" w14:paraId="2CB70FB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EA3CE9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1D3A8E51"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Bieleman</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6A728A4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2014</w:t>
            </w:r>
          </w:p>
        </w:tc>
        <w:tc>
          <w:tcPr>
            <w:tcW w:w="473" w:type="pct"/>
            <w:tcBorders>
              <w:top w:val="nil"/>
              <w:left w:val="nil"/>
              <w:bottom w:val="single" w:sz="4" w:space="0" w:color="auto"/>
              <w:right w:val="single" w:sz="4" w:space="0" w:color="auto"/>
            </w:tcBorders>
            <w:shd w:val="clear" w:color="auto" w:fill="auto"/>
            <w:noWrap/>
            <w:vAlign w:val="bottom"/>
            <w:hideMark/>
          </w:tcPr>
          <w:p w14:paraId="472F78E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1982</w:t>
            </w:r>
          </w:p>
        </w:tc>
        <w:tc>
          <w:tcPr>
            <w:tcW w:w="526" w:type="pct"/>
            <w:tcBorders>
              <w:top w:val="nil"/>
              <w:left w:val="nil"/>
              <w:bottom w:val="single" w:sz="4" w:space="0" w:color="auto"/>
              <w:right w:val="single" w:sz="4" w:space="0" w:color="auto"/>
            </w:tcBorders>
            <w:shd w:val="clear" w:color="auto" w:fill="auto"/>
            <w:noWrap/>
            <w:vAlign w:val="bottom"/>
            <w:hideMark/>
          </w:tcPr>
          <w:p w14:paraId="033DBE6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2BDA39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039F0E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51.6</w:t>
            </w:r>
          </w:p>
        </w:tc>
        <w:tc>
          <w:tcPr>
            <w:tcW w:w="596" w:type="pct"/>
            <w:tcBorders>
              <w:top w:val="nil"/>
              <w:left w:val="nil"/>
              <w:bottom w:val="single" w:sz="4" w:space="0" w:color="auto"/>
              <w:right w:val="single" w:sz="4" w:space="0" w:color="auto"/>
            </w:tcBorders>
            <w:shd w:val="clear" w:color="auto" w:fill="auto"/>
            <w:noWrap/>
            <w:vAlign w:val="bottom"/>
            <w:hideMark/>
          </w:tcPr>
          <w:p w14:paraId="79DCF52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97.5</w:t>
            </w:r>
          </w:p>
        </w:tc>
      </w:tr>
      <w:tr w:rsidR="00574BFB" w:rsidRPr="00574BFB" w14:paraId="105861FF"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5E30B9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7240827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Cardoso</w:t>
            </w:r>
          </w:p>
        </w:tc>
        <w:tc>
          <w:tcPr>
            <w:tcW w:w="530" w:type="pct"/>
            <w:tcBorders>
              <w:top w:val="nil"/>
              <w:left w:val="nil"/>
              <w:bottom w:val="single" w:sz="4" w:space="0" w:color="auto"/>
              <w:right w:val="single" w:sz="4" w:space="0" w:color="auto"/>
            </w:tcBorders>
            <w:shd w:val="clear" w:color="auto" w:fill="auto"/>
            <w:noWrap/>
            <w:vAlign w:val="bottom"/>
            <w:hideMark/>
          </w:tcPr>
          <w:p w14:paraId="2FD9C43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2002</w:t>
            </w:r>
          </w:p>
        </w:tc>
        <w:tc>
          <w:tcPr>
            <w:tcW w:w="473" w:type="pct"/>
            <w:tcBorders>
              <w:top w:val="nil"/>
              <w:left w:val="nil"/>
              <w:bottom w:val="single" w:sz="4" w:space="0" w:color="auto"/>
              <w:right w:val="single" w:sz="4" w:space="0" w:color="auto"/>
            </w:tcBorders>
            <w:shd w:val="clear" w:color="auto" w:fill="auto"/>
            <w:noWrap/>
            <w:vAlign w:val="bottom"/>
            <w:hideMark/>
          </w:tcPr>
          <w:p w14:paraId="5048E8E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1991</w:t>
            </w:r>
          </w:p>
        </w:tc>
        <w:tc>
          <w:tcPr>
            <w:tcW w:w="526" w:type="pct"/>
            <w:tcBorders>
              <w:top w:val="nil"/>
              <w:left w:val="nil"/>
              <w:bottom w:val="single" w:sz="4" w:space="0" w:color="auto"/>
              <w:right w:val="single" w:sz="4" w:space="0" w:color="auto"/>
            </w:tcBorders>
            <w:shd w:val="clear" w:color="auto" w:fill="auto"/>
            <w:noWrap/>
            <w:vAlign w:val="bottom"/>
            <w:hideMark/>
          </w:tcPr>
          <w:p w14:paraId="181C33A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CF71F1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F703B0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0F96341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03BC280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9B423B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7ECBFB06"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Buffarini</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726A0E9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2018</w:t>
            </w:r>
          </w:p>
        </w:tc>
        <w:tc>
          <w:tcPr>
            <w:tcW w:w="473" w:type="pct"/>
            <w:tcBorders>
              <w:top w:val="nil"/>
              <w:left w:val="nil"/>
              <w:bottom w:val="single" w:sz="4" w:space="0" w:color="auto"/>
              <w:right w:val="single" w:sz="4" w:space="0" w:color="auto"/>
            </w:tcBorders>
            <w:shd w:val="clear" w:color="auto" w:fill="auto"/>
            <w:noWrap/>
            <w:vAlign w:val="bottom"/>
            <w:hideMark/>
          </w:tcPr>
          <w:p w14:paraId="69BD8E0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1993</w:t>
            </w:r>
          </w:p>
        </w:tc>
        <w:tc>
          <w:tcPr>
            <w:tcW w:w="526" w:type="pct"/>
            <w:tcBorders>
              <w:top w:val="nil"/>
              <w:left w:val="nil"/>
              <w:bottom w:val="single" w:sz="4" w:space="0" w:color="auto"/>
              <w:right w:val="single" w:sz="4" w:space="0" w:color="auto"/>
            </w:tcBorders>
            <w:shd w:val="clear" w:color="auto" w:fill="auto"/>
            <w:noWrap/>
            <w:vAlign w:val="bottom"/>
            <w:hideMark/>
          </w:tcPr>
          <w:p w14:paraId="27FF0CD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162.27</w:t>
            </w:r>
          </w:p>
        </w:tc>
        <w:tc>
          <w:tcPr>
            <w:tcW w:w="526" w:type="pct"/>
            <w:tcBorders>
              <w:top w:val="nil"/>
              <w:left w:val="nil"/>
              <w:bottom w:val="single" w:sz="4" w:space="0" w:color="auto"/>
              <w:right w:val="single" w:sz="4" w:space="0" w:color="auto"/>
            </w:tcBorders>
            <w:shd w:val="clear" w:color="auto" w:fill="auto"/>
            <w:noWrap/>
            <w:vAlign w:val="bottom"/>
            <w:hideMark/>
          </w:tcPr>
          <w:p w14:paraId="7E9C93E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90.65</w:t>
            </w:r>
          </w:p>
        </w:tc>
        <w:tc>
          <w:tcPr>
            <w:tcW w:w="526" w:type="pct"/>
            <w:tcBorders>
              <w:top w:val="nil"/>
              <w:left w:val="nil"/>
              <w:bottom w:val="single" w:sz="4" w:space="0" w:color="auto"/>
              <w:right w:val="single" w:sz="4" w:space="0" w:color="auto"/>
            </w:tcBorders>
            <w:shd w:val="clear" w:color="auto" w:fill="auto"/>
            <w:noWrap/>
            <w:vAlign w:val="bottom"/>
            <w:hideMark/>
          </w:tcPr>
          <w:p w14:paraId="57E40D0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56.29</w:t>
            </w:r>
          </w:p>
        </w:tc>
        <w:tc>
          <w:tcPr>
            <w:tcW w:w="596" w:type="pct"/>
            <w:tcBorders>
              <w:top w:val="nil"/>
              <w:left w:val="nil"/>
              <w:bottom w:val="single" w:sz="4" w:space="0" w:color="auto"/>
              <w:right w:val="single" w:sz="4" w:space="0" w:color="auto"/>
            </w:tcBorders>
            <w:shd w:val="clear" w:color="auto" w:fill="auto"/>
            <w:noWrap/>
            <w:vAlign w:val="bottom"/>
            <w:hideMark/>
          </w:tcPr>
          <w:p w14:paraId="62D4408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72.89</w:t>
            </w:r>
          </w:p>
        </w:tc>
      </w:tr>
      <w:tr w:rsidR="00574BFB" w:rsidRPr="00574BFB" w14:paraId="0D648643"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457613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073A47D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de Oliveira</w:t>
            </w:r>
          </w:p>
        </w:tc>
        <w:tc>
          <w:tcPr>
            <w:tcW w:w="530" w:type="pct"/>
            <w:tcBorders>
              <w:top w:val="nil"/>
              <w:left w:val="nil"/>
              <w:bottom w:val="single" w:sz="4" w:space="0" w:color="auto"/>
              <w:right w:val="single" w:sz="4" w:space="0" w:color="auto"/>
            </w:tcBorders>
            <w:shd w:val="clear" w:color="auto" w:fill="auto"/>
            <w:noWrap/>
            <w:vAlign w:val="bottom"/>
            <w:hideMark/>
          </w:tcPr>
          <w:p w14:paraId="61E1CA8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2E249B2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1999</w:t>
            </w:r>
          </w:p>
        </w:tc>
        <w:tc>
          <w:tcPr>
            <w:tcW w:w="526" w:type="pct"/>
            <w:tcBorders>
              <w:top w:val="nil"/>
              <w:left w:val="nil"/>
              <w:bottom w:val="single" w:sz="4" w:space="0" w:color="auto"/>
              <w:right w:val="single" w:sz="4" w:space="0" w:color="auto"/>
            </w:tcBorders>
            <w:shd w:val="clear" w:color="auto" w:fill="auto"/>
            <w:noWrap/>
            <w:vAlign w:val="bottom"/>
            <w:hideMark/>
          </w:tcPr>
          <w:p w14:paraId="4D61F54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214.4</w:t>
            </w:r>
          </w:p>
        </w:tc>
        <w:tc>
          <w:tcPr>
            <w:tcW w:w="526" w:type="pct"/>
            <w:tcBorders>
              <w:top w:val="nil"/>
              <w:left w:val="nil"/>
              <w:bottom w:val="single" w:sz="4" w:space="0" w:color="auto"/>
              <w:right w:val="single" w:sz="4" w:space="0" w:color="auto"/>
            </w:tcBorders>
            <w:shd w:val="clear" w:color="auto" w:fill="auto"/>
            <w:noWrap/>
            <w:vAlign w:val="bottom"/>
            <w:hideMark/>
          </w:tcPr>
          <w:p w14:paraId="420B55C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142.49</w:t>
            </w:r>
          </w:p>
        </w:tc>
        <w:tc>
          <w:tcPr>
            <w:tcW w:w="526" w:type="pct"/>
            <w:tcBorders>
              <w:top w:val="nil"/>
              <w:left w:val="nil"/>
              <w:bottom w:val="single" w:sz="4" w:space="0" w:color="auto"/>
              <w:right w:val="single" w:sz="4" w:space="0" w:color="auto"/>
            </w:tcBorders>
            <w:shd w:val="clear" w:color="auto" w:fill="auto"/>
            <w:noWrap/>
            <w:vAlign w:val="bottom"/>
            <w:hideMark/>
          </w:tcPr>
          <w:p w14:paraId="47E7450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45.3</w:t>
            </w:r>
          </w:p>
        </w:tc>
        <w:tc>
          <w:tcPr>
            <w:tcW w:w="596" w:type="pct"/>
            <w:tcBorders>
              <w:top w:val="nil"/>
              <w:left w:val="nil"/>
              <w:bottom w:val="single" w:sz="4" w:space="0" w:color="auto"/>
              <w:right w:val="single" w:sz="4" w:space="0" w:color="auto"/>
            </w:tcBorders>
            <w:shd w:val="clear" w:color="auto" w:fill="auto"/>
            <w:noWrap/>
            <w:vAlign w:val="bottom"/>
            <w:hideMark/>
          </w:tcPr>
          <w:p w14:paraId="0E4F25A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137.06</w:t>
            </w:r>
          </w:p>
        </w:tc>
      </w:tr>
      <w:tr w:rsidR="00574BFB" w:rsidRPr="00574BFB" w14:paraId="674E09BB"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47F5ED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0566B8F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xml:space="preserve">Martins </w:t>
            </w:r>
          </w:p>
        </w:tc>
        <w:tc>
          <w:tcPr>
            <w:tcW w:w="530" w:type="pct"/>
            <w:tcBorders>
              <w:top w:val="nil"/>
              <w:left w:val="nil"/>
              <w:bottom w:val="single" w:sz="4" w:space="0" w:color="auto"/>
              <w:right w:val="single" w:sz="4" w:space="0" w:color="auto"/>
            </w:tcBorders>
            <w:shd w:val="clear" w:color="auto" w:fill="auto"/>
            <w:noWrap/>
            <w:vAlign w:val="bottom"/>
            <w:hideMark/>
          </w:tcPr>
          <w:p w14:paraId="50D2F1E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1989</w:t>
            </w:r>
          </w:p>
        </w:tc>
        <w:tc>
          <w:tcPr>
            <w:tcW w:w="473" w:type="pct"/>
            <w:tcBorders>
              <w:top w:val="nil"/>
              <w:left w:val="nil"/>
              <w:bottom w:val="single" w:sz="4" w:space="0" w:color="auto"/>
              <w:right w:val="single" w:sz="4" w:space="0" w:color="auto"/>
            </w:tcBorders>
            <w:shd w:val="clear" w:color="auto" w:fill="auto"/>
            <w:noWrap/>
            <w:vAlign w:val="bottom"/>
            <w:hideMark/>
          </w:tcPr>
          <w:p w14:paraId="47966B9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1987</w:t>
            </w:r>
          </w:p>
        </w:tc>
        <w:tc>
          <w:tcPr>
            <w:tcW w:w="526" w:type="pct"/>
            <w:tcBorders>
              <w:top w:val="nil"/>
              <w:left w:val="nil"/>
              <w:bottom w:val="single" w:sz="4" w:space="0" w:color="auto"/>
              <w:right w:val="single" w:sz="4" w:space="0" w:color="auto"/>
            </w:tcBorders>
            <w:shd w:val="clear" w:color="auto" w:fill="auto"/>
            <w:noWrap/>
            <w:vAlign w:val="bottom"/>
            <w:hideMark/>
          </w:tcPr>
          <w:p w14:paraId="70AAE07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6730AA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66D850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29488B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5A63720"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7D833A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7C4397DD"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Fornes</w:t>
            </w:r>
            <w:proofErr w:type="spellEnd"/>
            <w:r w:rsidRPr="00574BFB">
              <w:rPr>
                <w:rFonts w:ascii="Arial" w:eastAsia="Times New Roman" w:hAnsi="Arial" w:cs="Arial"/>
                <w:color w:val="000000"/>
                <w:sz w:val="16"/>
                <w:szCs w:val="16"/>
                <w:lang w:eastAsia="en-GB"/>
              </w:rPr>
              <w:t xml:space="preserve"> </w:t>
            </w:r>
          </w:p>
        </w:tc>
        <w:tc>
          <w:tcPr>
            <w:tcW w:w="530" w:type="pct"/>
            <w:tcBorders>
              <w:top w:val="nil"/>
              <w:left w:val="nil"/>
              <w:bottom w:val="single" w:sz="4" w:space="0" w:color="auto"/>
              <w:right w:val="single" w:sz="4" w:space="0" w:color="auto"/>
            </w:tcBorders>
            <w:shd w:val="clear" w:color="auto" w:fill="auto"/>
            <w:noWrap/>
            <w:vAlign w:val="bottom"/>
            <w:hideMark/>
          </w:tcPr>
          <w:p w14:paraId="4825EA9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2000</w:t>
            </w:r>
          </w:p>
        </w:tc>
        <w:tc>
          <w:tcPr>
            <w:tcW w:w="473" w:type="pct"/>
            <w:tcBorders>
              <w:top w:val="nil"/>
              <w:left w:val="nil"/>
              <w:bottom w:val="single" w:sz="4" w:space="0" w:color="auto"/>
              <w:right w:val="single" w:sz="4" w:space="0" w:color="auto"/>
            </w:tcBorders>
            <w:shd w:val="clear" w:color="auto" w:fill="auto"/>
            <w:noWrap/>
            <w:vAlign w:val="bottom"/>
            <w:hideMark/>
          </w:tcPr>
          <w:p w14:paraId="71A4FBD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1990</w:t>
            </w:r>
          </w:p>
        </w:tc>
        <w:tc>
          <w:tcPr>
            <w:tcW w:w="526" w:type="pct"/>
            <w:tcBorders>
              <w:top w:val="nil"/>
              <w:left w:val="nil"/>
              <w:bottom w:val="single" w:sz="4" w:space="0" w:color="auto"/>
              <w:right w:val="single" w:sz="4" w:space="0" w:color="auto"/>
            </w:tcBorders>
            <w:shd w:val="clear" w:color="auto" w:fill="auto"/>
            <w:noWrap/>
            <w:vAlign w:val="bottom"/>
            <w:hideMark/>
          </w:tcPr>
          <w:p w14:paraId="615D68C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7896AD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DD49E0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0C08B2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79A7A5C3"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49D7AB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5879081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Martins</w:t>
            </w:r>
          </w:p>
        </w:tc>
        <w:tc>
          <w:tcPr>
            <w:tcW w:w="530" w:type="pct"/>
            <w:tcBorders>
              <w:top w:val="nil"/>
              <w:left w:val="nil"/>
              <w:bottom w:val="single" w:sz="4" w:space="0" w:color="auto"/>
              <w:right w:val="single" w:sz="4" w:space="0" w:color="auto"/>
            </w:tcBorders>
            <w:shd w:val="clear" w:color="auto" w:fill="auto"/>
            <w:noWrap/>
            <w:vAlign w:val="bottom"/>
            <w:hideMark/>
          </w:tcPr>
          <w:p w14:paraId="3637EC9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1996</w:t>
            </w:r>
          </w:p>
        </w:tc>
        <w:tc>
          <w:tcPr>
            <w:tcW w:w="473" w:type="pct"/>
            <w:tcBorders>
              <w:top w:val="nil"/>
              <w:left w:val="nil"/>
              <w:bottom w:val="single" w:sz="4" w:space="0" w:color="auto"/>
              <w:right w:val="single" w:sz="4" w:space="0" w:color="auto"/>
            </w:tcBorders>
            <w:shd w:val="clear" w:color="auto" w:fill="auto"/>
            <w:noWrap/>
            <w:vAlign w:val="bottom"/>
            <w:hideMark/>
          </w:tcPr>
          <w:p w14:paraId="1A7B2F7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1991</w:t>
            </w:r>
          </w:p>
        </w:tc>
        <w:tc>
          <w:tcPr>
            <w:tcW w:w="526" w:type="pct"/>
            <w:tcBorders>
              <w:top w:val="nil"/>
              <w:left w:val="nil"/>
              <w:bottom w:val="single" w:sz="4" w:space="0" w:color="auto"/>
              <w:right w:val="single" w:sz="4" w:space="0" w:color="auto"/>
            </w:tcBorders>
            <w:shd w:val="clear" w:color="auto" w:fill="auto"/>
            <w:noWrap/>
            <w:vAlign w:val="bottom"/>
            <w:hideMark/>
          </w:tcPr>
          <w:p w14:paraId="02D902A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186.08</w:t>
            </w:r>
          </w:p>
        </w:tc>
        <w:tc>
          <w:tcPr>
            <w:tcW w:w="526" w:type="pct"/>
            <w:tcBorders>
              <w:top w:val="nil"/>
              <w:left w:val="nil"/>
              <w:bottom w:val="single" w:sz="4" w:space="0" w:color="auto"/>
              <w:right w:val="single" w:sz="4" w:space="0" w:color="auto"/>
            </w:tcBorders>
            <w:shd w:val="clear" w:color="auto" w:fill="auto"/>
            <w:noWrap/>
            <w:vAlign w:val="bottom"/>
            <w:hideMark/>
          </w:tcPr>
          <w:p w14:paraId="5A47CEB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117.1</w:t>
            </w:r>
          </w:p>
        </w:tc>
        <w:tc>
          <w:tcPr>
            <w:tcW w:w="526" w:type="pct"/>
            <w:tcBorders>
              <w:top w:val="nil"/>
              <w:left w:val="nil"/>
              <w:bottom w:val="single" w:sz="4" w:space="0" w:color="auto"/>
              <w:right w:val="single" w:sz="4" w:space="0" w:color="auto"/>
            </w:tcBorders>
            <w:shd w:val="clear" w:color="auto" w:fill="auto"/>
            <w:noWrap/>
            <w:vAlign w:val="bottom"/>
            <w:hideMark/>
          </w:tcPr>
          <w:p w14:paraId="0FD2C4C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44.97</w:t>
            </w:r>
          </w:p>
        </w:tc>
        <w:tc>
          <w:tcPr>
            <w:tcW w:w="596" w:type="pct"/>
            <w:tcBorders>
              <w:top w:val="nil"/>
              <w:left w:val="nil"/>
              <w:bottom w:val="single" w:sz="4" w:space="0" w:color="auto"/>
              <w:right w:val="single" w:sz="4" w:space="0" w:color="auto"/>
            </w:tcBorders>
            <w:shd w:val="clear" w:color="auto" w:fill="auto"/>
            <w:noWrap/>
            <w:vAlign w:val="bottom"/>
            <w:hideMark/>
          </w:tcPr>
          <w:p w14:paraId="23D33BB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116.49</w:t>
            </w:r>
          </w:p>
        </w:tc>
      </w:tr>
      <w:tr w:rsidR="00574BFB" w:rsidRPr="00574BFB" w14:paraId="63795C3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F8F1D7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2069CF7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xml:space="preserve">Correa </w:t>
            </w:r>
            <w:proofErr w:type="spellStart"/>
            <w:r w:rsidRPr="00574BFB">
              <w:rPr>
                <w:rFonts w:ascii="Arial" w:eastAsia="Times New Roman" w:hAnsi="Arial" w:cs="Arial"/>
                <w:color w:val="000000"/>
                <w:sz w:val="16"/>
                <w:szCs w:val="16"/>
                <w:lang w:eastAsia="en-GB"/>
              </w:rPr>
              <w:t>Leite</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164910C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0C146DA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1997</w:t>
            </w:r>
          </w:p>
        </w:tc>
        <w:tc>
          <w:tcPr>
            <w:tcW w:w="526" w:type="pct"/>
            <w:tcBorders>
              <w:top w:val="nil"/>
              <w:left w:val="nil"/>
              <w:bottom w:val="single" w:sz="4" w:space="0" w:color="auto"/>
              <w:right w:val="single" w:sz="4" w:space="0" w:color="auto"/>
            </w:tcBorders>
            <w:shd w:val="clear" w:color="auto" w:fill="auto"/>
            <w:noWrap/>
            <w:vAlign w:val="bottom"/>
            <w:hideMark/>
          </w:tcPr>
          <w:p w14:paraId="06BF08E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9C4E44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155</w:t>
            </w:r>
          </w:p>
        </w:tc>
        <w:tc>
          <w:tcPr>
            <w:tcW w:w="526" w:type="pct"/>
            <w:tcBorders>
              <w:top w:val="nil"/>
              <w:left w:val="nil"/>
              <w:bottom w:val="single" w:sz="4" w:space="0" w:color="auto"/>
              <w:right w:val="single" w:sz="4" w:space="0" w:color="auto"/>
            </w:tcBorders>
            <w:shd w:val="clear" w:color="auto" w:fill="auto"/>
            <w:noWrap/>
            <w:vAlign w:val="bottom"/>
            <w:hideMark/>
          </w:tcPr>
          <w:p w14:paraId="41763C4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49.2</w:t>
            </w:r>
          </w:p>
        </w:tc>
        <w:tc>
          <w:tcPr>
            <w:tcW w:w="596" w:type="pct"/>
            <w:tcBorders>
              <w:top w:val="nil"/>
              <w:left w:val="nil"/>
              <w:bottom w:val="single" w:sz="4" w:space="0" w:color="auto"/>
              <w:right w:val="single" w:sz="4" w:space="0" w:color="auto"/>
            </w:tcBorders>
            <w:shd w:val="clear" w:color="auto" w:fill="auto"/>
            <w:noWrap/>
            <w:vAlign w:val="bottom"/>
            <w:hideMark/>
          </w:tcPr>
          <w:p w14:paraId="6FF34A6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151.2</w:t>
            </w:r>
          </w:p>
        </w:tc>
      </w:tr>
      <w:tr w:rsidR="00574BFB" w:rsidRPr="00574BFB" w14:paraId="28E9DFB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1D419F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00F55DC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Gus</w:t>
            </w:r>
          </w:p>
        </w:tc>
        <w:tc>
          <w:tcPr>
            <w:tcW w:w="530" w:type="pct"/>
            <w:tcBorders>
              <w:top w:val="nil"/>
              <w:left w:val="nil"/>
              <w:bottom w:val="single" w:sz="4" w:space="0" w:color="auto"/>
              <w:right w:val="single" w:sz="4" w:space="0" w:color="auto"/>
            </w:tcBorders>
            <w:shd w:val="clear" w:color="auto" w:fill="auto"/>
            <w:noWrap/>
            <w:vAlign w:val="bottom"/>
            <w:hideMark/>
          </w:tcPr>
          <w:p w14:paraId="601C03A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2002</w:t>
            </w:r>
          </w:p>
        </w:tc>
        <w:tc>
          <w:tcPr>
            <w:tcW w:w="473" w:type="pct"/>
            <w:tcBorders>
              <w:top w:val="nil"/>
              <w:left w:val="nil"/>
              <w:bottom w:val="single" w:sz="4" w:space="0" w:color="auto"/>
              <w:right w:val="single" w:sz="4" w:space="0" w:color="auto"/>
            </w:tcBorders>
            <w:shd w:val="clear" w:color="auto" w:fill="auto"/>
            <w:noWrap/>
            <w:vAlign w:val="bottom"/>
            <w:hideMark/>
          </w:tcPr>
          <w:p w14:paraId="2DC4B50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2000</w:t>
            </w:r>
          </w:p>
        </w:tc>
        <w:tc>
          <w:tcPr>
            <w:tcW w:w="526" w:type="pct"/>
            <w:tcBorders>
              <w:top w:val="nil"/>
              <w:left w:val="nil"/>
              <w:bottom w:val="single" w:sz="4" w:space="0" w:color="auto"/>
              <w:right w:val="single" w:sz="4" w:space="0" w:color="auto"/>
            </w:tcBorders>
            <w:shd w:val="clear" w:color="auto" w:fill="auto"/>
            <w:noWrap/>
            <w:vAlign w:val="bottom"/>
            <w:hideMark/>
          </w:tcPr>
          <w:p w14:paraId="6E62661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FF2C32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F3506A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04C446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AFE5FB7"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F3757D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79312146"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Marcopito</w:t>
            </w:r>
            <w:proofErr w:type="spellEnd"/>
            <w:r w:rsidRPr="00574BFB">
              <w:rPr>
                <w:rFonts w:ascii="Arial" w:eastAsia="Times New Roman" w:hAnsi="Arial" w:cs="Arial"/>
                <w:color w:val="000000"/>
                <w:sz w:val="16"/>
                <w:szCs w:val="16"/>
                <w:lang w:eastAsia="en-GB"/>
              </w:rPr>
              <w:t xml:space="preserve"> </w:t>
            </w:r>
          </w:p>
        </w:tc>
        <w:tc>
          <w:tcPr>
            <w:tcW w:w="530" w:type="pct"/>
            <w:tcBorders>
              <w:top w:val="nil"/>
              <w:left w:val="nil"/>
              <w:bottom w:val="single" w:sz="4" w:space="0" w:color="auto"/>
              <w:right w:val="single" w:sz="4" w:space="0" w:color="auto"/>
            </w:tcBorders>
            <w:shd w:val="clear" w:color="auto" w:fill="auto"/>
            <w:noWrap/>
            <w:vAlign w:val="bottom"/>
            <w:hideMark/>
          </w:tcPr>
          <w:p w14:paraId="6CD682A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473" w:type="pct"/>
            <w:tcBorders>
              <w:top w:val="nil"/>
              <w:left w:val="nil"/>
              <w:bottom w:val="single" w:sz="4" w:space="0" w:color="auto"/>
              <w:right w:val="single" w:sz="4" w:space="0" w:color="auto"/>
            </w:tcBorders>
            <w:shd w:val="clear" w:color="auto" w:fill="auto"/>
            <w:noWrap/>
            <w:vAlign w:val="bottom"/>
            <w:hideMark/>
          </w:tcPr>
          <w:p w14:paraId="7C5EFCD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526" w:type="pct"/>
            <w:tcBorders>
              <w:top w:val="nil"/>
              <w:left w:val="nil"/>
              <w:bottom w:val="single" w:sz="4" w:space="0" w:color="auto"/>
              <w:right w:val="single" w:sz="4" w:space="0" w:color="auto"/>
            </w:tcBorders>
            <w:shd w:val="clear" w:color="auto" w:fill="auto"/>
            <w:noWrap/>
            <w:vAlign w:val="bottom"/>
            <w:hideMark/>
          </w:tcPr>
          <w:p w14:paraId="6316722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F276A2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621899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5FA8D4F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3608795F"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BAAEFD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27BF9E1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de Oliveira</w:t>
            </w:r>
          </w:p>
        </w:tc>
        <w:tc>
          <w:tcPr>
            <w:tcW w:w="530" w:type="pct"/>
            <w:tcBorders>
              <w:top w:val="nil"/>
              <w:left w:val="nil"/>
              <w:bottom w:val="single" w:sz="4" w:space="0" w:color="auto"/>
              <w:right w:val="single" w:sz="4" w:space="0" w:color="auto"/>
            </w:tcBorders>
            <w:shd w:val="clear" w:color="auto" w:fill="auto"/>
            <w:noWrap/>
            <w:vAlign w:val="bottom"/>
            <w:hideMark/>
          </w:tcPr>
          <w:p w14:paraId="7D1FA3E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473" w:type="pct"/>
            <w:tcBorders>
              <w:top w:val="nil"/>
              <w:left w:val="nil"/>
              <w:bottom w:val="single" w:sz="4" w:space="0" w:color="auto"/>
              <w:right w:val="single" w:sz="4" w:space="0" w:color="auto"/>
            </w:tcBorders>
            <w:shd w:val="clear" w:color="auto" w:fill="auto"/>
            <w:noWrap/>
            <w:vAlign w:val="bottom"/>
            <w:hideMark/>
          </w:tcPr>
          <w:p w14:paraId="41E0AC5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526" w:type="pct"/>
            <w:tcBorders>
              <w:top w:val="nil"/>
              <w:left w:val="nil"/>
              <w:bottom w:val="single" w:sz="4" w:space="0" w:color="auto"/>
              <w:right w:val="single" w:sz="4" w:space="0" w:color="auto"/>
            </w:tcBorders>
            <w:shd w:val="clear" w:color="auto" w:fill="auto"/>
            <w:noWrap/>
            <w:vAlign w:val="bottom"/>
            <w:hideMark/>
          </w:tcPr>
          <w:p w14:paraId="633F649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180.78</w:t>
            </w:r>
          </w:p>
        </w:tc>
        <w:tc>
          <w:tcPr>
            <w:tcW w:w="526" w:type="pct"/>
            <w:tcBorders>
              <w:top w:val="nil"/>
              <w:left w:val="nil"/>
              <w:bottom w:val="single" w:sz="4" w:space="0" w:color="auto"/>
              <w:right w:val="single" w:sz="4" w:space="0" w:color="auto"/>
            </w:tcBorders>
            <w:shd w:val="clear" w:color="auto" w:fill="auto"/>
            <w:noWrap/>
            <w:vAlign w:val="bottom"/>
            <w:hideMark/>
          </w:tcPr>
          <w:p w14:paraId="12029B1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98.66</w:t>
            </w:r>
          </w:p>
        </w:tc>
        <w:tc>
          <w:tcPr>
            <w:tcW w:w="526" w:type="pct"/>
            <w:tcBorders>
              <w:top w:val="nil"/>
              <w:left w:val="nil"/>
              <w:bottom w:val="single" w:sz="4" w:space="0" w:color="auto"/>
              <w:right w:val="single" w:sz="4" w:space="0" w:color="auto"/>
            </w:tcBorders>
            <w:shd w:val="clear" w:color="auto" w:fill="auto"/>
            <w:noWrap/>
            <w:vAlign w:val="bottom"/>
            <w:hideMark/>
          </w:tcPr>
          <w:p w14:paraId="0903CD7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55.9</w:t>
            </w:r>
          </w:p>
        </w:tc>
        <w:tc>
          <w:tcPr>
            <w:tcW w:w="596" w:type="pct"/>
            <w:tcBorders>
              <w:top w:val="nil"/>
              <w:left w:val="nil"/>
              <w:bottom w:val="single" w:sz="4" w:space="0" w:color="auto"/>
              <w:right w:val="single" w:sz="4" w:space="0" w:color="auto"/>
            </w:tcBorders>
            <w:shd w:val="clear" w:color="auto" w:fill="auto"/>
            <w:noWrap/>
            <w:vAlign w:val="bottom"/>
            <w:hideMark/>
          </w:tcPr>
          <w:p w14:paraId="71ED41F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133.3</w:t>
            </w:r>
          </w:p>
        </w:tc>
      </w:tr>
      <w:tr w:rsidR="00574BFB" w:rsidRPr="00574BFB" w14:paraId="65FEBF72"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E2506D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6D84D52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de Castro</w:t>
            </w:r>
          </w:p>
        </w:tc>
        <w:tc>
          <w:tcPr>
            <w:tcW w:w="530" w:type="pct"/>
            <w:tcBorders>
              <w:top w:val="nil"/>
              <w:left w:val="nil"/>
              <w:bottom w:val="single" w:sz="4" w:space="0" w:color="auto"/>
              <w:right w:val="single" w:sz="4" w:space="0" w:color="auto"/>
            </w:tcBorders>
            <w:shd w:val="clear" w:color="auto" w:fill="auto"/>
            <w:noWrap/>
            <w:vAlign w:val="bottom"/>
            <w:hideMark/>
          </w:tcPr>
          <w:p w14:paraId="1BF1174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0B15B80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5B4102A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197.9</w:t>
            </w:r>
          </w:p>
        </w:tc>
        <w:tc>
          <w:tcPr>
            <w:tcW w:w="526" w:type="pct"/>
            <w:tcBorders>
              <w:top w:val="nil"/>
              <w:left w:val="nil"/>
              <w:bottom w:val="single" w:sz="4" w:space="0" w:color="auto"/>
              <w:right w:val="single" w:sz="4" w:space="0" w:color="auto"/>
            </w:tcBorders>
            <w:shd w:val="clear" w:color="auto" w:fill="auto"/>
            <w:noWrap/>
            <w:vAlign w:val="bottom"/>
            <w:hideMark/>
          </w:tcPr>
          <w:p w14:paraId="6810EB3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120.6</w:t>
            </w:r>
          </w:p>
        </w:tc>
        <w:tc>
          <w:tcPr>
            <w:tcW w:w="526" w:type="pct"/>
            <w:tcBorders>
              <w:top w:val="nil"/>
              <w:left w:val="nil"/>
              <w:bottom w:val="single" w:sz="4" w:space="0" w:color="auto"/>
              <w:right w:val="single" w:sz="4" w:space="0" w:color="auto"/>
            </w:tcBorders>
            <w:shd w:val="clear" w:color="auto" w:fill="auto"/>
            <w:noWrap/>
            <w:vAlign w:val="bottom"/>
            <w:hideMark/>
          </w:tcPr>
          <w:p w14:paraId="6C1D39B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50</w:t>
            </w:r>
          </w:p>
        </w:tc>
        <w:tc>
          <w:tcPr>
            <w:tcW w:w="596" w:type="pct"/>
            <w:tcBorders>
              <w:top w:val="nil"/>
              <w:left w:val="nil"/>
              <w:bottom w:val="single" w:sz="4" w:space="0" w:color="auto"/>
              <w:right w:val="single" w:sz="4" w:space="0" w:color="auto"/>
            </w:tcBorders>
            <w:shd w:val="clear" w:color="auto" w:fill="auto"/>
            <w:noWrap/>
            <w:vAlign w:val="bottom"/>
            <w:hideMark/>
          </w:tcPr>
          <w:p w14:paraId="383BB79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138.4</w:t>
            </w:r>
          </w:p>
        </w:tc>
      </w:tr>
      <w:tr w:rsidR="00574BFB" w:rsidRPr="00574BFB" w14:paraId="6866C4D3"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9035CF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111266C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de Souza</w:t>
            </w:r>
          </w:p>
        </w:tc>
        <w:tc>
          <w:tcPr>
            <w:tcW w:w="530" w:type="pct"/>
            <w:tcBorders>
              <w:top w:val="nil"/>
              <w:left w:val="nil"/>
              <w:bottom w:val="single" w:sz="4" w:space="0" w:color="auto"/>
              <w:right w:val="single" w:sz="4" w:space="0" w:color="auto"/>
            </w:tcBorders>
            <w:shd w:val="clear" w:color="auto" w:fill="auto"/>
            <w:noWrap/>
            <w:vAlign w:val="bottom"/>
            <w:hideMark/>
          </w:tcPr>
          <w:p w14:paraId="09FE455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7AB74BB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64E1546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182.12</w:t>
            </w:r>
          </w:p>
        </w:tc>
        <w:tc>
          <w:tcPr>
            <w:tcW w:w="526" w:type="pct"/>
            <w:tcBorders>
              <w:top w:val="nil"/>
              <w:left w:val="nil"/>
              <w:bottom w:val="single" w:sz="4" w:space="0" w:color="auto"/>
              <w:right w:val="single" w:sz="4" w:space="0" w:color="auto"/>
            </w:tcBorders>
            <w:shd w:val="clear" w:color="auto" w:fill="auto"/>
            <w:noWrap/>
            <w:vAlign w:val="bottom"/>
            <w:hideMark/>
          </w:tcPr>
          <w:p w14:paraId="3370871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109.28</w:t>
            </w:r>
          </w:p>
        </w:tc>
        <w:tc>
          <w:tcPr>
            <w:tcW w:w="526" w:type="pct"/>
            <w:tcBorders>
              <w:top w:val="nil"/>
              <w:left w:val="nil"/>
              <w:bottom w:val="single" w:sz="4" w:space="0" w:color="auto"/>
              <w:right w:val="single" w:sz="4" w:space="0" w:color="auto"/>
            </w:tcBorders>
            <w:shd w:val="clear" w:color="auto" w:fill="auto"/>
            <w:noWrap/>
            <w:vAlign w:val="bottom"/>
            <w:hideMark/>
          </w:tcPr>
          <w:p w14:paraId="7EFAEDE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47.42</w:t>
            </w:r>
          </w:p>
        </w:tc>
        <w:tc>
          <w:tcPr>
            <w:tcW w:w="596" w:type="pct"/>
            <w:tcBorders>
              <w:top w:val="nil"/>
              <w:left w:val="nil"/>
              <w:bottom w:val="single" w:sz="4" w:space="0" w:color="auto"/>
              <w:right w:val="single" w:sz="4" w:space="0" w:color="auto"/>
            </w:tcBorders>
            <w:shd w:val="clear" w:color="auto" w:fill="auto"/>
            <w:noWrap/>
            <w:vAlign w:val="bottom"/>
            <w:hideMark/>
          </w:tcPr>
          <w:p w14:paraId="7B86408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109.57</w:t>
            </w:r>
          </w:p>
        </w:tc>
      </w:tr>
      <w:tr w:rsidR="00574BFB" w:rsidRPr="00574BFB" w14:paraId="6C167B4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999B2A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2866E4D8"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Drumond</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E65ECD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773BBAA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4975CFD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7B29C0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A19AD1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3612035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B79889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584B48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lastRenderedPageBreak/>
              <w:t>Brazil</w:t>
            </w:r>
          </w:p>
        </w:tc>
        <w:tc>
          <w:tcPr>
            <w:tcW w:w="1108" w:type="pct"/>
            <w:tcBorders>
              <w:top w:val="nil"/>
              <w:left w:val="nil"/>
              <w:bottom w:val="single" w:sz="4" w:space="0" w:color="auto"/>
              <w:right w:val="single" w:sz="4" w:space="0" w:color="auto"/>
            </w:tcBorders>
            <w:shd w:val="clear" w:color="auto" w:fill="auto"/>
            <w:noWrap/>
            <w:vAlign w:val="bottom"/>
            <w:hideMark/>
          </w:tcPr>
          <w:p w14:paraId="3F0F6A0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Mendes</w:t>
            </w:r>
          </w:p>
        </w:tc>
        <w:tc>
          <w:tcPr>
            <w:tcW w:w="530" w:type="pct"/>
            <w:tcBorders>
              <w:top w:val="nil"/>
              <w:left w:val="nil"/>
              <w:bottom w:val="single" w:sz="4" w:space="0" w:color="auto"/>
              <w:right w:val="single" w:sz="4" w:space="0" w:color="auto"/>
            </w:tcBorders>
            <w:shd w:val="clear" w:color="auto" w:fill="auto"/>
            <w:noWrap/>
            <w:vAlign w:val="bottom"/>
            <w:hideMark/>
          </w:tcPr>
          <w:p w14:paraId="4D62679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2014</w:t>
            </w:r>
          </w:p>
        </w:tc>
        <w:tc>
          <w:tcPr>
            <w:tcW w:w="473" w:type="pct"/>
            <w:tcBorders>
              <w:top w:val="nil"/>
              <w:left w:val="nil"/>
              <w:bottom w:val="single" w:sz="4" w:space="0" w:color="auto"/>
              <w:right w:val="single" w:sz="4" w:space="0" w:color="auto"/>
            </w:tcBorders>
            <w:shd w:val="clear" w:color="auto" w:fill="auto"/>
            <w:noWrap/>
            <w:vAlign w:val="bottom"/>
            <w:hideMark/>
          </w:tcPr>
          <w:p w14:paraId="532D647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0F74548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CDB2EA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F98DF2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6B5E75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D4BE25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078FBD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6C6246C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Castro</w:t>
            </w:r>
          </w:p>
        </w:tc>
        <w:tc>
          <w:tcPr>
            <w:tcW w:w="530" w:type="pct"/>
            <w:tcBorders>
              <w:top w:val="nil"/>
              <w:left w:val="nil"/>
              <w:bottom w:val="single" w:sz="4" w:space="0" w:color="auto"/>
              <w:right w:val="single" w:sz="4" w:space="0" w:color="auto"/>
            </w:tcBorders>
            <w:shd w:val="clear" w:color="auto" w:fill="auto"/>
            <w:noWrap/>
            <w:vAlign w:val="bottom"/>
            <w:hideMark/>
          </w:tcPr>
          <w:p w14:paraId="11428B9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40F1584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526" w:type="pct"/>
            <w:tcBorders>
              <w:top w:val="nil"/>
              <w:left w:val="nil"/>
              <w:bottom w:val="single" w:sz="4" w:space="0" w:color="auto"/>
              <w:right w:val="single" w:sz="4" w:space="0" w:color="auto"/>
            </w:tcBorders>
            <w:shd w:val="clear" w:color="auto" w:fill="auto"/>
            <w:noWrap/>
            <w:vAlign w:val="bottom"/>
            <w:hideMark/>
          </w:tcPr>
          <w:p w14:paraId="05D549E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2810B2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B95575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B43A63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FA3A2C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3363DE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22F29AB8"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Cocate</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502654B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698CE27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526" w:type="pct"/>
            <w:tcBorders>
              <w:top w:val="nil"/>
              <w:left w:val="nil"/>
              <w:bottom w:val="single" w:sz="4" w:space="0" w:color="auto"/>
              <w:right w:val="single" w:sz="4" w:space="0" w:color="auto"/>
            </w:tcBorders>
            <w:shd w:val="clear" w:color="auto" w:fill="auto"/>
            <w:noWrap/>
            <w:vAlign w:val="bottom"/>
            <w:hideMark/>
          </w:tcPr>
          <w:p w14:paraId="5CD813D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211.29</w:t>
            </w:r>
          </w:p>
        </w:tc>
        <w:tc>
          <w:tcPr>
            <w:tcW w:w="526" w:type="pct"/>
            <w:tcBorders>
              <w:top w:val="nil"/>
              <w:left w:val="nil"/>
              <w:bottom w:val="single" w:sz="4" w:space="0" w:color="auto"/>
              <w:right w:val="single" w:sz="4" w:space="0" w:color="auto"/>
            </w:tcBorders>
            <w:shd w:val="clear" w:color="auto" w:fill="auto"/>
            <w:noWrap/>
            <w:vAlign w:val="bottom"/>
            <w:hideMark/>
          </w:tcPr>
          <w:p w14:paraId="687D220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390207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44.47</w:t>
            </w:r>
          </w:p>
        </w:tc>
        <w:tc>
          <w:tcPr>
            <w:tcW w:w="596" w:type="pct"/>
            <w:tcBorders>
              <w:top w:val="nil"/>
              <w:left w:val="nil"/>
              <w:bottom w:val="single" w:sz="4" w:space="0" w:color="auto"/>
              <w:right w:val="single" w:sz="4" w:space="0" w:color="auto"/>
            </w:tcBorders>
            <w:shd w:val="clear" w:color="auto" w:fill="auto"/>
            <w:noWrap/>
            <w:vAlign w:val="bottom"/>
            <w:hideMark/>
          </w:tcPr>
          <w:p w14:paraId="6B3B5E7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118.87</w:t>
            </w:r>
          </w:p>
        </w:tc>
      </w:tr>
      <w:tr w:rsidR="00574BFB" w:rsidRPr="00574BFB" w14:paraId="21C91B77"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3A91BF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29A3956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Costa-Fagundes</w:t>
            </w:r>
          </w:p>
        </w:tc>
        <w:tc>
          <w:tcPr>
            <w:tcW w:w="530" w:type="pct"/>
            <w:tcBorders>
              <w:top w:val="nil"/>
              <w:left w:val="nil"/>
              <w:bottom w:val="single" w:sz="4" w:space="0" w:color="auto"/>
              <w:right w:val="single" w:sz="4" w:space="0" w:color="auto"/>
            </w:tcBorders>
            <w:shd w:val="clear" w:color="auto" w:fill="auto"/>
            <w:noWrap/>
            <w:vAlign w:val="bottom"/>
            <w:hideMark/>
          </w:tcPr>
          <w:p w14:paraId="03A63CE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2018</w:t>
            </w:r>
          </w:p>
        </w:tc>
        <w:tc>
          <w:tcPr>
            <w:tcW w:w="473" w:type="pct"/>
            <w:tcBorders>
              <w:top w:val="nil"/>
              <w:left w:val="nil"/>
              <w:bottom w:val="single" w:sz="4" w:space="0" w:color="auto"/>
              <w:right w:val="single" w:sz="4" w:space="0" w:color="auto"/>
            </w:tcBorders>
            <w:shd w:val="clear" w:color="auto" w:fill="auto"/>
            <w:noWrap/>
            <w:vAlign w:val="bottom"/>
            <w:hideMark/>
          </w:tcPr>
          <w:p w14:paraId="1B7AFFC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526" w:type="pct"/>
            <w:tcBorders>
              <w:top w:val="nil"/>
              <w:left w:val="nil"/>
              <w:bottom w:val="single" w:sz="4" w:space="0" w:color="auto"/>
              <w:right w:val="single" w:sz="4" w:space="0" w:color="auto"/>
            </w:tcBorders>
            <w:shd w:val="clear" w:color="auto" w:fill="auto"/>
            <w:noWrap/>
            <w:vAlign w:val="bottom"/>
            <w:hideMark/>
          </w:tcPr>
          <w:p w14:paraId="58B4107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EE7CF5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E0AF67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359EA26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36EF81D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B2F7A1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276BF11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Barbosa</w:t>
            </w:r>
          </w:p>
        </w:tc>
        <w:tc>
          <w:tcPr>
            <w:tcW w:w="530" w:type="pct"/>
            <w:tcBorders>
              <w:top w:val="nil"/>
              <w:left w:val="nil"/>
              <w:bottom w:val="single" w:sz="4" w:space="0" w:color="auto"/>
              <w:right w:val="single" w:sz="4" w:space="0" w:color="auto"/>
            </w:tcBorders>
            <w:shd w:val="clear" w:color="auto" w:fill="auto"/>
            <w:noWrap/>
            <w:vAlign w:val="bottom"/>
            <w:hideMark/>
          </w:tcPr>
          <w:p w14:paraId="730BE6C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2AA2273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526" w:type="pct"/>
            <w:tcBorders>
              <w:top w:val="nil"/>
              <w:left w:val="nil"/>
              <w:bottom w:val="single" w:sz="4" w:space="0" w:color="auto"/>
              <w:right w:val="single" w:sz="4" w:space="0" w:color="auto"/>
            </w:tcBorders>
            <w:shd w:val="clear" w:color="auto" w:fill="auto"/>
            <w:noWrap/>
            <w:vAlign w:val="bottom"/>
            <w:hideMark/>
          </w:tcPr>
          <w:p w14:paraId="29C6E2E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DFBE97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43999B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44.04</w:t>
            </w:r>
          </w:p>
        </w:tc>
        <w:tc>
          <w:tcPr>
            <w:tcW w:w="596" w:type="pct"/>
            <w:tcBorders>
              <w:top w:val="nil"/>
              <w:left w:val="nil"/>
              <w:bottom w:val="single" w:sz="4" w:space="0" w:color="auto"/>
              <w:right w:val="single" w:sz="4" w:space="0" w:color="auto"/>
            </w:tcBorders>
            <w:shd w:val="clear" w:color="auto" w:fill="auto"/>
            <w:noWrap/>
            <w:vAlign w:val="bottom"/>
            <w:hideMark/>
          </w:tcPr>
          <w:p w14:paraId="40CA962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85.78</w:t>
            </w:r>
          </w:p>
        </w:tc>
      </w:tr>
      <w:tr w:rsidR="00574BFB" w:rsidRPr="00574BFB" w14:paraId="6FF978D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D54812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4DEC690C"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Bernardi</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186D91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2D41FD4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2003</w:t>
            </w:r>
          </w:p>
        </w:tc>
        <w:tc>
          <w:tcPr>
            <w:tcW w:w="526" w:type="pct"/>
            <w:tcBorders>
              <w:top w:val="nil"/>
              <w:left w:val="nil"/>
              <w:bottom w:val="single" w:sz="4" w:space="0" w:color="auto"/>
              <w:right w:val="single" w:sz="4" w:space="0" w:color="auto"/>
            </w:tcBorders>
            <w:shd w:val="clear" w:color="auto" w:fill="auto"/>
            <w:noWrap/>
            <w:vAlign w:val="bottom"/>
            <w:hideMark/>
          </w:tcPr>
          <w:p w14:paraId="579E44B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167.9</w:t>
            </w:r>
          </w:p>
        </w:tc>
        <w:tc>
          <w:tcPr>
            <w:tcW w:w="526" w:type="pct"/>
            <w:tcBorders>
              <w:top w:val="nil"/>
              <w:left w:val="nil"/>
              <w:bottom w:val="single" w:sz="4" w:space="0" w:color="auto"/>
              <w:right w:val="single" w:sz="4" w:space="0" w:color="auto"/>
            </w:tcBorders>
            <w:shd w:val="clear" w:color="auto" w:fill="auto"/>
            <w:noWrap/>
            <w:vAlign w:val="bottom"/>
            <w:hideMark/>
          </w:tcPr>
          <w:p w14:paraId="6DBE0C9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96.1</w:t>
            </w:r>
          </w:p>
        </w:tc>
        <w:tc>
          <w:tcPr>
            <w:tcW w:w="526" w:type="pct"/>
            <w:tcBorders>
              <w:top w:val="nil"/>
              <w:left w:val="nil"/>
              <w:bottom w:val="single" w:sz="4" w:space="0" w:color="auto"/>
              <w:right w:val="single" w:sz="4" w:space="0" w:color="auto"/>
            </w:tcBorders>
            <w:shd w:val="clear" w:color="auto" w:fill="auto"/>
            <w:noWrap/>
            <w:vAlign w:val="bottom"/>
            <w:hideMark/>
          </w:tcPr>
          <w:p w14:paraId="2EF697C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48.3</w:t>
            </w:r>
          </w:p>
        </w:tc>
        <w:tc>
          <w:tcPr>
            <w:tcW w:w="596" w:type="pct"/>
            <w:tcBorders>
              <w:top w:val="nil"/>
              <w:left w:val="nil"/>
              <w:bottom w:val="single" w:sz="4" w:space="0" w:color="auto"/>
              <w:right w:val="single" w:sz="4" w:space="0" w:color="auto"/>
            </w:tcBorders>
            <w:shd w:val="clear" w:color="auto" w:fill="auto"/>
            <w:noWrap/>
            <w:vAlign w:val="bottom"/>
            <w:hideMark/>
          </w:tcPr>
          <w:p w14:paraId="4529CF1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82.58</w:t>
            </w:r>
          </w:p>
        </w:tc>
      </w:tr>
      <w:tr w:rsidR="00574BFB" w:rsidRPr="00574BFB" w14:paraId="7BBE709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09ED79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78C231F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Candido</w:t>
            </w:r>
          </w:p>
        </w:tc>
        <w:tc>
          <w:tcPr>
            <w:tcW w:w="530" w:type="pct"/>
            <w:tcBorders>
              <w:top w:val="nil"/>
              <w:left w:val="nil"/>
              <w:bottom w:val="single" w:sz="4" w:space="0" w:color="auto"/>
              <w:right w:val="single" w:sz="4" w:space="0" w:color="auto"/>
            </w:tcBorders>
            <w:shd w:val="clear" w:color="auto" w:fill="auto"/>
            <w:noWrap/>
            <w:vAlign w:val="bottom"/>
            <w:hideMark/>
          </w:tcPr>
          <w:p w14:paraId="4D04D19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4CE8578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873BF0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31.18</w:t>
            </w:r>
          </w:p>
        </w:tc>
        <w:tc>
          <w:tcPr>
            <w:tcW w:w="526" w:type="pct"/>
            <w:tcBorders>
              <w:top w:val="nil"/>
              <w:left w:val="nil"/>
              <w:bottom w:val="single" w:sz="4" w:space="0" w:color="auto"/>
              <w:right w:val="single" w:sz="4" w:space="0" w:color="auto"/>
            </w:tcBorders>
            <w:shd w:val="clear" w:color="auto" w:fill="auto"/>
            <w:noWrap/>
            <w:vAlign w:val="bottom"/>
            <w:hideMark/>
          </w:tcPr>
          <w:p w14:paraId="5B750EB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30.92</w:t>
            </w:r>
          </w:p>
        </w:tc>
        <w:tc>
          <w:tcPr>
            <w:tcW w:w="526" w:type="pct"/>
            <w:tcBorders>
              <w:top w:val="nil"/>
              <w:left w:val="nil"/>
              <w:bottom w:val="single" w:sz="4" w:space="0" w:color="auto"/>
              <w:right w:val="single" w:sz="4" w:space="0" w:color="auto"/>
            </w:tcBorders>
            <w:shd w:val="clear" w:color="auto" w:fill="auto"/>
            <w:noWrap/>
            <w:vAlign w:val="bottom"/>
            <w:hideMark/>
          </w:tcPr>
          <w:p w14:paraId="34C371A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31.18</w:t>
            </w:r>
          </w:p>
        </w:tc>
        <w:tc>
          <w:tcPr>
            <w:tcW w:w="596" w:type="pct"/>
            <w:tcBorders>
              <w:top w:val="nil"/>
              <w:left w:val="nil"/>
              <w:bottom w:val="single" w:sz="4" w:space="0" w:color="auto"/>
              <w:right w:val="single" w:sz="4" w:space="0" w:color="auto"/>
            </w:tcBorders>
            <w:shd w:val="clear" w:color="auto" w:fill="auto"/>
            <w:noWrap/>
            <w:vAlign w:val="bottom"/>
            <w:hideMark/>
          </w:tcPr>
          <w:p w14:paraId="48EB08D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31.02</w:t>
            </w:r>
          </w:p>
        </w:tc>
      </w:tr>
      <w:tr w:rsidR="00574BFB" w:rsidRPr="00574BFB" w14:paraId="1DF0A96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3F297A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1CB0446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de Oliveira</w:t>
            </w:r>
          </w:p>
        </w:tc>
        <w:tc>
          <w:tcPr>
            <w:tcW w:w="530" w:type="pct"/>
            <w:tcBorders>
              <w:top w:val="nil"/>
              <w:left w:val="nil"/>
              <w:bottom w:val="single" w:sz="4" w:space="0" w:color="auto"/>
              <w:right w:val="single" w:sz="4" w:space="0" w:color="auto"/>
            </w:tcBorders>
            <w:shd w:val="clear" w:color="auto" w:fill="auto"/>
            <w:noWrap/>
            <w:vAlign w:val="bottom"/>
            <w:hideMark/>
          </w:tcPr>
          <w:p w14:paraId="313BC98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473" w:type="pct"/>
            <w:tcBorders>
              <w:top w:val="nil"/>
              <w:left w:val="nil"/>
              <w:bottom w:val="single" w:sz="4" w:space="0" w:color="auto"/>
              <w:right w:val="single" w:sz="4" w:space="0" w:color="auto"/>
            </w:tcBorders>
            <w:shd w:val="clear" w:color="auto" w:fill="auto"/>
            <w:noWrap/>
            <w:vAlign w:val="bottom"/>
            <w:hideMark/>
          </w:tcPr>
          <w:p w14:paraId="5DAF11C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04A52B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192.27</w:t>
            </w:r>
          </w:p>
        </w:tc>
        <w:tc>
          <w:tcPr>
            <w:tcW w:w="526" w:type="pct"/>
            <w:tcBorders>
              <w:top w:val="nil"/>
              <w:left w:val="nil"/>
              <w:bottom w:val="single" w:sz="4" w:space="0" w:color="auto"/>
              <w:right w:val="single" w:sz="4" w:space="0" w:color="auto"/>
            </w:tcBorders>
            <w:shd w:val="clear" w:color="auto" w:fill="auto"/>
            <w:noWrap/>
            <w:vAlign w:val="bottom"/>
            <w:hideMark/>
          </w:tcPr>
          <w:p w14:paraId="5E550D2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FE5771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117825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152.76</w:t>
            </w:r>
          </w:p>
        </w:tc>
      </w:tr>
      <w:tr w:rsidR="00574BFB" w:rsidRPr="00574BFB" w14:paraId="41166D68"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49FFE8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78F3812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de Oliveira</w:t>
            </w:r>
          </w:p>
        </w:tc>
        <w:tc>
          <w:tcPr>
            <w:tcW w:w="530" w:type="pct"/>
            <w:tcBorders>
              <w:top w:val="nil"/>
              <w:left w:val="nil"/>
              <w:bottom w:val="single" w:sz="4" w:space="0" w:color="auto"/>
              <w:right w:val="single" w:sz="4" w:space="0" w:color="auto"/>
            </w:tcBorders>
            <w:shd w:val="clear" w:color="auto" w:fill="auto"/>
            <w:noWrap/>
            <w:vAlign w:val="bottom"/>
            <w:hideMark/>
          </w:tcPr>
          <w:p w14:paraId="30AE199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2218BC0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9F324C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199.6</w:t>
            </w:r>
          </w:p>
        </w:tc>
        <w:tc>
          <w:tcPr>
            <w:tcW w:w="526" w:type="pct"/>
            <w:tcBorders>
              <w:top w:val="nil"/>
              <w:left w:val="nil"/>
              <w:bottom w:val="single" w:sz="4" w:space="0" w:color="auto"/>
              <w:right w:val="single" w:sz="4" w:space="0" w:color="auto"/>
            </w:tcBorders>
            <w:shd w:val="clear" w:color="auto" w:fill="auto"/>
            <w:noWrap/>
            <w:vAlign w:val="bottom"/>
            <w:hideMark/>
          </w:tcPr>
          <w:p w14:paraId="6FD6A8E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128.8</w:t>
            </w:r>
          </w:p>
        </w:tc>
        <w:tc>
          <w:tcPr>
            <w:tcW w:w="526" w:type="pct"/>
            <w:tcBorders>
              <w:top w:val="nil"/>
              <w:left w:val="nil"/>
              <w:bottom w:val="single" w:sz="4" w:space="0" w:color="auto"/>
              <w:right w:val="single" w:sz="4" w:space="0" w:color="auto"/>
            </w:tcBorders>
            <w:shd w:val="clear" w:color="auto" w:fill="auto"/>
            <w:noWrap/>
            <w:vAlign w:val="bottom"/>
            <w:hideMark/>
          </w:tcPr>
          <w:p w14:paraId="191A921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46.8</w:t>
            </w:r>
          </w:p>
        </w:tc>
        <w:tc>
          <w:tcPr>
            <w:tcW w:w="596" w:type="pct"/>
            <w:tcBorders>
              <w:top w:val="nil"/>
              <w:left w:val="nil"/>
              <w:bottom w:val="single" w:sz="4" w:space="0" w:color="auto"/>
              <w:right w:val="single" w:sz="4" w:space="0" w:color="auto"/>
            </w:tcBorders>
            <w:shd w:val="clear" w:color="auto" w:fill="auto"/>
            <w:noWrap/>
            <w:vAlign w:val="bottom"/>
            <w:hideMark/>
          </w:tcPr>
          <w:p w14:paraId="2B64477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122.3</w:t>
            </w:r>
          </w:p>
        </w:tc>
      </w:tr>
      <w:tr w:rsidR="00574BFB" w:rsidRPr="00574BFB" w14:paraId="7E0051DB"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4700C1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298BC77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de Oliveira</w:t>
            </w:r>
          </w:p>
        </w:tc>
        <w:tc>
          <w:tcPr>
            <w:tcW w:w="530" w:type="pct"/>
            <w:tcBorders>
              <w:top w:val="nil"/>
              <w:left w:val="nil"/>
              <w:bottom w:val="single" w:sz="4" w:space="0" w:color="auto"/>
              <w:right w:val="single" w:sz="4" w:space="0" w:color="auto"/>
            </w:tcBorders>
            <w:shd w:val="clear" w:color="auto" w:fill="auto"/>
            <w:noWrap/>
            <w:vAlign w:val="bottom"/>
            <w:hideMark/>
          </w:tcPr>
          <w:p w14:paraId="7270BBA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2017</w:t>
            </w:r>
          </w:p>
        </w:tc>
        <w:tc>
          <w:tcPr>
            <w:tcW w:w="473" w:type="pct"/>
            <w:tcBorders>
              <w:top w:val="nil"/>
              <w:left w:val="nil"/>
              <w:bottom w:val="single" w:sz="4" w:space="0" w:color="auto"/>
              <w:right w:val="single" w:sz="4" w:space="0" w:color="auto"/>
            </w:tcBorders>
            <w:shd w:val="clear" w:color="auto" w:fill="auto"/>
            <w:noWrap/>
            <w:vAlign w:val="bottom"/>
            <w:hideMark/>
          </w:tcPr>
          <w:p w14:paraId="69DD080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F8A04A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214.33</w:t>
            </w:r>
          </w:p>
        </w:tc>
        <w:tc>
          <w:tcPr>
            <w:tcW w:w="526" w:type="pct"/>
            <w:tcBorders>
              <w:top w:val="nil"/>
              <w:left w:val="nil"/>
              <w:bottom w:val="single" w:sz="4" w:space="0" w:color="auto"/>
              <w:right w:val="single" w:sz="4" w:space="0" w:color="auto"/>
            </w:tcBorders>
            <w:shd w:val="clear" w:color="auto" w:fill="auto"/>
            <w:noWrap/>
            <w:vAlign w:val="bottom"/>
            <w:hideMark/>
          </w:tcPr>
          <w:p w14:paraId="4CE079A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142.13</w:t>
            </w:r>
          </w:p>
        </w:tc>
        <w:tc>
          <w:tcPr>
            <w:tcW w:w="526" w:type="pct"/>
            <w:tcBorders>
              <w:top w:val="nil"/>
              <w:left w:val="nil"/>
              <w:bottom w:val="single" w:sz="4" w:space="0" w:color="auto"/>
              <w:right w:val="single" w:sz="4" w:space="0" w:color="auto"/>
            </w:tcBorders>
            <w:shd w:val="clear" w:color="auto" w:fill="auto"/>
            <w:noWrap/>
            <w:vAlign w:val="bottom"/>
            <w:hideMark/>
          </w:tcPr>
          <w:p w14:paraId="5AA76AA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45.39</w:t>
            </w:r>
          </w:p>
        </w:tc>
        <w:tc>
          <w:tcPr>
            <w:tcW w:w="596" w:type="pct"/>
            <w:tcBorders>
              <w:top w:val="nil"/>
              <w:left w:val="nil"/>
              <w:bottom w:val="single" w:sz="4" w:space="0" w:color="auto"/>
              <w:right w:val="single" w:sz="4" w:space="0" w:color="auto"/>
            </w:tcBorders>
            <w:shd w:val="clear" w:color="auto" w:fill="auto"/>
            <w:noWrap/>
            <w:vAlign w:val="bottom"/>
            <w:hideMark/>
          </w:tcPr>
          <w:p w14:paraId="63B3A65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139.05</w:t>
            </w:r>
          </w:p>
        </w:tc>
      </w:tr>
      <w:tr w:rsidR="00574BFB" w:rsidRPr="00574BFB" w14:paraId="18A1D8B8"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D5135F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5F913FC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Dressler</w:t>
            </w:r>
          </w:p>
        </w:tc>
        <w:tc>
          <w:tcPr>
            <w:tcW w:w="530" w:type="pct"/>
            <w:tcBorders>
              <w:top w:val="nil"/>
              <w:left w:val="nil"/>
              <w:bottom w:val="single" w:sz="4" w:space="0" w:color="auto"/>
              <w:right w:val="single" w:sz="4" w:space="0" w:color="auto"/>
            </w:tcBorders>
            <w:shd w:val="clear" w:color="auto" w:fill="auto"/>
            <w:noWrap/>
            <w:vAlign w:val="bottom"/>
            <w:hideMark/>
          </w:tcPr>
          <w:p w14:paraId="6249259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473" w:type="pct"/>
            <w:tcBorders>
              <w:top w:val="nil"/>
              <w:left w:val="nil"/>
              <w:bottom w:val="single" w:sz="4" w:space="0" w:color="auto"/>
              <w:right w:val="single" w:sz="4" w:space="0" w:color="auto"/>
            </w:tcBorders>
            <w:shd w:val="clear" w:color="auto" w:fill="auto"/>
            <w:noWrap/>
            <w:vAlign w:val="bottom"/>
            <w:hideMark/>
          </w:tcPr>
          <w:p w14:paraId="2B33D95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F259D0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187.2</w:t>
            </w:r>
          </w:p>
        </w:tc>
        <w:tc>
          <w:tcPr>
            <w:tcW w:w="526" w:type="pct"/>
            <w:tcBorders>
              <w:top w:val="nil"/>
              <w:left w:val="nil"/>
              <w:bottom w:val="single" w:sz="4" w:space="0" w:color="auto"/>
              <w:right w:val="single" w:sz="4" w:space="0" w:color="auto"/>
            </w:tcBorders>
            <w:shd w:val="clear" w:color="auto" w:fill="auto"/>
            <w:noWrap/>
            <w:vAlign w:val="bottom"/>
            <w:hideMark/>
          </w:tcPr>
          <w:p w14:paraId="6105AE6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112.6</w:t>
            </w:r>
          </w:p>
        </w:tc>
        <w:tc>
          <w:tcPr>
            <w:tcW w:w="526" w:type="pct"/>
            <w:tcBorders>
              <w:top w:val="nil"/>
              <w:left w:val="nil"/>
              <w:bottom w:val="single" w:sz="4" w:space="0" w:color="auto"/>
              <w:right w:val="single" w:sz="4" w:space="0" w:color="auto"/>
            </w:tcBorders>
            <w:shd w:val="clear" w:color="auto" w:fill="auto"/>
            <w:noWrap/>
            <w:vAlign w:val="bottom"/>
            <w:hideMark/>
          </w:tcPr>
          <w:p w14:paraId="3201246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0DE3B9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7413DD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403C6D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6FF0D2B7"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Beleigoli</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4D0ACC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2017</w:t>
            </w:r>
          </w:p>
        </w:tc>
        <w:tc>
          <w:tcPr>
            <w:tcW w:w="473" w:type="pct"/>
            <w:tcBorders>
              <w:top w:val="nil"/>
              <w:left w:val="nil"/>
              <w:bottom w:val="single" w:sz="4" w:space="0" w:color="auto"/>
              <w:right w:val="single" w:sz="4" w:space="0" w:color="auto"/>
            </w:tcBorders>
            <w:shd w:val="clear" w:color="auto" w:fill="auto"/>
            <w:noWrap/>
            <w:vAlign w:val="bottom"/>
            <w:hideMark/>
          </w:tcPr>
          <w:p w14:paraId="5481BA6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2000</w:t>
            </w:r>
          </w:p>
        </w:tc>
        <w:tc>
          <w:tcPr>
            <w:tcW w:w="526" w:type="pct"/>
            <w:tcBorders>
              <w:top w:val="nil"/>
              <w:left w:val="nil"/>
              <w:bottom w:val="single" w:sz="4" w:space="0" w:color="auto"/>
              <w:right w:val="single" w:sz="4" w:space="0" w:color="auto"/>
            </w:tcBorders>
            <w:shd w:val="clear" w:color="auto" w:fill="auto"/>
            <w:noWrap/>
            <w:vAlign w:val="bottom"/>
            <w:hideMark/>
          </w:tcPr>
          <w:p w14:paraId="0FD8759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230</w:t>
            </w:r>
          </w:p>
        </w:tc>
        <w:tc>
          <w:tcPr>
            <w:tcW w:w="526" w:type="pct"/>
            <w:tcBorders>
              <w:top w:val="nil"/>
              <w:left w:val="nil"/>
              <w:bottom w:val="single" w:sz="4" w:space="0" w:color="auto"/>
              <w:right w:val="single" w:sz="4" w:space="0" w:color="auto"/>
            </w:tcBorders>
            <w:shd w:val="clear" w:color="auto" w:fill="auto"/>
            <w:noWrap/>
            <w:vAlign w:val="bottom"/>
            <w:hideMark/>
          </w:tcPr>
          <w:p w14:paraId="7E23942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5F7201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6495F0B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4649B40B"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CEEC11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7E71801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Bustos</w:t>
            </w:r>
          </w:p>
        </w:tc>
        <w:tc>
          <w:tcPr>
            <w:tcW w:w="530" w:type="pct"/>
            <w:tcBorders>
              <w:top w:val="nil"/>
              <w:left w:val="nil"/>
              <w:bottom w:val="single" w:sz="4" w:space="0" w:color="auto"/>
              <w:right w:val="single" w:sz="4" w:space="0" w:color="auto"/>
            </w:tcBorders>
            <w:shd w:val="clear" w:color="auto" w:fill="auto"/>
            <w:noWrap/>
            <w:vAlign w:val="bottom"/>
            <w:hideMark/>
          </w:tcPr>
          <w:p w14:paraId="634BE72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71F03D5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2002</w:t>
            </w:r>
          </w:p>
        </w:tc>
        <w:tc>
          <w:tcPr>
            <w:tcW w:w="526" w:type="pct"/>
            <w:tcBorders>
              <w:top w:val="nil"/>
              <w:left w:val="nil"/>
              <w:bottom w:val="single" w:sz="4" w:space="0" w:color="auto"/>
              <w:right w:val="single" w:sz="4" w:space="0" w:color="auto"/>
            </w:tcBorders>
            <w:shd w:val="clear" w:color="auto" w:fill="auto"/>
            <w:noWrap/>
            <w:vAlign w:val="bottom"/>
            <w:hideMark/>
          </w:tcPr>
          <w:p w14:paraId="286E92A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4FC7B9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51F0E4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37478C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1E2115F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48CF6B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7EE1B9D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Costa</w:t>
            </w:r>
          </w:p>
        </w:tc>
        <w:tc>
          <w:tcPr>
            <w:tcW w:w="530" w:type="pct"/>
            <w:tcBorders>
              <w:top w:val="nil"/>
              <w:left w:val="nil"/>
              <w:bottom w:val="single" w:sz="4" w:space="0" w:color="auto"/>
              <w:right w:val="single" w:sz="4" w:space="0" w:color="auto"/>
            </w:tcBorders>
            <w:shd w:val="clear" w:color="auto" w:fill="auto"/>
            <w:noWrap/>
            <w:vAlign w:val="bottom"/>
            <w:hideMark/>
          </w:tcPr>
          <w:p w14:paraId="34A2AA5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5F6DD1F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526" w:type="pct"/>
            <w:tcBorders>
              <w:top w:val="nil"/>
              <w:left w:val="nil"/>
              <w:bottom w:val="single" w:sz="4" w:space="0" w:color="auto"/>
              <w:right w:val="single" w:sz="4" w:space="0" w:color="auto"/>
            </w:tcBorders>
            <w:shd w:val="clear" w:color="auto" w:fill="auto"/>
            <w:noWrap/>
            <w:vAlign w:val="bottom"/>
            <w:hideMark/>
          </w:tcPr>
          <w:p w14:paraId="131C4B4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F80507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89A9F4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EDCF7F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586D3A3"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654AC1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295C2A15"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Carnelosso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4FC7352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284FFF7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526" w:type="pct"/>
            <w:tcBorders>
              <w:top w:val="nil"/>
              <w:left w:val="nil"/>
              <w:bottom w:val="single" w:sz="4" w:space="0" w:color="auto"/>
              <w:right w:val="single" w:sz="4" w:space="0" w:color="auto"/>
            </w:tcBorders>
            <w:shd w:val="clear" w:color="auto" w:fill="auto"/>
            <w:noWrap/>
            <w:vAlign w:val="bottom"/>
            <w:hideMark/>
          </w:tcPr>
          <w:p w14:paraId="2008B60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93BE1B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94E112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2F4D47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2A9A2C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071CCD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68CCFA0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Cabral</w:t>
            </w:r>
          </w:p>
        </w:tc>
        <w:tc>
          <w:tcPr>
            <w:tcW w:w="530" w:type="pct"/>
            <w:tcBorders>
              <w:top w:val="nil"/>
              <w:left w:val="nil"/>
              <w:bottom w:val="single" w:sz="4" w:space="0" w:color="auto"/>
              <w:right w:val="single" w:sz="4" w:space="0" w:color="auto"/>
            </w:tcBorders>
            <w:shd w:val="clear" w:color="auto" w:fill="auto"/>
            <w:noWrap/>
            <w:vAlign w:val="bottom"/>
            <w:hideMark/>
          </w:tcPr>
          <w:p w14:paraId="1AA18E4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42DD080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526" w:type="pct"/>
            <w:tcBorders>
              <w:top w:val="nil"/>
              <w:left w:val="nil"/>
              <w:bottom w:val="single" w:sz="4" w:space="0" w:color="auto"/>
              <w:right w:val="single" w:sz="4" w:space="0" w:color="auto"/>
            </w:tcBorders>
            <w:shd w:val="clear" w:color="auto" w:fill="auto"/>
            <w:noWrap/>
            <w:vAlign w:val="bottom"/>
            <w:hideMark/>
          </w:tcPr>
          <w:p w14:paraId="348A99A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182.43</w:t>
            </w:r>
          </w:p>
        </w:tc>
        <w:tc>
          <w:tcPr>
            <w:tcW w:w="526" w:type="pct"/>
            <w:tcBorders>
              <w:top w:val="nil"/>
              <w:left w:val="nil"/>
              <w:bottom w:val="single" w:sz="4" w:space="0" w:color="auto"/>
              <w:right w:val="single" w:sz="4" w:space="0" w:color="auto"/>
            </w:tcBorders>
            <w:shd w:val="clear" w:color="auto" w:fill="auto"/>
            <w:noWrap/>
            <w:vAlign w:val="bottom"/>
            <w:hideMark/>
          </w:tcPr>
          <w:p w14:paraId="4435D86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110.76</w:t>
            </w:r>
          </w:p>
        </w:tc>
        <w:tc>
          <w:tcPr>
            <w:tcW w:w="526" w:type="pct"/>
            <w:tcBorders>
              <w:top w:val="nil"/>
              <w:left w:val="nil"/>
              <w:bottom w:val="single" w:sz="4" w:space="0" w:color="auto"/>
              <w:right w:val="single" w:sz="4" w:space="0" w:color="auto"/>
            </w:tcBorders>
            <w:shd w:val="clear" w:color="auto" w:fill="auto"/>
            <w:noWrap/>
            <w:vAlign w:val="bottom"/>
            <w:hideMark/>
          </w:tcPr>
          <w:p w14:paraId="60BC233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51.31</w:t>
            </w:r>
          </w:p>
        </w:tc>
        <w:tc>
          <w:tcPr>
            <w:tcW w:w="596" w:type="pct"/>
            <w:tcBorders>
              <w:top w:val="nil"/>
              <w:left w:val="nil"/>
              <w:bottom w:val="single" w:sz="4" w:space="0" w:color="auto"/>
              <w:right w:val="single" w:sz="4" w:space="0" w:color="auto"/>
            </w:tcBorders>
            <w:shd w:val="clear" w:color="auto" w:fill="auto"/>
            <w:noWrap/>
            <w:vAlign w:val="bottom"/>
            <w:hideMark/>
          </w:tcPr>
          <w:p w14:paraId="2C9EC99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101.62</w:t>
            </w:r>
          </w:p>
        </w:tc>
      </w:tr>
      <w:tr w:rsidR="00574BFB" w:rsidRPr="00574BFB" w14:paraId="4160B48B"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0D70AE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Brazil</w:t>
            </w:r>
          </w:p>
        </w:tc>
        <w:tc>
          <w:tcPr>
            <w:tcW w:w="1108" w:type="pct"/>
            <w:tcBorders>
              <w:top w:val="nil"/>
              <w:left w:val="nil"/>
              <w:bottom w:val="single" w:sz="4" w:space="0" w:color="auto"/>
              <w:right w:val="single" w:sz="4" w:space="0" w:color="auto"/>
            </w:tcBorders>
            <w:shd w:val="clear" w:color="auto" w:fill="auto"/>
            <w:noWrap/>
            <w:vAlign w:val="bottom"/>
            <w:hideMark/>
          </w:tcPr>
          <w:p w14:paraId="74CA32D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Matos</w:t>
            </w:r>
          </w:p>
        </w:tc>
        <w:tc>
          <w:tcPr>
            <w:tcW w:w="530" w:type="pct"/>
            <w:tcBorders>
              <w:top w:val="nil"/>
              <w:left w:val="nil"/>
              <w:bottom w:val="single" w:sz="4" w:space="0" w:color="auto"/>
              <w:right w:val="single" w:sz="4" w:space="0" w:color="auto"/>
            </w:tcBorders>
            <w:shd w:val="clear" w:color="auto" w:fill="auto"/>
            <w:noWrap/>
            <w:vAlign w:val="bottom"/>
            <w:hideMark/>
          </w:tcPr>
          <w:p w14:paraId="0C0DEDD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2003</w:t>
            </w:r>
          </w:p>
        </w:tc>
        <w:tc>
          <w:tcPr>
            <w:tcW w:w="473" w:type="pct"/>
            <w:tcBorders>
              <w:top w:val="nil"/>
              <w:left w:val="nil"/>
              <w:bottom w:val="single" w:sz="4" w:space="0" w:color="auto"/>
              <w:right w:val="single" w:sz="4" w:space="0" w:color="auto"/>
            </w:tcBorders>
            <w:shd w:val="clear" w:color="auto" w:fill="auto"/>
            <w:noWrap/>
            <w:vAlign w:val="bottom"/>
            <w:hideMark/>
          </w:tcPr>
          <w:p w14:paraId="0D6991A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605203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205</w:t>
            </w:r>
          </w:p>
        </w:tc>
        <w:tc>
          <w:tcPr>
            <w:tcW w:w="526" w:type="pct"/>
            <w:tcBorders>
              <w:top w:val="nil"/>
              <w:left w:val="nil"/>
              <w:bottom w:val="single" w:sz="4" w:space="0" w:color="auto"/>
              <w:right w:val="single" w:sz="4" w:space="0" w:color="auto"/>
            </w:tcBorders>
            <w:shd w:val="clear" w:color="auto" w:fill="auto"/>
            <w:noWrap/>
            <w:vAlign w:val="bottom"/>
            <w:hideMark/>
          </w:tcPr>
          <w:p w14:paraId="2DB0A29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116.7</w:t>
            </w:r>
          </w:p>
        </w:tc>
        <w:tc>
          <w:tcPr>
            <w:tcW w:w="526" w:type="pct"/>
            <w:tcBorders>
              <w:top w:val="nil"/>
              <w:left w:val="nil"/>
              <w:bottom w:val="single" w:sz="4" w:space="0" w:color="auto"/>
              <w:right w:val="single" w:sz="4" w:space="0" w:color="auto"/>
            </w:tcBorders>
            <w:shd w:val="clear" w:color="auto" w:fill="auto"/>
            <w:noWrap/>
            <w:vAlign w:val="bottom"/>
            <w:hideMark/>
          </w:tcPr>
          <w:p w14:paraId="6C5A237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70</w:t>
            </w:r>
          </w:p>
        </w:tc>
        <w:tc>
          <w:tcPr>
            <w:tcW w:w="596" w:type="pct"/>
            <w:tcBorders>
              <w:top w:val="nil"/>
              <w:left w:val="nil"/>
              <w:bottom w:val="single" w:sz="4" w:space="0" w:color="auto"/>
              <w:right w:val="single" w:sz="4" w:space="0" w:color="auto"/>
            </w:tcBorders>
            <w:shd w:val="clear" w:color="auto" w:fill="auto"/>
            <w:noWrap/>
            <w:vAlign w:val="bottom"/>
            <w:hideMark/>
          </w:tcPr>
          <w:p w14:paraId="590F774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128.6</w:t>
            </w:r>
          </w:p>
        </w:tc>
      </w:tr>
      <w:tr w:rsidR="00574BFB" w:rsidRPr="00574BFB" w14:paraId="6DF25F4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5FAFDB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78E4C27A" w14:textId="2B4F0EEC"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Jadue</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7B05B07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1999</w:t>
            </w:r>
          </w:p>
        </w:tc>
        <w:tc>
          <w:tcPr>
            <w:tcW w:w="473" w:type="pct"/>
            <w:tcBorders>
              <w:top w:val="nil"/>
              <w:left w:val="nil"/>
              <w:bottom w:val="single" w:sz="4" w:space="0" w:color="auto"/>
              <w:right w:val="single" w:sz="4" w:space="0" w:color="auto"/>
            </w:tcBorders>
            <w:shd w:val="clear" w:color="auto" w:fill="auto"/>
            <w:noWrap/>
            <w:vAlign w:val="bottom"/>
            <w:hideMark/>
          </w:tcPr>
          <w:p w14:paraId="244F9FA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1997</w:t>
            </w:r>
          </w:p>
        </w:tc>
        <w:tc>
          <w:tcPr>
            <w:tcW w:w="526" w:type="pct"/>
            <w:tcBorders>
              <w:top w:val="nil"/>
              <w:left w:val="nil"/>
              <w:bottom w:val="single" w:sz="4" w:space="0" w:color="auto"/>
              <w:right w:val="single" w:sz="4" w:space="0" w:color="auto"/>
            </w:tcBorders>
            <w:shd w:val="clear" w:color="auto" w:fill="auto"/>
            <w:noWrap/>
            <w:vAlign w:val="bottom"/>
            <w:hideMark/>
          </w:tcPr>
          <w:p w14:paraId="1DAD464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B6CEB0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C80527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1E8758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1AEBE32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63E752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2520EF9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xml:space="preserve">Garcia </w:t>
            </w:r>
            <w:proofErr w:type="spellStart"/>
            <w:r w:rsidRPr="00574BFB">
              <w:rPr>
                <w:rFonts w:ascii="Arial" w:eastAsia="Times New Roman" w:hAnsi="Arial" w:cs="Arial"/>
                <w:color w:val="000000"/>
                <w:sz w:val="16"/>
                <w:szCs w:val="16"/>
                <w:lang w:eastAsia="en-GB"/>
              </w:rPr>
              <w:t>Hermozo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7B9399C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2017</w:t>
            </w:r>
          </w:p>
        </w:tc>
        <w:tc>
          <w:tcPr>
            <w:tcW w:w="473" w:type="pct"/>
            <w:tcBorders>
              <w:top w:val="nil"/>
              <w:left w:val="nil"/>
              <w:bottom w:val="single" w:sz="4" w:space="0" w:color="auto"/>
              <w:right w:val="single" w:sz="4" w:space="0" w:color="auto"/>
            </w:tcBorders>
            <w:shd w:val="clear" w:color="auto" w:fill="auto"/>
            <w:noWrap/>
            <w:vAlign w:val="bottom"/>
            <w:hideMark/>
          </w:tcPr>
          <w:p w14:paraId="687FCDD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0A08D43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194.7</w:t>
            </w:r>
          </w:p>
        </w:tc>
        <w:tc>
          <w:tcPr>
            <w:tcW w:w="526" w:type="pct"/>
            <w:tcBorders>
              <w:top w:val="nil"/>
              <w:left w:val="nil"/>
              <w:bottom w:val="single" w:sz="4" w:space="0" w:color="auto"/>
              <w:right w:val="single" w:sz="4" w:space="0" w:color="auto"/>
            </w:tcBorders>
            <w:shd w:val="clear" w:color="auto" w:fill="auto"/>
            <w:noWrap/>
            <w:vAlign w:val="bottom"/>
            <w:hideMark/>
          </w:tcPr>
          <w:p w14:paraId="0FC2791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2ACD7F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BE568A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149.9</w:t>
            </w:r>
          </w:p>
        </w:tc>
      </w:tr>
      <w:tr w:rsidR="00574BFB" w:rsidRPr="00574BFB" w14:paraId="7549EFEB"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675E98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548D50F0"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Vinueza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4C66E00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21AE3CE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526" w:type="pct"/>
            <w:tcBorders>
              <w:top w:val="nil"/>
              <w:left w:val="nil"/>
              <w:bottom w:val="single" w:sz="4" w:space="0" w:color="auto"/>
              <w:right w:val="single" w:sz="4" w:space="0" w:color="auto"/>
            </w:tcBorders>
            <w:shd w:val="clear" w:color="auto" w:fill="auto"/>
            <w:noWrap/>
            <w:vAlign w:val="bottom"/>
            <w:hideMark/>
          </w:tcPr>
          <w:p w14:paraId="346305C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199.1</w:t>
            </w:r>
          </w:p>
        </w:tc>
        <w:tc>
          <w:tcPr>
            <w:tcW w:w="526" w:type="pct"/>
            <w:tcBorders>
              <w:top w:val="nil"/>
              <w:left w:val="nil"/>
              <w:bottom w:val="single" w:sz="4" w:space="0" w:color="auto"/>
              <w:right w:val="single" w:sz="4" w:space="0" w:color="auto"/>
            </w:tcBorders>
            <w:shd w:val="clear" w:color="auto" w:fill="auto"/>
            <w:noWrap/>
            <w:vAlign w:val="bottom"/>
            <w:hideMark/>
          </w:tcPr>
          <w:p w14:paraId="55E2061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119.6</w:t>
            </w:r>
          </w:p>
        </w:tc>
        <w:tc>
          <w:tcPr>
            <w:tcW w:w="526" w:type="pct"/>
            <w:tcBorders>
              <w:top w:val="nil"/>
              <w:left w:val="nil"/>
              <w:bottom w:val="single" w:sz="4" w:space="0" w:color="auto"/>
              <w:right w:val="single" w:sz="4" w:space="0" w:color="auto"/>
            </w:tcBorders>
            <w:shd w:val="clear" w:color="auto" w:fill="auto"/>
            <w:noWrap/>
            <w:vAlign w:val="bottom"/>
            <w:hideMark/>
          </w:tcPr>
          <w:p w14:paraId="5B10E69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49.4</w:t>
            </w:r>
          </w:p>
        </w:tc>
        <w:tc>
          <w:tcPr>
            <w:tcW w:w="596" w:type="pct"/>
            <w:tcBorders>
              <w:top w:val="nil"/>
              <w:left w:val="nil"/>
              <w:bottom w:val="single" w:sz="4" w:space="0" w:color="auto"/>
              <w:right w:val="single" w:sz="4" w:space="0" w:color="auto"/>
            </w:tcBorders>
            <w:shd w:val="clear" w:color="auto" w:fill="auto"/>
            <w:noWrap/>
            <w:vAlign w:val="bottom"/>
            <w:hideMark/>
          </w:tcPr>
          <w:p w14:paraId="326C06B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159.6</w:t>
            </w:r>
          </w:p>
        </w:tc>
      </w:tr>
      <w:tr w:rsidR="00574BFB" w:rsidRPr="00574BFB" w14:paraId="707F21A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08603F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20538688"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Palomo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3F5CDAC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6842208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4BE65D7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F9B8AB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D24B5E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3463B76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7079F2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83B424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746AC7F4"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Tejos</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3F85C8E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0A78800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526" w:type="pct"/>
            <w:tcBorders>
              <w:top w:val="nil"/>
              <w:left w:val="nil"/>
              <w:bottom w:val="single" w:sz="4" w:space="0" w:color="auto"/>
              <w:right w:val="single" w:sz="4" w:space="0" w:color="auto"/>
            </w:tcBorders>
            <w:shd w:val="clear" w:color="auto" w:fill="auto"/>
            <w:noWrap/>
            <w:vAlign w:val="bottom"/>
            <w:hideMark/>
          </w:tcPr>
          <w:p w14:paraId="4BD3BAD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189.05</w:t>
            </w:r>
          </w:p>
        </w:tc>
        <w:tc>
          <w:tcPr>
            <w:tcW w:w="526" w:type="pct"/>
            <w:tcBorders>
              <w:top w:val="nil"/>
              <w:left w:val="nil"/>
              <w:bottom w:val="single" w:sz="4" w:space="0" w:color="auto"/>
              <w:right w:val="single" w:sz="4" w:space="0" w:color="auto"/>
            </w:tcBorders>
            <w:shd w:val="clear" w:color="auto" w:fill="auto"/>
            <w:noWrap/>
            <w:vAlign w:val="bottom"/>
            <w:hideMark/>
          </w:tcPr>
          <w:p w14:paraId="14B4D74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113.43</w:t>
            </w:r>
          </w:p>
        </w:tc>
        <w:tc>
          <w:tcPr>
            <w:tcW w:w="526" w:type="pct"/>
            <w:tcBorders>
              <w:top w:val="nil"/>
              <w:left w:val="nil"/>
              <w:bottom w:val="single" w:sz="4" w:space="0" w:color="auto"/>
              <w:right w:val="single" w:sz="4" w:space="0" w:color="auto"/>
            </w:tcBorders>
            <w:shd w:val="clear" w:color="auto" w:fill="auto"/>
            <w:noWrap/>
            <w:vAlign w:val="bottom"/>
            <w:hideMark/>
          </w:tcPr>
          <w:p w14:paraId="78B47A1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47.23</w:t>
            </w:r>
          </w:p>
        </w:tc>
        <w:tc>
          <w:tcPr>
            <w:tcW w:w="596" w:type="pct"/>
            <w:tcBorders>
              <w:top w:val="nil"/>
              <w:left w:val="nil"/>
              <w:bottom w:val="single" w:sz="4" w:space="0" w:color="auto"/>
              <w:right w:val="single" w:sz="4" w:space="0" w:color="auto"/>
            </w:tcBorders>
            <w:shd w:val="clear" w:color="auto" w:fill="auto"/>
            <w:noWrap/>
            <w:vAlign w:val="bottom"/>
            <w:hideMark/>
          </w:tcPr>
          <w:p w14:paraId="3EBCAB6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144.07</w:t>
            </w:r>
          </w:p>
        </w:tc>
      </w:tr>
      <w:tr w:rsidR="00574BFB" w:rsidRPr="00574BFB" w14:paraId="59E1AB32"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A7158C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5966F02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Villanueva</w:t>
            </w:r>
          </w:p>
        </w:tc>
        <w:tc>
          <w:tcPr>
            <w:tcW w:w="530" w:type="pct"/>
            <w:tcBorders>
              <w:top w:val="nil"/>
              <w:left w:val="nil"/>
              <w:bottom w:val="single" w:sz="4" w:space="0" w:color="auto"/>
              <w:right w:val="single" w:sz="4" w:space="0" w:color="auto"/>
            </w:tcBorders>
            <w:shd w:val="clear" w:color="auto" w:fill="auto"/>
            <w:noWrap/>
            <w:vAlign w:val="bottom"/>
            <w:hideMark/>
          </w:tcPr>
          <w:p w14:paraId="5D17F4A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2018</w:t>
            </w:r>
          </w:p>
        </w:tc>
        <w:tc>
          <w:tcPr>
            <w:tcW w:w="473" w:type="pct"/>
            <w:tcBorders>
              <w:top w:val="nil"/>
              <w:left w:val="nil"/>
              <w:bottom w:val="single" w:sz="4" w:space="0" w:color="auto"/>
              <w:right w:val="single" w:sz="4" w:space="0" w:color="auto"/>
            </w:tcBorders>
            <w:shd w:val="clear" w:color="auto" w:fill="auto"/>
            <w:noWrap/>
            <w:vAlign w:val="bottom"/>
            <w:hideMark/>
          </w:tcPr>
          <w:p w14:paraId="7B11F83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526" w:type="pct"/>
            <w:tcBorders>
              <w:top w:val="nil"/>
              <w:left w:val="nil"/>
              <w:bottom w:val="single" w:sz="4" w:space="0" w:color="auto"/>
              <w:right w:val="single" w:sz="4" w:space="0" w:color="auto"/>
            </w:tcBorders>
            <w:shd w:val="clear" w:color="auto" w:fill="auto"/>
            <w:noWrap/>
            <w:vAlign w:val="bottom"/>
            <w:hideMark/>
          </w:tcPr>
          <w:p w14:paraId="7B6B793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516384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079DB0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DD4703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F5BD6C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171867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3B3F586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Rubinstein</w:t>
            </w:r>
          </w:p>
        </w:tc>
        <w:tc>
          <w:tcPr>
            <w:tcW w:w="530" w:type="pct"/>
            <w:tcBorders>
              <w:top w:val="nil"/>
              <w:left w:val="nil"/>
              <w:bottom w:val="single" w:sz="4" w:space="0" w:color="auto"/>
              <w:right w:val="single" w:sz="4" w:space="0" w:color="auto"/>
            </w:tcBorders>
            <w:shd w:val="clear" w:color="auto" w:fill="auto"/>
            <w:noWrap/>
            <w:vAlign w:val="bottom"/>
            <w:hideMark/>
          </w:tcPr>
          <w:p w14:paraId="082EEF2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0B98E06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526" w:type="pct"/>
            <w:tcBorders>
              <w:top w:val="nil"/>
              <w:left w:val="nil"/>
              <w:bottom w:val="single" w:sz="4" w:space="0" w:color="auto"/>
              <w:right w:val="single" w:sz="4" w:space="0" w:color="auto"/>
            </w:tcBorders>
            <w:shd w:val="clear" w:color="auto" w:fill="auto"/>
            <w:noWrap/>
            <w:vAlign w:val="bottom"/>
            <w:hideMark/>
          </w:tcPr>
          <w:p w14:paraId="02E52B8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202</w:t>
            </w:r>
          </w:p>
        </w:tc>
        <w:tc>
          <w:tcPr>
            <w:tcW w:w="526" w:type="pct"/>
            <w:tcBorders>
              <w:top w:val="nil"/>
              <w:left w:val="nil"/>
              <w:bottom w:val="single" w:sz="4" w:space="0" w:color="auto"/>
              <w:right w:val="single" w:sz="4" w:space="0" w:color="auto"/>
            </w:tcBorders>
            <w:shd w:val="clear" w:color="auto" w:fill="auto"/>
            <w:noWrap/>
            <w:vAlign w:val="bottom"/>
            <w:hideMark/>
          </w:tcPr>
          <w:p w14:paraId="2CC3B3A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125.6</w:t>
            </w:r>
          </w:p>
        </w:tc>
        <w:tc>
          <w:tcPr>
            <w:tcW w:w="526" w:type="pct"/>
            <w:tcBorders>
              <w:top w:val="nil"/>
              <w:left w:val="nil"/>
              <w:bottom w:val="single" w:sz="4" w:space="0" w:color="auto"/>
              <w:right w:val="single" w:sz="4" w:space="0" w:color="auto"/>
            </w:tcBorders>
            <w:shd w:val="clear" w:color="auto" w:fill="auto"/>
            <w:noWrap/>
            <w:vAlign w:val="bottom"/>
            <w:hideMark/>
          </w:tcPr>
          <w:p w14:paraId="6AD0172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45</w:t>
            </w:r>
          </w:p>
        </w:tc>
        <w:tc>
          <w:tcPr>
            <w:tcW w:w="596" w:type="pct"/>
            <w:tcBorders>
              <w:top w:val="nil"/>
              <w:left w:val="nil"/>
              <w:bottom w:val="single" w:sz="4" w:space="0" w:color="auto"/>
              <w:right w:val="single" w:sz="4" w:space="0" w:color="auto"/>
            </w:tcBorders>
            <w:shd w:val="clear" w:color="auto" w:fill="auto"/>
            <w:noWrap/>
            <w:vAlign w:val="bottom"/>
            <w:hideMark/>
          </w:tcPr>
          <w:p w14:paraId="4C157CA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169.1</w:t>
            </w:r>
          </w:p>
        </w:tc>
      </w:tr>
      <w:tr w:rsidR="00574BFB" w:rsidRPr="00574BFB" w14:paraId="00865E4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14B6E6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35D744A7"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Lanas</w:t>
            </w:r>
            <w:proofErr w:type="spellEnd"/>
            <w:r w:rsidRPr="00574BFB">
              <w:rPr>
                <w:rFonts w:ascii="Arial" w:eastAsia="Times New Roman" w:hAnsi="Arial" w:cs="Arial"/>
                <w:color w:val="000000"/>
                <w:sz w:val="16"/>
                <w:szCs w:val="16"/>
                <w:lang w:eastAsia="en-GB"/>
              </w:rPr>
              <w:t xml:space="preserve"> </w:t>
            </w:r>
          </w:p>
        </w:tc>
        <w:tc>
          <w:tcPr>
            <w:tcW w:w="530" w:type="pct"/>
            <w:tcBorders>
              <w:top w:val="nil"/>
              <w:left w:val="nil"/>
              <w:bottom w:val="single" w:sz="4" w:space="0" w:color="auto"/>
              <w:right w:val="single" w:sz="4" w:space="0" w:color="auto"/>
            </w:tcBorders>
            <w:shd w:val="clear" w:color="auto" w:fill="auto"/>
            <w:noWrap/>
            <w:vAlign w:val="bottom"/>
            <w:hideMark/>
          </w:tcPr>
          <w:p w14:paraId="1E718F5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0594B9D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35A9967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189.1</w:t>
            </w:r>
          </w:p>
        </w:tc>
        <w:tc>
          <w:tcPr>
            <w:tcW w:w="526" w:type="pct"/>
            <w:tcBorders>
              <w:top w:val="nil"/>
              <w:left w:val="nil"/>
              <w:bottom w:val="single" w:sz="4" w:space="0" w:color="auto"/>
              <w:right w:val="single" w:sz="4" w:space="0" w:color="auto"/>
            </w:tcBorders>
            <w:shd w:val="clear" w:color="auto" w:fill="auto"/>
            <w:noWrap/>
            <w:vAlign w:val="bottom"/>
            <w:hideMark/>
          </w:tcPr>
          <w:p w14:paraId="45FF142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113.78</w:t>
            </w:r>
          </w:p>
        </w:tc>
        <w:tc>
          <w:tcPr>
            <w:tcW w:w="526" w:type="pct"/>
            <w:tcBorders>
              <w:top w:val="nil"/>
              <w:left w:val="nil"/>
              <w:bottom w:val="single" w:sz="4" w:space="0" w:color="auto"/>
              <w:right w:val="single" w:sz="4" w:space="0" w:color="auto"/>
            </w:tcBorders>
            <w:shd w:val="clear" w:color="auto" w:fill="auto"/>
            <w:noWrap/>
            <w:vAlign w:val="bottom"/>
            <w:hideMark/>
          </w:tcPr>
          <w:p w14:paraId="65B4CE5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47.82</w:t>
            </w:r>
          </w:p>
        </w:tc>
        <w:tc>
          <w:tcPr>
            <w:tcW w:w="596" w:type="pct"/>
            <w:tcBorders>
              <w:top w:val="nil"/>
              <w:left w:val="nil"/>
              <w:bottom w:val="single" w:sz="4" w:space="0" w:color="auto"/>
              <w:right w:val="single" w:sz="4" w:space="0" w:color="auto"/>
            </w:tcBorders>
            <w:shd w:val="clear" w:color="auto" w:fill="auto"/>
            <w:noWrap/>
            <w:vAlign w:val="bottom"/>
            <w:hideMark/>
          </w:tcPr>
          <w:p w14:paraId="645DE0C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47BB62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DDBDE6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36EEEA2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xml:space="preserve">Lara </w:t>
            </w:r>
          </w:p>
        </w:tc>
        <w:tc>
          <w:tcPr>
            <w:tcW w:w="530" w:type="pct"/>
            <w:tcBorders>
              <w:top w:val="nil"/>
              <w:left w:val="nil"/>
              <w:bottom w:val="single" w:sz="4" w:space="0" w:color="auto"/>
              <w:right w:val="single" w:sz="4" w:space="0" w:color="auto"/>
            </w:tcBorders>
            <w:shd w:val="clear" w:color="auto" w:fill="auto"/>
            <w:noWrap/>
            <w:vAlign w:val="bottom"/>
            <w:hideMark/>
          </w:tcPr>
          <w:p w14:paraId="0698F6D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473" w:type="pct"/>
            <w:tcBorders>
              <w:top w:val="nil"/>
              <w:left w:val="nil"/>
              <w:bottom w:val="single" w:sz="4" w:space="0" w:color="auto"/>
              <w:right w:val="single" w:sz="4" w:space="0" w:color="auto"/>
            </w:tcBorders>
            <w:shd w:val="clear" w:color="auto" w:fill="auto"/>
            <w:noWrap/>
            <w:vAlign w:val="bottom"/>
            <w:hideMark/>
          </w:tcPr>
          <w:p w14:paraId="354168F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963EE8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178.3</w:t>
            </w:r>
          </w:p>
        </w:tc>
        <w:tc>
          <w:tcPr>
            <w:tcW w:w="526" w:type="pct"/>
            <w:tcBorders>
              <w:top w:val="nil"/>
              <w:left w:val="nil"/>
              <w:bottom w:val="single" w:sz="4" w:space="0" w:color="auto"/>
              <w:right w:val="single" w:sz="4" w:space="0" w:color="auto"/>
            </w:tcBorders>
            <w:shd w:val="clear" w:color="auto" w:fill="auto"/>
            <w:noWrap/>
            <w:vAlign w:val="bottom"/>
            <w:hideMark/>
          </w:tcPr>
          <w:p w14:paraId="79C23FA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114.6</w:t>
            </w:r>
          </w:p>
        </w:tc>
        <w:tc>
          <w:tcPr>
            <w:tcW w:w="526" w:type="pct"/>
            <w:tcBorders>
              <w:top w:val="nil"/>
              <w:left w:val="nil"/>
              <w:bottom w:val="single" w:sz="4" w:space="0" w:color="auto"/>
              <w:right w:val="single" w:sz="4" w:space="0" w:color="auto"/>
            </w:tcBorders>
            <w:shd w:val="clear" w:color="auto" w:fill="auto"/>
            <w:noWrap/>
            <w:vAlign w:val="bottom"/>
            <w:hideMark/>
          </w:tcPr>
          <w:p w14:paraId="2C10D39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41.4</w:t>
            </w:r>
          </w:p>
        </w:tc>
        <w:tc>
          <w:tcPr>
            <w:tcW w:w="596" w:type="pct"/>
            <w:tcBorders>
              <w:top w:val="nil"/>
              <w:left w:val="nil"/>
              <w:bottom w:val="single" w:sz="4" w:space="0" w:color="auto"/>
              <w:right w:val="single" w:sz="4" w:space="0" w:color="auto"/>
            </w:tcBorders>
            <w:shd w:val="clear" w:color="auto" w:fill="auto"/>
            <w:noWrap/>
            <w:vAlign w:val="bottom"/>
            <w:hideMark/>
          </w:tcPr>
          <w:p w14:paraId="1C93283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112.5</w:t>
            </w:r>
          </w:p>
        </w:tc>
      </w:tr>
      <w:tr w:rsidR="00574BFB" w:rsidRPr="00574BFB" w14:paraId="1911588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908CC8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519ABA9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Mena</w:t>
            </w:r>
          </w:p>
        </w:tc>
        <w:tc>
          <w:tcPr>
            <w:tcW w:w="530" w:type="pct"/>
            <w:tcBorders>
              <w:top w:val="nil"/>
              <w:left w:val="nil"/>
              <w:bottom w:val="single" w:sz="4" w:space="0" w:color="auto"/>
              <w:right w:val="single" w:sz="4" w:space="0" w:color="auto"/>
            </w:tcBorders>
            <w:shd w:val="clear" w:color="auto" w:fill="auto"/>
            <w:noWrap/>
            <w:vAlign w:val="bottom"/>
            <w:hideMark/>
          </w:tcPr>
          <w:p w14:paraId="37F44BF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3213A6F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6F90FD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196.8</w:t>
            </w:r>
          </w:p>
        </w:tc>
        <w:tc>
          <w:tcPr>
            <w:tcW w:w="526" w:type="pct"/>
            <w:tcBorders>
              <w:top w:val="nil"/>
              <w:left w:val="nil"/>
              <w:bottom w:val="single" w:sz="4" w:space="0" w:color="auto"/>
              <w:right w:val="single" w:sz="4" w:space="0" w:color="auto"/>
            </w:tcBorders>
            <w:shd w:val="clear" w:color="auto" w:fill="auto"/>
            <w:noWrap/>
            <w:vAlign w:val="bottom"/>
            <w:hideMark/>
          </w:tcPr>
          <w:p w14:paraId="0BE1C19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110.1</w:t>
            </w:r>
          </w:p>
        </w:tc>
        <w:tc>
          <w:tcPr>
            <w:tcW w:w="526" w:type="pct"/>
            <w:tcBorders>
              <w:top w:val="nil"/>
              <w:left w:val="nil"/>
              <w:bottom w:val="single" w:sz="4" w:space="0" w:color="auto"/>
              <w:right w:val="single" w:sz="4" w:space="0" w:color="auto"/>
            </w:tcBorders>
            <w:shd w:val="clear" w:color="auto" w:fill="auto"/>
            <w:noWrap/>
            <w:vAlign w:val="bottom"/>
            <w:hideMark/>
          </w:tcPr>
          <w:p w14:paraId="6ECB80F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52.1</w:t>
            </w:r>
          </w:p>
        </w:tc>
        <w:tc>
          <w:tcPr>
            <w:tcW w:w="596" w:type="pct"/>
            <w:tcBorders>
              <w:top w:val="nil"/>
              <w:left w:val="nil"/>
              <w:bottom w:val="single" w:sz="4" w:space="0" w:color="auto"/>
              <w:right w:val="single" w:sz="4" w:space="0" w:color="auto"/>
            </w:tcBorders>
            <w:shd w:val="clear" w:color="auto" w:fill="auto"/>
            <w:noWrap/>
            <w:vAlign w:val="bottom"/>
            <w:hideMark/>
          </w:tcPr>
          <w:p w14:paraId="101F3A6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161.3</w:t>
            </w:r>
          </w:p>
        </w:tc>
      </w:tr>
      <w:tr w:rsidR="00574BFB" w:rsidRPr="00574BFB" w14:paraId="294B8208"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97D8F8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70F8042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Miquel</w:t>
            </w:r>
          </w:p>
        </w:tc>
        <w:tc>
          <w:tcPr>
            <w:tcW w:w="530" w:type="pct"/>
            <w:tcBorders>
              <w:top w:val="nil"/>
              <w:left w:val="nil"/>
              <w:bottom w:val="single" w:sz="4" w:space="0" w:color="auto"/>
              <w:right w:val="single" w:sz="4" w:space="0" w:color="auto"/>
            </w:tcBorders>
            <w:shd w:val="clear" w:color="auto" w:fill="auto"/>
            <w:noWrap/>
            <w:vAlign w:val="bottom"/>
            <w:hideMark/>
          </w:tcPr>
          <w:p w14:paraId="75C3813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1998</w:t>
            </w:r>
          </w:p>
        </w:tc>
        <w:tc>
          <w:tcPr>
            <w:tcW w:w="473" w:type="pct"/>
            <w:tcBorders>
              <w:top w:val="nil"/>
              <w:left w:val="nil"/>
              <w:bottom w:val="single" w:sz="4" w:space="0" w:color="auto"/>
              <w:right w:val="single" w:sz="4" w:space="0" w:color="auto"/>
            </w:tcBorders>
            <w:shd w:val="clear" w:color="auto" w:fill="auto"/>
            <w:noWrap/>
            <w:vAlign w:val="bottom"/>
            <w:hideMark/>
          </w:tcPr>
          <w:p w14:paraId="6841E8C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38C48F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184.35</w:t>
            </w:r>
          </w:p>
        </w:tc>
        <w:tc>
          <w:tcPr>
            <w:tcW w:w="526" w:type="pct"/>
            <w:tcBorders>
              <w:top w:val="nil"/>
              <w:left w:val="nil"/>
              <w:bottom w:val="single" w:sz="4" w:space="0" w:color="auto"/>
              <w:right w:val="single" w:sz="4" w:space="0" w:color="auto"/>
            </w:tcBorders>
            <w:shd w:val="clear" w:color="auto" w:fill="auto"/>
            <w:noWrap/>
            <w:vAlign w:val="bottom"/>
            <w:hideMark/>
          </w:tcPr>
          <w:p w14:paraId="77D77BA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0AE91C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44.92</w:t>
            </w:r>
          </w:p>
        </w:tc>
        <w:tc>
          <w:tcPr>
            <w:tcW w:w="596" w:type="pct"/>
            <w:tcBorders>
              <w:top w:val="nil"/>
              <w:left w:val="nil"/>
              <w:bottom w:val="single" w:sz="4" w:space="0" w:color="auto"/>
              <w:right w:val="single" w:sz="4" w:space="0" w:color="auto"/>
            </w:tcBorders>
            <w:shd w:val="clear" w:color="auto" w:fill="auto"/>
            <w:noWrap/>
            <w:vAlign w:val="bottom"/>
            <w:hideMark/>
          </w:tcPr>
          <w:p w14:paraId="641C35D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126.09</w:t>
            </w:r>
          </w:p>
        </w:tc>
      </w:tr>
      <w:tr w:rsidR="00574BFB" w:rsidRPr="00574BFB" w14:paraId="7B287FC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0C8347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2B917E9E"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Mujica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7B32E8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473" w:type="pct"/>
            <w:tcBorders>
              <w:top w:val="nil"/>
              <w:left w:val="nil"/>
              <w:bottom w:val="single" w:sz="4" w:space="0" w:color="auto"/>
              <w:right w:val="single" w:sz="4" w:space="0" w:color="auto"/>
            </w:tcBorders>
            <w:shd w:val="clear" w:color="auto" w:fill="auto"/>
            <w:noWrap/>
            <w:vAlign w:val="bottom"/>
            <w:hideMark/>
          </w:tcPr>
          <w:p w14:paraId="000C63D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65FA39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E13F2A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E5108F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51.9</w:t>
            </w:r>
          </w:p>
        </w:tc>
        <w:tc>
          <w:tcPr>
            <w:tcW w:w="596" w:type="pct"/>
            <w:tcBorders>
              <w:top w:val="nil"/>
              <w:left w:val="nil"/>
              <w:bottom w:val="single" w:sz="4" w:space="0" w:color="auto"/>
              <w:right w:val="single" w:sz="4" w:space="0" w:color="auto"/>
            </w:tcBorders>
            <w:shd w:val="clear" w:color="auto" w:fill="auto"/>
            <w:noWrap/>
            <w:vAlign w:val="bottom"/>
            <w:hideMark/>
          </w:tcPr>
          <w:p w14:paraId="35D3030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162.01</w:t>
            </w:r>
          </w:p>
        </w:tc>
      </w:tr>
      <w:tr w:rsidR="00574BFB" w:rsidRPr="00574BFB" w14:paraId="0C24CCA2"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BBA093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lastRenderedPageBreak/>
              <w:t>Chile</w:t>
            </w:r>
          </w:p>
        </w:tc>
        <w:tc>
          <w:tcPr>
            <w:tcW w:w="1108" w:type="pct"/>
            <w:tcBorders>
              <w:top w:val="nil"/>
              <w:left w:val="nil"/>
              <w:bottom w:val="single" w:sz="4" w:space="0" w:color="auto"/>
              <w:right w:val="single" w:sz="4" w:space="0" w:color="auto"/>
            </w:tcBorders>
            <w:shd w:val="clear" w:color="auto" w:fill="auto"/>
            <w:noWrap/>
            <w:vAlign w:val="bottom"/>
            <w:hideMark/>
          </w:tcPr>
          <w:p w14:paraId="0B0192B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Valenzuela</w:t>
            </w:r>
          </w:p>
        </w:tc>
        <w:tc>
          <w:tcPr>
            <w:tcW w:w="530" w:type="pct"/>
            <w:tcBorders>
              <w:top w:val="nil"/>
              <w:left w:val="nil"/>
              <w:bottom w:val="single" w:sz="4" w:space="0" w:color="auto"/>
              <w:right w:val="single" w:sz="4" w:space="0" w:color="auto"/>
            </w:tcBorders>
            <w:shd w:val="clear" w:color="auto" w:fill="auto"/>
            <w:noWrap/>
            <w:vAlign w:val="bottom"/>
            <w:hideMark/>
          </w:tcPr>
          <w:p w14:paraId="56669F1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39F1438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2003</w:t>
            </w:r>
          </w:p>
        </w:tc>
        <w:tc>
          <w:tcPr>
            <w:tcW w:w="526" w:type="pct"/>
            <w:tcBorders>
              <w:top w:val="nil"/>
              <w:left w:val="nil"/>
              <w:bottom w:val="single" w:sz="4" w:space="0" w:color="auto"/>
              <w:right w:val="single" w:sz="4" w:space="0" w:color="auto"/>
            </w:tcBorders>
            <w:shd w:val="clear" w:color="auto" w:fill="auto"/>
            <w:noWrap/>
            <w:vAlign w:val="bottom"/>
            <w:hideMark/>
          </w:tcPr>
          <w:p w14:paraId="77B8E25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AD0225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DC1108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2A4177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377EB9C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ACB104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5B3B90A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Group I multicentre collaborative</w:t>
            </w:r>
          </w:p>
        </w:tc>
        <w:tc>
          <w:tcPr>
            <w:tcW w:w="530" w:type="pct"/>
            <w:tcBorders>
              <w:top w:val="nil"/>
              <w:left w:val="nil"/>
              <w:bottom w:val="single" w:sz="4" w:space="0" w:color="auto"/>
              <w:right w:val="single" w:sz="4" w:space="0" w:color="auto"/>
            </w:tcBorders>
            <w:shd w:val="clear" w:color="auto" w:fill="auto"/>
            <w:noWrap/>
            <w:vAlign w:val="bottom"/>
            <w:hideMark/>
          </w:tcPr>
          <w:p w14:paraId="172997C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1992</w:t>
            </w:r>
          </w:p>
        </w:tc>
        <w:tc>
          <w:tcPr>
            <w:tcW w:w="473" w:type="pct"/>
            <w:tcBorders>
              <w:top w:val="nil"/>
              <w:left w:val="nil"/>
              <w:bottom w:val="single" w:sz="4" w:space="0" w:color="auto"/>
              <w:right w:val="single" w:sz="4" w:space="0" w:color="auto"/>
            </w:tcBorders>
            <w:shd w:val="clear" w:color="auto" w:fill="auto"/>
            <w:noWrap/>
            <w:vAlign w:val="bottom"/>
            <w:hideMark/>
          </w:tcPr>
          <w:p w14:paraId="31AFCAB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1989</w:t>
            </w:r>
          </w:p>
        </w:tc>
        <w:tc>
          <w:tcPr>
            <w:tcW w:w="526" w:type="pct"/>
            <w:tcBorders>
              <w:top w:val="nil"/>
              <w:left w:val="nil"/>
              <w:bottom w:val="single" w:sz="4" w:space="0" w:color="auto"/>
              <w:right w:val="single" w:sz="4" w:space="0" w:color="auto"/>
            </w:tcBorders>
            <w:shd w:val="clear" w:color="auto" w:fill="auto"/>
            <w:noWrap/>
            <w:vAlign w:val="bottom"/>
            <w:hideMark/>
          </w:tcPr>
          <w:p w14:paraId="3FFF9A4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193.35</w:t>
            </w:r>
          </w:p>
        </w:tc>
        <w:tc>
          <w:tcPr>
            <w:tcW w:w="526" w:type="pct"/>
            <w:tcBorders>
              <w:top w:val="nil"/>
              <w:left w:val="nil"/>
              <w:bottom w:val="single" w:sz="4" w:space="0" w:color="auto"/>
              <w:right w:val="single" w:sz="4" w:space="0" w:color="auto"/>
            </w:tcBorders>
            <w:shd w:val="clear" w:color="auto" w:fill="auto"/>
            <w:noWrap/>
            <w:vAlign w:val="bottom"/>
            <w:hideMark/>
          </w:tcPr>
          <w:p w14:paraId="4BCE758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A80814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38.67</w:t>
            </w:r>
          </w:p>
        </w:tc>
        <w:tc>
          <w:tcPr>
            <w:tcW w:w="596" w:type="pct"/>
            <w:tcBorders>
              <w:top w:val="nil"/>
              <w:left w:val="nil"/>
              <w:bottom w:val="single" w:sz="4" w:space="0" w:color="auto"/>
              <w:right w:val="single" w:sz="4" w:space="0" w:color="auto"/>
            </w:tcBorders>
            <w:shd w:val="clear" w:color="auto" w:fill="auto"/>
            <w:noWrap/>
            <w:vAlign w:val="bottom"/>
            <w:hideMark/>
          </w:tcPr>
          <w:p w14:paraId="3EED7A6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4D36ADDF"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3AA161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7F1EEB9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Cuevas</w:t>
            </w:r>
          </w:p>
        </w:tc>
        <w:tc>
          <w:tcPr>
            <w:tcW w:w="530" w:type="pct"/>
            <w:tcBorders>
              <w:top w:val="nil"/>
              <w:left w:val="nil"/>
              <w:bottom w:val="single" w:sz="4" w:space="0" w:color="auto"/>
              <w:right w:val="single" w:sz="4" w:space="0" w:color="auto"/>
            </w:tcBorders>
            <w:shd w:val="clear" w:color="auto" w:fill="auto"/>
            <w:noWrap/>
            <w:vAlign w:val="bottom"/>
            <w:hideMark/>
          </w:tcPr>
          <w:p w14:paraId="6040DB4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473" w:type="pct"/>
            <w:tcBorders>
              <w:top w:val="nil"/>
              <w:left w:val="nil"/>
              <w:bottom w:val="single" w:sz="4" w:space="0" w:color="auto"/>
              <w:right w:val="single" w:sz="4" w:space="0" w:color="auto"/>
            </w:tcBorders>
            <w:shd w:val="clear" w:color="auto" w:fill="auto"/>
            <w:noWrap/>
            <w:vAlign w:val="bottom"/>
            <w:hideMark/>
          </w:tcPr>
          <w:p w14:paraId="3328B09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1997</w:t>
            </w:r>
          </w:p>
        </w:tc>
        <w:tc>
          <w:tcPr>
            <w:tcW w:w="526" w:type="pct"/>
            <w:tcBorders>
              <w:top w:val="nil"/>
              <w:left w:val="nil"/>
              <w:bottom w:val="single" w:sz="4" w:space="0" w:color="auto"/>
              <w:right w:val="single" w:sz="4" w:space="0" w:color="auto"/>
            </w:tcBorders>
            <w:shd w:val="clear" w:color="auto" w:fill="auto"/>
            <w:noWrap/>
            <w:vAlign w:val="bottom"/>
            <w:hideMark/>
          </w:tcPr>
          <w:p w14:paraId="3B0C935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C7D205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74E51C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32A3B3D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1351275"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5B9266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6B02B71F"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Pivatto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6238169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1CC6D80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526" w:type="pct"/>
            <w:tcBorders>
              <w:top w:val="nil"/>
              <w:left w:val="nil"/>
              <w:bottom w:val="single" w:sz="4" w:space="0" w:color="auto"/>
              <w:right w:val="single" w:sz="4" w:space="0" w:color="auto"/>
            </w:tcBorders>
            <w:shd w:val="clear" w:color="auto" w:fill="auto"/>
            <w:noWrap/>
            <w:vAlign w:val="bottom"/>
            <w:hideMark/>
          </w:tcPr>
          <w:p w14:paraId="135B2B9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BA4E50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FF3F45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CF1BEE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59B096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C12066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6A8D10A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Amigo</w:t>
            </w:r>
          </w:p>
        </w:tc>
        <w:tc>
          <w:tcPr>
            <w:tcW w:w="530" w:type="pct"/>
            <w:tcBorders>
              <w:top w:val="nil"/>
              <w:left w:val="nil"/>
              <w:bottom w:val="single" w:sz="4" w:space="0" w:color="auto"/>
              <w:right w:val="single" w:sz="4" w:space="0" w:color="auto"/>
            </w:tcBorders>
            <w:shd w:val="clear" w:color="auto" w:fill="auto"/>
            <w:noWrap/>
            <w:vAlign w:val="bottom"/>
            <w:hideMark/>
          </w:tcPr>
          <w:p w14:paraId="40C407E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3B709FE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2002</w:t>
            </w:r>
          </w:p>
        </w:tc>
        <w:tc>
          <w:tcPr>
            <w:tcW w:w="526" w:type="pct"/>
            <w:tcBorders>
              <w:top w:val="nil"/>
              <w:left w:val="nil"/>
              <w:bottom w:val="single" w:sz="4" w:space="0" w:color="auto"/>
              <w:right w:val="single" w:sz="4" w:space="0" w:color="auto"/>
            </w:tcBorders>
            <w:shd w:val="clear" w:color="auto" w:fill="auto"/>
            <w:noWrap/>
            <w:vAlign w:val="bottom"/>
            <w:hideMark/>
          </w:tcPr>
          <w:p w14:paraId="6AB26EF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176.72</w:t>
            </w:r>
          </w:p>
        </w:tc>
        <w:tc>
          <w:tcPr>
            <w:tcW w:w="526" w:type="pct"/>
            <w:tcBorders>
              <w:top w:val="nil"/>
              <w:left w:val="nil"/>
              <w:bottom w:val="single" w:sz="4" w:space="0" w:color="auto"/>
              <w:right w:val="single" w:sz="4" w:space="0" w:color="auto"/>
            </w:tcBorders>
            <w:shd w:val="clear" w:color="auto" w:fill="auto"/>
            <w:noWrap/>
            <w:vAlign w:val="bottom"/>
            <w:hideMark/>
          </w:tcPr>
          <w:p w14:paraId="5A5755E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113.69</w:t>
            </w:r>
          </w:p>
        </w:tc>
        <w:tc>
          <w:tcPr>
            <w:tcW w:w="526" w:type="pct"/>
            <w:tcBorders>
              <w:top w:val="nil"/>
              <w:left w:val="nil"/>
              <w:bottom w:val="single" w:sz="4" w:space="0" w:color="auto"/>
              <w:right w:val="single" w:sz="4" w:space="0" w:color="auto"/>
            </w:tcBorders>
            <w:shd w:val="clear" w:color="auto" w:fill="auto"/>
            <w:noWrap/>
            <w:vAlign w:val="bottom"/>
            <w:hideMark/>
          </w:tcPr>
          <w:p w14:paraId="6387D29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40.99</w:t>
            </w:r>
          </w:p>
        </w:tc>
        <w:tc>
          <w:tcPr>
            <w:tcW w:w="596" w:type="pct"/>
            <w:tcBorders>
              <w:top w:val="nil"/>
              <w:left w:val="nil"/>
              <w:bottom w:val="single" w:sz="4" w:space="0" w:color="auto"/>
              <w:right w:val="single" w:sz="4" w:space="0" w:color="auto"/>
            </w:tcBorders>
            <w:shd w:val="clear" w:color="auto" w:fill="auto"/>
            <w:noWrap/>
            <w:vAlign w:val="bottom"/>
            <w:hideMark/>
          </w:tcPr>
          <w:p w14:paraId="6CA6C9D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111.6</w:t>
            </w:r>
          </w:p>
        </w:tc>
      </w:tr>
      <w:tr w:rsidR="00574BFB" w:rsidRPr="00574BFB" w14:paraId="6AA2D110"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7C4F12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1964A0F1"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LabraÃ±a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447EF85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2017</w:t>
            </w:r>
          </w:p>
        </w:tc>
        <w:tc>
          <w:tcPr>
            <w:tcW w:w="473" w:type="pct"/>
            <w:tcBorders>
              <w:top w:val="nil"/>
              <w:left w:val="nil"/>
              <w:bottom w:val="single" w:sz="4" w:space="0" w:color="auto"/>
              <w:right w:val="single" w:sz="4" w:space="0" w:color="auto"/>
            </w:tcBorders>
            <w:shd w:val="clear" w:color="auto" w:fill="auto"/>
            <w:noWrap/>
            <w:vAlign w:val="bottom"/>
            <w:hideMark/>
          </w:tcPr>
          <w:p w14:paraId="560B1E8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039F7FA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8F11C9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4E3589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50C9D95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148D48C"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33B4E7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153D3A0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Acevedo</w:t>
            </w:r>
          </w:p>
        </w:tc>
        <w:tc>
          <w:tcPr>
            <w:tcW w:w="530" w:type="pct"/>
            <w:tcBorders>
              <w:top w:val="nil"/>
              <w:left w:val="nil"/>
              <w:bottom w:val="single" w:sz="4" w:space="0" w:color="auto"/>
              <w:right w:val="single" w:sz="4" w:space="0" w:color="auto"/>
            </w:tcBorders>
            <w:shd w:val="clear" w:color="auto" w:fill="auto"/>
            <w:noWrap/>
            <w:vAlign w:val="bottom"/>
            <w:hideMark/>
          </w:tcPr>
          <w:p w14:paraId="68E773A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473" w:type="pct"/>
            <w:tcBorders>
              <w:top w:val="nil"/>
              <w:left w:val="nil"/>
              <w:bottom w:val="single" w:sz="4" w:space="0" w:color="auto"/>
              <w:right w:val="single" w:sz="4" w:space="0" w:color="auto"/>
            </w:tcBorders>
            <w:shd w:val="clear" w:color="auto" w:fill="auto"/>
            <w:noWrap/>
            <w:vAlign w:val="bottom"/>
            <w:hideMark/>
          </w:tcPr>
          <w:p w14:paraId="124DF55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526" w:type="pct"/>
            <w:tcBorders>
              <w:top w:val="nil"/>
              <w:left w:val="nil"/>
              <w:bottom w:val="single" w:sz="4" w:space="0" w:color="auto"/>
              <w:right w:val="single" w:sz="4" w:space="0" w:color="auto"/>
            </w:tcBorders>
            <w:shd w:val="clear" w:color="auto" w:fill="auto"/>
            <w:noWrap/>
            <w:vAlign w:val="bottom"/>
            <w:hideMark/>
          </w:tcPr>
          <w:p w14:paraId="53C8D7C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526" w:type="pct"/>
            <w:tcBorders>
              <w:top w:val="nil"/>
              <w:left w:val="nil"/>
              <w:bottom w:val="single" w:sz="4" w:space="0" w:color="auto"/>
              <w:right w:val="single" w:sz="4" w:space="0" w:color="auto"/>
            </w:tcBorders>
            <w:shd w:val="clear" w:color="auto" w:fill="auto"/>
            <w:noWrap/>
            <w:vAlign w:val="bottom"/>
            <w:hideMark/>
          </w:tcPr>
          <w:p w14:paraId="5B09CAD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120.6</w:t>
            </w:r>
          </w:p>
        </w:tc>
        <w:tc>
          <w:tcPr>
            <w:tcW w:w="526" w:type="pct"/>
            <w:tcBorders>
              <w:top w:val="nil"/>
              <w:left w:val="nil"/>
              <w:bottom w:val="single" w:sz="4" w:space="0" w:color="auto"/>
              <w:right w:val="single" w:sz="4" w:space="0" w:color="auto"/>
            </w:tcBorders>
            <w:shd w:val="clear" w:color="auto" w:fill="auto"/>
            <w:noWrap/>
            <w:vAlign w:val="bottom"/>
            <w:hideMark/>
          </w:tcPr>
          <w:p w14:paraId="21B7C87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49.5</w:t>
            </w:r>
          </w:p>
        </w:tc>
        <w:tc>
          <w:tcPr>
            <w:tcW w:w="596" w:type="pct"/>
            <w:tcBorders>
              <w:top w:val="nil"/>
              <w:left w:val="nil"/>
              <w:bottom w:val="single" w:sz="4" w:space="0" w:color="auto"/>
              <w:right w:val="single" w:sz="4" w:space="0" w:color="auto"/>
            </w:tcBorders>
            <w:shd w:val="clear" w:color="auto" w:fill="auto"/>
            <w:noWrap/>
            <w:vAlign w:val="bottom"/>
            <w:hideMark/>
          </w:tcPr>
          <w:p w14:paraId="22924AB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156.4</w:t>
            </w:r>
          </w:p>
        </w:tc>
      </w:tr>
      <w:tr w:rsidR="00574BFB" w:rsidRPr="00574BFB" w14:paraId="3FE6B935"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20EF40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52B54D7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Acevedo</w:t>
            </w:r>
          </w:p>
        </w:tc>
        <w:tc>
          <w:tcPr>
            <w:tcW w:w="530" w:type="pct"/>
            <w:tcBorders>
              <w:top w:val="nil"/>
              <w:left w:val="nil"/>
              <w:bottom w:val="single" w:sz="4" w:space="0" w:color="auto"/>
              <w:right w:val="single" w:sz="4" w:space="0" w:color="auto"/>
            </w:tcBorders>
            <w:shd w:val="clear" w:color="auto" w:fill="auto"/>
            <w:noWrap/>
            <w:vAlign w:val="bottom"/>
            <w:hideMark/>
          </w:tcPr>
          <w:p w14:paraId="106AD28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473" w:type="pct"/>
            <w:tcBorders>
              <w:top w:val="nil"/>
              <w:left w:val="nil"/>
              <w:bottom w:val="single" w:sz="4" w:space="0" w:color="auto"/>
              <w:right w:val="single" w:sz="4" w:space="0" w:color="auto"/>
            </w:tcBorders>
            <w:shd w:val="clear" w:color="auto" w:fill="auto"/>
            <w:noWrap/>
            <w:vAlign w:val="bottom"/>
            <w:hideMark/>
          </w:tcPr>
          <w:p w14:paraId="6D1AA91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32D64F8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202</w:t>
            </w:r>
          </w:p>
        </w:tc>
        <w:tc>
          <w:tcPr>
            <w:tcW w:w="526" w:type="pct"/>
            <w:tcBorders>
              <w:top w:val="nil"/>
              <w:left w:val="nil"/>
              <w:bottom w:val="single" w:sz="4" w:space="0" w:color="auto"/>
              <w:right w:val="single" w:sz="4" w:space="0" w:color="auto"/>
            </w:tcBorders>
            <w:shd w:val="clear" w:color="auto" w:fill="auto"/>
            <w:noWrap/>
            <w:vAlign w:val="bottom"/>
            <w:hideMark/>
          </w:tcPr>
          <w:p w14:paraId="62B56B9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121</w:t>
            </w:r>
          </w:p>
        </w:tc>
        <w:tc>
          <w:tcPr>
            <w:tcW w:w="526" w:type="pct"/>
            <w:tcBorders>
              <w:top w:val="nil"/>
              <w:left w:val="nil"/>
              <w:bottom w:val="single" w:sz="4" w:space="0" w:color="auto"/>
              <w:right w:val="single" w:sz="4" w:space="0" w:color="auto"/>
            </w:tcBorders>
            <w:shd w:val="clear" w:color="auto" w:fill="auto"/>
            <w:noWrap/>
            <w:vAlign w:val="bottom"/>
            <w:hideMark/>
          </w:tcPr>
          <w:p w14:paraId="64EC9A1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50</w:t>
            </w:r>
          </w:p>
        </w:tc>
        <w:tc>
          <w:tcPr>
            <w:tcW w:w="596" w:type="pct"/>
            <w:tcBorders>
              <w:top w:val="nil"/>
              <w:left w:val="nil"/>
              <w:bottom w:val="single" w:sz="4" w:space="0" w:color="auto"/>
              <w:right w:val="single" w:sz="4" w:space="0" w:color="auto"/>
            </w:tcBorders>
            <w:shd w:val="clear" w:color="auto" w:fill="auto"/>
            <w:noWrap/>
            <w:vAlign w:val="bottom"/>
            <w:hideMark/>
          </w:tcPr>
          <w:p w14:paraId="63E0BE0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157</w:t>
            </w:r>
          </w:p>
        </w:tc>
      </w:tr>
      <w:tr w:rsidR="00574BFB" w:rsidRPr="00574BFB" w14:paraId="08182212"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15BF59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Chile</w:t>
            </w:r>
          </w:p>
        </w:tc>
        <w:tc>
          <w:tcPr>
            <w:tcW w:w="1108" w:type="pct"/>
            <w:tcBorders>
              <w:top w:val="nil"/>
              <w:left w:val="nil"/>
              <w:bottom w:val="single" w:sz="4" w:space="0" w:color="auto"/>
              <w:right w:val="single" w:sz="4" w:space="0" w:color="auto"/>
            </w:tcBorders>
            <w:shd w:val="clear" w:color="auto" w:fill="auto"/>
            <w:noWrap/>
            <w:vAlign w:val="bottom"/>
            <w:hideMark/>
          </w:tcPr>
          <w:p w14:paraId="0FE9FC8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Berrios</w:t>
            </w:r>
          </w:p>
        </w:tc>
        <w:tc>
          <w:tcPr>
            <w:tcW w:w="530" w:type="pct"/>
            <w:tcBorders>
              <w:top w:val="nil"/>
              <w:left w:val="nil"/>
              <w:bottom w:val="single" w:sz="4" w:space="0" w:color="auto"/>
              <w:right w:val="single" w:sz="4" w:space="0" w:color="auto"/>
            </w:tcBorders>
            <w:shd w:val="clear" w:color="auto" w:fill="auto"/>
            <w:noWrap/>
            <w:vAlign w:val="bottom"/>
            <w:hideMark/>
          </w:tcPr>
          <w:p w14:paraId="1E886F0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1997</w:t>
            </w:r>
          </w:p>
        </w:tc>
        <w:tc>
          <w:tcPr>
            <w:tcW w:w="473" w:type="pct"/>
            <w:tcBorders>
              <w:top w:val="nil"/>
              <w:left w:val="nil"/>
              <w:bottom w:val="single" w:sz="4" w:space="0" w:color="auto"/>
              <w:right w:val="single" w:sz="4" w:space="0" w:color="auto"/>
            </w:tcBorders>
            <w:shd w:val="clear" w:color="auto" w:fill="auto"/>
            <w:noWrap/>
            <w:vAlign w:val="bottom"/>
            <w:hideMark/>
          </w:tcPr>
          <w:p w14:paraId="73181FA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1988</w:t>
            </w:r>
          </w:p>
        </w:tc>
        <w:tc>
          <w:tcPr>
            <w:tcW w:w="526" w:type="pct"/>
            <w:tcBorders>
              <w:top w:val="nil"/>
              <w:left w:val="nil"/>
              <w:bottom w:val="single" w:sz="4" w:space="0" w:color="auto"/>
              <w:right w:val="single" w:sz="4" w:space="0" w:color="auto"/>
            </w:tcBorders>
            <w:shd w:val="clear" w:color="auto" w:fill="auto"/>
            <w:noWrap/>
            <w:vAlign w:val="bottom"/>
            <w:hideMark/>
          </w:tcPr>
          <w:p w14:paraId="7F8442A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195.84</w:t>
            </w:r>
          </w:p>
        </w:tc>
        <w:tc>
          <w:tcPr>
            <w:tcW w:w="526" w:type="pct"/>
            <w:tcBorders>
              <w:top w:val="nil"/>
              <w:left w:val="nil"/>
              <w:bottom w:val="single" w:sz="4" w:space="0" w:color="auto"/>
              <w:right w:val="single" w:sz="4" w:space="0" w:color="auto"/>
            </w:tcBorders>
            <w:shd w:val="clear" w:color="auto" w:fill="auto"/>
            <w:noWrap/>
            <w:vAlign w:val="bottom"/>
            <w:hideMark/>
          </w:tcPr>
          <w:p w14:paraId="0FFD146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B0454E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03A4FE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DE8A40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0DFB53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Colombia</w:t>
            </w:r>
          </w:p>
        </w:tc>
        <w:tc>
          <w:tcPr>
            <w:tcW w:w="1108" w:type="pct"/>
            <w:tcBorders>
              <w:top w:val="nil"/>
              <w:left w:val="nil"/>
              <w:bottom w:val="single" w:sz="4" w:space="0" w:color="auto"/>
              <w:right w:val="single" w:sz="4" w:space="0" w:color="auto"/>
            </w:tcBorders>
            <w:shd w:val="clear" w:color="auto" w:fill="auto"/>
            <w:noWrap/>
            <w:vAlign w:val="bottom"/>
            <w:hideMark/>
          </w:tcPr>
          <w:p w14:paraId="41383DC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Roldan-</w:t>
            </w:r>
            <w:proofErr w:type="spellStart"/>
            <w:r w:rsidRPr="00574BFB">
              <w:rPr>
                <w:rFonts w:ascii="Arial" w:eastAsia="Times New Roman" w:hAnsi="Arial" w:cs="Arial"/>
                <w:color w:val="000000"/>
                <w:sz w:val="16"/>
                <w:szCs w:val="16"/>
                <w:lang w:eastAsia="en-GB"/>
              </w:rPr>
              <w:t>Menco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25A5B3C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2017</w:t>
            </w:r>
          </w:p>
        </w:tc>
        <w:tc>
          <w:tcPr>
            <w:tcW w:w="473" w:type="pct"/>
            <w:tcBorders>
              <w:top w:val="nil"/>
              <w:left w:val="nil"/>
              <w:bottom w:val="single" w:sz="4" w:space="0" w:color="auto"/>
              <w:right w:val="single" w:sz="4" w:space="0" w:color="auto"/>
            </w:tcBorders>
            <w:shd w:val="clear" w:color="auto" w:fill="auto"/>
            <w:noWrap/>
            <w:vAlign w:val="bottom"/>
            <w:hideMark/>
          </w:tcPr>
          <w:p w14:paraId="60EDFE7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54888D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202.66</w:t>
            </w:r>
          </w:p>
        </w:tc>
        <w:tc>
          <w:tcPr>
            <w:tcW w:w="526" w:type="pct"/>
            <w:tcBorders>
              <w:top w:val="nil"/>
              <w:left w:val="nil"/>
              <w:bottom w:val="single" w:sz="4" w:space="0" w:color="auto"/>
              <w:right w:val="single" w:sz="4" w:space="0" w:color="auto"/>
            </w:tcBorders>
            <w:shd w:val="clear" w:color="auto" w:fill="auto"/>
            <w:noWrap/>
            <w:vAlign w:val="bottom"/>
            <w:hideMark/>
          </w:tcPr>
          <w:p w14:paraId="6AB6062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115.87</w:t>
            </w:r>
          </w:p>
        </w:tc>
        <w:tc>
          <w:tcPr>
            <w:tcW w:w="526" w:type="pct"/>
            <w:tcBorders>
              <w:top w:val="nil"/>
              <w:left w:val="nil"/>
              <w:bottom w:val="single" w:sz="4" w:space="0" w:color="auto"/>
              <w:right w:val="single" w:sz="4" w:space="0" w:color="auto"/>
            </w:tcBorders>
            <w:shd w:val="clear" w:color="auto" w:fill="auto"/>
            <w:noWrap/>
            <w:vAlign w:val="bottom"/>
            <w:hideMark/>
          </w:tcPr>
          <w:p w14:paraId="6417F26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41.04</w:t>
            </w:r>
          </w:p>
        </w:tc>
        <w:tc>
          <w:tcPr>
            <w:tcW w:w="596" w:type="pct"/>
            <w:tcBorders>
              <w:top w:val="nil"/>
              <w:left w:val="nil"/>
              <w:bottom w:val="single" w:sz="4" w:space="0" w:color="auto"/>
              <w:right w:val="single" w:sz="4" w:space="0" w:color="auto"/>
            </w:tcBorders>
            <w:shd w:val="clear" w:color="auto" w:fill="auto"/>
            <w:noWrap/>
            <w:vAlign w:val="bottom"/>
            <w:hideMark/>
          </w:tcPr>
          <w:p w14:paraId="05BAE4D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194.45</w:t>
            </w:r>
          </w:p>
        </w:tc>
      </w:tr>
      <w:tr w:rsidR="00574BFB" w:rsidRPr="00574BFB" w14:paraId="6798599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0EA722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Colombia</w:t>
            </w:r>
          </w:p>
        </w:tc>
        <w:tc>
          <w:tcPr>
            <w:tcW w:w="1108" w:type="pct"/>
            <w:tcBorders>
              <w:top w:val="nil"/>
              <w:left w:val="nil"/>
              <w:bottom w:val="single" w:sz="4" w:space="0" w:color="auto"/>
              <w:right w:val="single" w:sz="4" w:space="0" w:color="auto"/>
            </w:tcBorders>
            <w:shd w:val="clear" w:color="auto" w:fill="auto"/>
            <w:noWrap/>
            <w:vAlign w:val="bottom"/>
            <w:hideMark/>
          </w:tcPr>
          <w:p w14:paraId="0D2AC7B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Pirkle</w:t>
            </w:r>
          </w:p>
        </w:tc>
        <w:tc>
          <w:tcPr>
            <w:tcW w:w="530" w:type="pct"/>
            <w:tcBorders>
              <w:top w:val="nil"/>
              <w:left w:val="nil"/>
              <w:bottom w:val="single" w:sz="4" w:space="0" w:color="auto"/>
              <w:right w:val="single" w:sz="4" w:space="0" w:color="auto"/>
            </w:tcBorders>
            <w:shd w:val="clear" w:color="auto" w:fill="auto"/>
            <w:noWrap/>
            <w:vAlign w:val="bottom"/>
            <w:hideMark/>
          </w:tcPr>
          <w:p w14:paraId="3D3DA1F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2018</w:t>
            </w:r>
          </w:p>
        </w:tc>
        <w:tc>
          <w:tcPr>
            <w:tcW w:w="473" w:type="pct"/>
            <w:tcBorders>
              <w:top w:val="nil"/>
              <w:left w:val="nil"/>
              <w:bottom w:val="single" w:sz="4" w:space="0" w:color="auto"/>
              <w:right w:val="single" w:sz="4" w:space="0" w:color="auto"/>
            </w:tcBorders>
            <w:shd w:val="clear" w:color="auto" w:fill="auto"/>
            <w:noWrap/>
            <w:vAlign w:val="bottom"/>
            <w:hideMark/>
          </w:tcPr>
          <w:p w14:paraId="007C11D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526" w:type="pct"/>
            <w:tcBorders>
              <w:top w:val="nil"/>
              <w:left w:val="nil"/>
              <w:bottom w:val="single" w:sz="4" w:space="0" w:color="auto"/>
              <w:right w:val="single" w:sz="4" w:space="0" w:color="auto"/>
            </w:tcBorders>
            <w:shd w:val="clear" w:color="auto" w:fill="auto"/>
            <w:noWrap/>
            <w:vAlign w:val="bottom"/>
            <w:hideMark/>
          </w:tcPr>
          <w:p w14:paraId="32C5686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A42341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8D46BE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48</w:t>
            </w:r>
          </w:p>
        </w:tc>
        <w:tc>
          <w:tcPr>
            <w:tcW w:w="596" w:type="pct"/>
            <w:tcBorders>
              <w:top w:val="nil"/>
              <w:left w:val="nil"/>
              <w:bottom w:val="single" w:sz="4" w:space="0" w:color="auto"/>
              <w:right w:val="single" w:sz="4" w:space="0" w:color="auto"/>
            </w:tcBorders>
            <w:shd w:val="clear" w:color="auto" w:fill="auto"/>
            <w:noWrap/>
            <w:vAlign w:val="bottom"/>
            <w:hideMark/>
          </w:tcPr>
          <w:p w14:paraId="483D029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149</w:t>
            </w:r>
          </w:p>
        </w:tc>
      </w:tr>
      <w:tr w:rsidR="00574BFB" w:rsidRPr="00574BFB" w14:paraId="13D9417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AB25C7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Colombia</w:t>
            </w:r>
          </w:p>
        </w:tc>
        <w:tc>
          <w:tcPr>
            <w:tcW w:w="1108" w:type="pct"/>
            <w:tcBorders>
              <w:top w:val="nil"/>
              <w:left w:val="nil"/>
              <w:bottom w:val="single" w:sz="4" w:space="0" w:color="auto"/>
              <w:right w:val="single" w:sz="4" w:space="0" w:color="auto"/>
            </w:tcBorders>
            <w:shd w:val="clear" w:color="auto" w:fill="auto"/>
            <w:noWrap/>
            <w:vAlign w:val="bottom"/>
            <w:hideMark/>
          </w:tcPr>
          <w:p w14:paraId="0792DE56"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Arbey</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2868423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42C0071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BDC435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202</w:t>
            </w:r>
          </w:p>
        </w:tc>
        <w:tc>
          <w:tcPr>
            <w:tcW w:w="526" w:type="pct"/>
            <w:tcBorders>
              <w:top w:val="nil"/>
              <w:left w:val="nil"/>
              <w:bottom w:val="single" w:sz="4" w:space="0" w:color="auto"/>
              <w:right w:val="single" w:sz="4" w:space="0" w:color="auto"/>
            </w:tcBorders>
            <w:shd w:val="clear" w:color="auto" w:fill="auto"/>
            <w:noWrap/>
            <w:vAlign w:val="bottom"/>
            <w:hideMark/>
          </w:tcPr>
          <w:p w14:paraId="2C1109F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119.5</w:t>
            </w:r>
          </w:p>
        </w:tc>
        <w:tc>
          <w:tcPr>
            <w:tcW w:w="526" w:type="pct"/>
            <w:tcBorders>
              <w:top w:val="nil"/>
              <w:left w:val="nil"/>
              <w:bottom w:val="single" w:sz="4" w:space="0" w:color="auto"/>
              <w:right w:val="single" w:sz="4" w:space="0" w:color="auto"/>
            </w:tcBorders>
            <w:shd w:val="clear" w:color="auto" w:fill="auto"/>
            <w:noWrap/>
            <w:vAlign w:val="bottom"/>
            <w:hideMark/>
          </w:tcPr>
          <w:p w14:paraId="24B952D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42.8</w:t>
            </w:r>
          </w:p>
        </w:tc>
        <w:tc>
          <w:tcPr>
            <w:tcW w:w="596" w:type="pct"/>
            <w:tcBorders>
              <w:top w:val="nil"/>
              <w:left w:val="nil"/>
              <w:bottom w:val="single" w:sz="4" w:space="0" w:color="auto"/>
              <w:right w:val="single" w:sz="4" w:space="0" w:color="auto"/>
            </w:tcBorders>
            <w:shd w:val="clear" w:color="auto" w:fill="auto"/>
            <w:noWrap/>
            <w:vAlign w:val="bottom"/>
            <w:hideMark/>
          </w:tcPr>
          <w:p w14:paraId="74AC5F8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210</w:t>
            </w:r>
          </w:p>
        </w:tc>
      </w:tr>
      <w:tr w:rsidR="00574BFB" w:rsidRPr="00574BFB" w14:paraId="3DC9A09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0B2400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Colombia</w:t>
            </w:r>
          </w:p>
        </w:tc>
        <w:tc>
          <w:tcPr>
            <w:tcW w:w="1108" w:type="pct"/>
            <w:tcBorders>
              <w:top w:val="nil"/>
              <w:left w:val="nil"/>
              <w:bottom w:val="single" w:sz="4" w:space="0" w:color="auto"/>
              <w:right w:val="single" w:sz="4" w:space="0" w:color="auto"/>
            </w:tcBorders>
            <w:shd w:val="clear" w:color="auto" w:fill="auto"/>
            <w:noWrap/>
            <w:vAlign w:val="bottom"/>
            <w:hideMark/>
          </w:tcPr>
          <w:p w14:paraId="214F7B21"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Patino-Villada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1335D0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2A83DC2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1FA1E0D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03B9C8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9F1491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88CD4B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4172646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B22F88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Colombia</w:t>
            </w:r>
          </w:p>
        </w:tc>
        <w:tc>
          <w:tcPr>
            <w:tcW w:w="1108" w:type="pct"/>
            <w:tcBorders>
              <w:top w:val="nil"/>
              <w:left w:val="nil"/>
              <w:bottom w:val="single" w:sz="4" w:space="0" w:color="auto"/>
              <w:right w:val="single" w:sz="4" w:space="0" w:color="auto"/>
            </w:tcBorders>
            <w:shd w:val="clear" w:color="auto" w:fill="auto"/>
            <w:noWrap/>
            <w:vAlign w:val="bottom"/>
            <w:hideMark/>
          </w:tcPr>
          <w:p w14:paraId="07A5BE5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Camacho</w:t>
            </w:r>
          </w:p>
        </w:tc>
        <w:tc>
          <w:tcPr>
            <w:tcW w:w="530" w:type="pct"/>
            <w:tcBorders>
              <w:top w:val="nil"/>
              <w:left w:val="nil"/>
              <w:bottom w:val="single" w:sz="4" w:space="0" w:color="auto"/>
              <w:right w:val="single" w:sz="4" w:space="0" w:color="auto"/>
            </w:tcBorders>
            <w:shd w:val="clear" w:color="auto" w:fill="auto"/>
            <w:noWrap/>
            <w:vAlign w:val="bottom"/>
            <w:hideMark/>
          </w:tcPr>
          <w:p w14:paraId="7C8310C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2018</w:t>
            </w:r>
          </w:p>
        </w:tc>
        <w:tc>
          <w:tcPr>
            <w:tcW w:w="473" w:type="pct"/>
            <w:tcBorders>
              <w:top w:val="nil"/>
              <w:left w:val="nil"/>
              <w:bottom w:val="single" w:sz="4" w:space="0" w:color="auto"/>
              <w:right w:val="single" w:sz="4" w:space="0" w:color="auto"/>
            </w:tcBorders>
            <w:shd w:val="clear" w:color="auto" w:fill="auto"/>
            <w:noWrap/>
            <w:vAlign w:val="bottom"/>
            <w:hideMark/>
          </w:tcPr>
          <w:p w14:paraId="4B26821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526" w:type="pct"/>
            <w:tcBorders>
              <w:top w:val="nil"/>
              <w:left w:val="nil"/>
              <w:bottom w:val="single" w:sz="4" w:space="0" w:color="auto"/>
              <w:right w:val="single" w:sz="4" w:space="0" w:color="auto"/>
            </w:tcBorders>
            <w:shd w:val="clear" w:color="auto" w:fill="auto"/>
            <w:noWrap/>
            <w:vAlign w:val="bottom"/>
            <w:hideMark/>
          </w:tcPr>
          <w:p w14:paraId="1F59C5B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526" w:type="pct"/>
            <w:tcBorders>
              <w:top w:val="nil"/>
              <w:left w:val="nil"/>
              <w:bottom w:val="single" w:sz="4" w:space="0" w:color="auto"/>
              <w:right w:val="single" w:sz="4" w:space="0" w:color="auto"/>
            </w:tcBorders>
            <w:shd w:val="clear" w:color="auto" w:fill="auto"/>
            <w:noWrap/>
            <w:vAlign w:val="bottom"/>
            <w:hideMark/>
          </w:tcPr>
          <w:p w14:paraId="5203902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118.9</w:t>
            </w:r>
          </w:p>
        </w:tc>
        <w:tc>
          <w:tcPr>
            <w:tcW w:w="526" w:type="pct"/>
            <w:tcBorders>
              <w:top w:val="nil"/>
              <w:left w:val="nil"/>
              <w:bottom w:val="single" w:sz="4" w:space="0" w:color="auto"/>
              <w:right w:val="single" w:sz="4" w:space="0" w:color="auto"/>
            </w:tcBorders>
            <w:shd w:val="clear" w:color="auto" w:fill="auto"/>
            <w:noWrap/>
            <w:vAlign w:val="bottom"/>
            <w:hideMark/>
          </w:tcPr>
          <w:p w14:paraId="6DBE976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41.9</w:t>
            </w:r>
          </w:p>
        </w:tc>
        <w:tc>
          <w:tcPr>
            <w:tcW w:w="596" w:type="pct"/>
            <w:tcBorders>
              <w:top w:val="nil"/>
              <w:left w:val="nil"/>
              <w:bottom w:val="single" w:sz="4" w:space="0" w:color="auto"/>
              <w:right w:val="single" w:sz="4" w:space="0" w:color="auto"/>
            </w:tcBorders>
            <w:shd w:val="clear" w:color="auto" w:fill="auto"/>
            <w:noWrap/>
            <w:vAlign w:val="bottom"/>
            <w:hideMark/>
          </w:tcPr>
          <w:p w14:paraId="43C3968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181.5</w:t>
            </w:r>
          </w:p>
        </w:tc>
      </w:tr>
      <w:tr w:rsidR="00574BFB" w:rsidRPr="00574BFB" w14:paraId="0B72501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C8389F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Colombia</w:t>
            </w:r>
          </w:p>
        </w:tc>
        <w:tc>
          <w:tcPr>
            <w:tcW w:w="1108" w:type="pct"/>
            <w:tcBorders>
              <w:top w:val="nil"/>
              <w:left w:val="nil"/>
              <w:bottom w:val="single" w:sz="4" w:space="0" w:color="auto"/>
              <w:right w:val="single" w:sz="4" w:space="0" w:color="auto"/>
            </w:tcBorders>
            <w:shd w:val="clear" w:color="auto" w:fill="auto"/>
            <w:noWrap/>
            <w:vAlign w:val="bottom"/>
            <w:hideMark/>
          </w:tcPr>
          <w:p w14:paraId="3D50461C"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Vinueza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4B9E6C4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17AD8E6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526" w:type="pct"/>
            <w:tcBorders>
              <w:top w:val="nil"/>
              <w:left w:val="nil"/>
              <w:bottom w:val="single" w:sz="4" w:space="0" w:color="auto"/>
              <w:right w:val="single" w:sz="4" w:space="0" w:color="auto"/>
            </w:tcBorders>
            <w:shd w:val="clear" w:color="auto" w:fill="auto"/>
            <w:noWrap/>
            <w:vAlign w:val="bottom"/>
            <w:hideMark/>
          </w:tcPr>
          <w:p w14:paraId="783DDE3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193.7</w:t>
            </w:r>
          </w:p>
        </w:tc>
        <w:tc>
          <w:tcPr>
            <w:tcW w:w="526" w:type="pct"/>
            <w:tcBorders>
              <w:top w:val="nil"/>
              <w:left w:val="nil"/>
              <w:bottom w:val="single" w:sz="4" w:space="0" w:color="auto"/>
              <w:right w:val="single" w:sz="4" w:space="0" w:color="auto"/>
            </w:tcBorders>
            <w:shd w:val="clear" w:color="auto" w:fill="auto"/>
            <w:noWrap/>
            <w:vAlign w:val="bottom"/>
            <w:hideMark/>
          </w:tcPr>
          <w:p w14:paraId="7883A08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120.4</w:t>
            </w:r>
          </w:p>
        </w:tc>
        <w:tc>
          <w:tcPr>
            <w:tcW w:w="526" w:type="pct"/>
            <w:tcBorders>
              <w:top w:val="nil"/>
              <w:left w:val="nil"/>
              <w:bottom w:val="single" w:sz="4" w:space="0" w:color="auto"/>
              <w:right w:val="single" w:sz="4" w:space="0" w:color="auto"/>
            </w:tcBorders>
            <w:shd w:val="clear" w:color="auto" w:fill="auto"/>
            <w:noWrap/>
            <w:vAlign w:val="bottom"/>
            <w:hideMark/>
          </w:tcPr>
          <w:p w14:paraId="6CB32BB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42.2</w:t>
            </w:r>
          </w:p>
        </w:tc>
        <w:tc>
          <w:tcPr>
            <w:tcW w:w="596" w:type="pct"/>
            <w:tcBorders>
              <w:top w:val="nil"/>
              <w:left w:val="nil"/>
              <w:bottom w:val="single" w:sz="4" w:space="0" w:color="auto"/>
              <w:right w:val="single" w:sz="4" w:space="0" w:color="auto"/>
            </w:tcBorders>
            <w:shd w:val="clear" w:color="auto" w:fill="auto"/>
            <w:noWrap/>
            <w:vAlign w:val="bottom"/>
            <w:hideMark/>
          </w:tcPr>
          <w:p w14:paraId="30A029D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164.7</w:t>
            </w:r>
          </w:p>
        </w:tc>
      </w:tr>
      <w:tr w:rsidR="00574BFB" w:rsidRPr="00574BFB" w14:paraId="41488078"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B7819B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Colombia</w:t>
            </w:r>
          </w:p>
        </w:tc>
        <w:tc>
          <w:tcPr>
            <w:tcW w:w="1108" w:type="pct"/>
            <w:tcBorders>
              <w:top w:val="nil"/>
              <w:left w:val="nil"/>
              <w:bottom w:val="single" w:sz="4" w:space="0" w:color="auto"/>
              <w:right w:val="single" w:sz="4" w:space="0" w:color="auto"/>
            </w:tcBorders>
            <w:shd w:val="clear" w:color="auto" w:fill="auto"/>
            <w:noWrap/>
            <w:vAlign w:val="bottom"/>
            <w:hideMark/>
          </w:tcPr>
          <w:p w14:paraId="097E54C6"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Palmett</w:t>
            </w:r>
            <w:proofErr w:type="spellEnd"/>
            <w:r w:rsidRPr="00574BFB">
              <w:rPr>
                <w:rFonts w:ascii="Arial" w:eastAsia="Times New Roman" w:hAnsi="Arial" w:cs="Arial"/>
                <w:color w:val="000000"/>
                <w:sz w:val="16"/>
                <w:szCs w:val="16"/>
                <w:lang w:eastAsia="en-GB"/>
              </w:rPr>
              <w:t>-Rios</w:t>
            </w:r>
          </w:p>
        </w:tc>
        <w:tc>
          <w:tcPr>
            <w:tcW w:w="530" w:type="pct"/>
            <w:tcBorders>
              <w:top w:val="nil"/>
              <w:left w:val="nil"/>
              <w:bottom w:val="single" w:sz="4" w:space="0" w:color="auto"/>
              <w:right w:val="single" w:sz="4" w:space="0" w:color="auto"/>
            </w:tcBorders>
            <w:shd w:val="clear" w:color="auto" w:fill="auto"/>
            <w:noWrap/>
            <w:vAlign w:val="bottom"/>
            <w:hideMark/>
          </w:tcPr>
          <w:p w14:paraId="4E86EF9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2017</w:t>
            </w:r>
          </w:p>
        </w:tc>
        <w:tc>
          <w:tcPr>
            <w:tcW w:w="473" w:type="pct"/>
            <w:tcBorders>
              <w:top w:val="nil"/>
              <w:left w:val="nil"/>
              <w:bottom w:val="single" w:sz="4" w:space="0" w:color="auto"/>
              <w:right w:val="single" w:sz="4" w:space="0" w:color="auto"/>
            </w:tcBorders>
            <w:shd w:val="clear" w:color="auto" w:fill="auto"/>
            <w:noWrap/>
            <w:vAlign w:val="bottom"/>
            <w:hideMark/>
          </w:tcPr>
          <w:p w14:paraId="29A3696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526" w:type="pct"/>
            <w:tcBorders>
              <w:top w:val="nil"/>
              <w:left w:val="nil"/>
              <w:bottom w:val="single" w:sz="4" w:space="0" w:color="auto"/>
              <w:right w:val="single" w:sz="4" w:space="0" w:color="auto"/>
            </w:tcBorders>
            <w:shd w:val="clear" w:color="auto" w:fill="auto"/>
            <w:noWrap/>
            <w:vAlign w:val="bottom"/>
            <w:hideMark/>
          </w:tcPr>
          <w:p w14:paraId="7D0E4DB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8C7FDA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B5BEFD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39.11</w:t>
            </w:r>
          </w:p>
        </w:tc>
        <w:tc>
          <w:tcPr>
            <w:tcW w:w="596" w:type="pct"/>
            <w:tcBorders>
              <w:top w:val="nil"/>
              <w:left w:val="nil"/>
              <w:bottom w:val="single" w:sz="4" w:space="0" w:color="auto"/>
              <w:right w:val="single" w:sz="4" w:space="0" w:color="auto"/>
            </w:tcBorders>
            <w:shd w:val="clear" w:color="auto" w:fill="auto"/>
            <w:noWrap/>
            <w:vAlign w:val="bottom"/>
            <w:hideMark/>
          </w:tcPr>
          <w:p w14:paraId="310C55E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4082F5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575579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Colombia</w:t>
            </w:r>
          </w:p>
        </w:tc>
        <w:tc>
          <w:tcPr>
            <w:tcW w:w="1108" w:type="pct"/>
            <w:tcBorders>
              <w:top w:val="nil"/>
              <w:left w:val="nil"/>
              <w:bottom w:val="single" w:sz="4" w:space="0" w:color="auto"/>
              <w:right w:val="single" w:sz="4" w:space="0" w:color="auto"/>
            </w:tcBorders>
            <w:shd w:val="clear" w:color="auto" w:fill="auto"/>
            <w:noWrap/>
            <w:vAlign w:val="bottom"/>
            <w:hideMark/>
          </w:tcPr>
          <w:p w14:paraId="51AEB13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Bautista</w:t>
            </w:r>
          </w:p>
        </w:tc>
        <w:tc>
          <w:tcPr>
            <w:tcW w:w="530" w:type="pct"/>
            <w:tcBorders>
              <w:top w:val="nil"/>
              <w:left w:val="nil"/>
              <w:bottom w:val="single" w:sz="4" w:space="0" w:color="auto"/>
              <w:right w:val="single" w:sz="4" w:space="0" w:color="auto"/>
            </w:tcBorders>
            <w:shd w:val="clear" w:color="auto" w:fill="auto"/>
            <w:noWrap/>
            <w:vAlign w:val="bottom"/>
            <w:hideMark/>
          </w:tcPr>
          <w:p w14:paraId="35D292D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473" w:type="pct"/>
            <w:tcBorders>
              <w:top w:val="nil"/>
              <w:left w:val="nil"/>
              <w:bottom w:val="single" w:sz="4" w:space="0" w:color="auto"/>
              <w:right w:val="single" w:sz="4" w:space="0" w:color="auto"/>
            </w:tcBorders>
            <w:shd w:val="clear" w:color="auto" w:fill="auto"/>
            <w:noWrap/>
            <w:vAlign w:val="bottom"/>
            <w:hideMark/>
          </w:tcPr>
          <w:p w14:paraId="6A58B4A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526" w:type="pct"/>
            <w:tcBorders>
              <w:top w:val="nil"/>
              <w:left w:val="nil"/>
              <w:bottom w:val="single" w:sz="4" w:space="0" w:color="auto"/>
              <w:right w:val="single" w:sz="4" w:space="0" w:color="auto"/>
            </w:tcBorders>
            <w:shd w:val="clear" w:color="auto" w:fill="auto"/>
            <w:noWrap/>
            <w:vAlign w:val="bottom"/>
            <w:hideMark/>
          </w:tcPr>
          <w:p w14:paraId="68171D0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200.31</w:t>
            </w:r>
          </w:p>
        </w:tc>
        <w:tc>
          <w:tcPr>
            <w:tcW w:w="526" w:type="pct"/>
            <w:tcBorders>
              <w:top w:val="nil"/>
              <w:left w:val="nil"/>
              <w:bottom w:val="single" w:sz="4" w:space="0" w:color="auto"/>
              <w:right w:val="single" w:sz="4" w:space="0" w:color="auto"/>
            </w:tcBorders>
            <w:shd w:val="clear" w:color="auto" w:fill="auto"/>
            <w:noWrap/>
            <w:vAlign w:val="bottom"/>
            <w:hideMark/>
          </w:tcPr>
          <w:p w14:paraId="59C1250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134.96</w:t>
            </w:r>
          </w:p>
        </w:tc>
        <w:tc>
          <w:tcPr>
            <w:tcW w:w="526" w:type="pct"/>
            <w:tcBorders>
              <w:top w:val="nil"/>
              <w:left w:val="nil"/>
              <w:bottom w:val="single" w:sz="4" w:space="0" w:color="auto"/>
              <w:right w:val="single" w:sz="4" w:space="0" w:color="auto"/>
            </w:tcBorders>
            <w:shd w:val="clear" w:color="auto" w:fill="auto"/>
            <w:noWrap/>
            <w:vAlign w:val="bottom"/>
            <w:hideMark/>
          </w:tcPr>
          <w:p w14:paraId="61B7549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39.83</w:t>
            </w:r>
          </w:p>
        </w:tc>
        <w:tc>
          <w:tcPr>
            <w:tcW w:w="596" w:type="pct"/>
            <w:tcBorders>
              <w:top w:val="nil"/>
              <w:left w:val="nil"/>
              <w:bottom w:val="single" w:sz="4" w:space="0" w:color="auto"/>
              <w:right w:val="single" w:sz="4" w:space="0" w:color="auto"/>
            </w:tcBorders>
            <w:shd w:val="clear" w:color="auto" w:fill="auto"/>
            <w:noWrap/>
            <w:vAlign w:val="bottom"/>
            <w:hideMark/>
          </w:tcPr>
          <w:p w14:paraId="5134074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3D0FDC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90E1DA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Colombia</w:t>
            </w:r>
          </w:p>
        </w:tc>
        <w:tc>
          <w:tcPr>
            <w:tcW w:w="1108" w:type="pct"/>
            <w:tcBorders>
              <w:top w:val="nil"/>
              <w:left w:val="nil"/>
              <w:bottom w:val="single" w:sz="4" w:space="0" w:color="auto"/>
              <w:right w:val="single" w:sz="4" w:space="0" w:color="auto"/>
            </w:tcBorders>
            <w:shd w:val="clear" w:color="auto" w:fill="auto"/>
            <w:noWrap/>
            <w:vAlign w:val="bottom"/>
            <w:hideMark/>
          </w:tcPr>
          <w:p w14:paraId="0D94C78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Gallo</w:t>
            </w:r>
          </w:p>
        </w:tc>
        <w:tc>
          <w:tcPr>
            <w:tcW w:w="530" w:type="pct"/>
            <w:tcBorders>
              <w:top w:val="nil"/>
              <w:left w:val="nil"/>
              <w:bottom w:val="single" w:sz="4" w:space="0" w:color="auto"/>
              <w:right w:val="single" w:sz="4" w:space="0" w:color="auto"/>
            </w:tcBorders>
            <w:shd w:val="clear" w:color="auto" w:fill="auto"/>
            <w:noWrap/>
            <w:vAlign w:val="bottom"/>
            <w:hideMark/>
          </w:tcPr>
          <w:p w14:paraId="1FB7EF9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6E6F7AB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526" w:type="pct"/>
            <w:tcBorders>
              <w:top w:val="nil"/>
              <w:left w:val="nil"/>
              <w:bottom w:val="single" w:sz="4" w:space="0" w:color="auto"/>
              <w:right w:val="single" w:sz="4" w:space="0" w:color="auto"/>
            </w:tcBorders>
            <w:shd w:val="clear" w:color="auto" w:fill="auto"/>
            <w:noWrap/>
            <w:vAlign w:val="bottom"/>
            <w:hideMark/>
          </w:tcPr>
          <w:p w14:paraId="45C4099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222.18</w:t>
            </w:r>
          </w:p>
        </w:tc>
        <w:tc>
          <w:tcPr>
            <w:tcW w:w="526" w:type="pct"/>
            <w:tcBorders>
              <w:top w:val="nil"/>
              <w:left w:val="nil"/>
              <w:bottom w:val="single" w:sz="4" w:space="0" w:color="auto"/>
              <w:right w:val="single" w:sz="4" w:space="0" w:color="auto"/>
            </w:tcBorders>
            <w:shd w:val="clear" w:color="auto" w:fill="auto"/>
            <w:noWrap/>
            <w:vAlign w:val="bottom"/>
            <w:hideMark/>
          </w:tcPr>
          <w:p w14:paraId="0CB1900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149.4</w:t>
            </w:r>
          </w:p>
        </w:tc>
        <w:tc>
          <w:tcPr>
            <w:tcW w:w="526" w:type="pct"/>
            <w:tcBorders>
              <w:top w:val="nil"/>
              <w:left w:val="nil"/>
              <w:bottom w:val="single" w:sz="4" w:space="0" w:color="auto"/>
              <w:right w:val="single" w:sz="4" w:space="0" w:color="auto"/>
            </w:tcBorders>
            <w:shd w:val="clear" w:color="auto" w:fill="auto"/>
            <w:noWrap/>
            <w:vAlign w:val="bottom"/>
            <w:hideMark/>
          </w:tcPr>
          <w:p w14:paraId="12EDF9D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39.78</w:t>
            </w:r>
          </w:p>
        </w:tc>
        <w:tc>
          <w:tcPr>
            <w:tcW w:w="596" w:type="pct"/>
            <w:tcBorders>
              <w:top w:val="nil"/>
              <w:left w:val="nil"/>
              <w:bottom w:val="single" w:sz="4" w:space="0" w:color="auto"/>
              <w:right w:val="single" w:sz="4" w:space="0" w:color="auto"/>
            </w:tcBorders>
            <w:shd w:val="clear" w:color="auto" w:fill="auto"/>
            <w:noWrap/>
            <w:vAlign w:val="bottom"/>
            <w:hideMark/>
          </w:tcPr>
          <w:p w14:paraId="4E9561A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163.3</w:t>
            </w:r>
          </w:p>
        </w:tc>
      </w:tr>
      <w:tr w:rsidR="00574BFB" w:rsidRPr="00574BFB" w14:paraId="4119880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3A432D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Colombia</w:t>
            </w:r>
          </w:p>
        </w:tc>
        <w:tc>
          <w:tcPr>
            <w:tcW w:w="1108" w:type="pct"/>
            <w:tcBorders>
              <w:top w:val="nil"/>
              <w:left w:val="nil"/>
              <w:bottom w:val="single" w:sz="4" w:space="0" w:color="auto"/>
              <w:right w:val="single" w:sz="4" w:space="0" w:color="auto"/>
            </w:tcBorders>
            <w:shd w:val="clear" w:color="auto" w:fill="auto"/>
            <w:noWrap/>
            <w:vAlign w:val="bottom"/>
            <w:hideMark/>
          </w:tcPr>
          <w:p w14:paraId="1D3EB4B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AlayÃ³n</w:t>
            </w:r>
          </w:p>
        </w:tc>
        <w:tc>
          <w:tcPr>
            <w:tcW w:w="530" w:type="pct"/>
            <w:tcBorders>
              <w:top w:val="nil"/>
              <w:left w:val="nil"/>
              <w:bottom w:val="single" w:sz="4" w:space="0" w:color="auto"/>
              <w:right w:val="single" w:sz="4" w:space="0" w:color="auto"/>
            </w:tcBorders>
            <w:shd w:val="clear" w:color="auto" w:fill="auto"/>
            <w:noWrap/>
            <w:vAlign w:val="bottom"/>
            <w:hideMark/>
          </w:tcPr>
          <w:p w14:paraId="09A70E0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68D1AB3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526" w:type="pct"/>
            <w:tcBorders>
              <w:top w:val="nil"/>
              <w:left w:val="nil"/>
              <w:bottom w:val="single" w:sz="4" w:space="0" w:color="auto"/>
              <w:right w:val="single" w:sz="4" w:space="0" w:color="auto"/>
            </w:tcBorders>
            <w:shd w:val="clear" w:color="auto" w:fill="auto"/>
            <w:noWrap/>
            <w:vAlign w:val="bottom"/>
            <w:hideMark/>
          </w:tcPr>
          <w:p w14:paraId="4EA2F95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D44183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8626DE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31FAC1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41450E2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B85668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Costa Rica</w:t>
            </w:r>
          </w:p>
        </w:tc>
        <w:tc>
          <w:tcPr>
            <w:tcW w:w="1108" w:type="pct"/>
            <w:tcBorders>
              <w:top w:val="nil"/>
              <w:left w:val="nil"/>
              <w:bottom w:val="single" w:sz="4" w:space="0" w:color="auto"/>
              <w:right w:val="single" w:sz="4" w:space="0" w:color="auto"/>
            </w:tcBorders>
            <w:shd w:val="clear" w:color="auto" w:fill="auto"/>
            <w:noWrap/>
            <w:vAlign w:val="bottom"/>
            <w:hideMark/>
          </w:tcPr>
          <w:p w14:paraId="17BB93B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Campos</w:t>
            </w:r>
          </w:p>
        </w:tc>
        <w:tc>
          <w:tcPr>
            <w:tcW w:w="530" w:type="pct"/>
            <w:tcBorders>
              <w:top w:val="nil"/>
              <w:left w:val="nil"/>
              <w:bottom w:val="single" w:sz="4" w:space="0" w:color="auto"/>
              <w:right w:val="single" w:sz="4" w:space="0" w:color="auto"/>
            </w:tcBorders>
            <w:shd w:val="clear" w:color="auto" w:fill="auto"/>
            <w:noWrap/>
            <w:vAlign w:val="bottom"/>
            <w:hideMark/>
          </w:tcPr>
          <w:p w14:paraId="121F070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1991</w:t>
            </w:r>
          </w:p>
        </w:tc>
        <w:tc>
          <w:tcPr>
            <w:tcW w:w="473" w:type="pct"/>
            <w:tcBorders>
              <w:top w:val="nil"/>
              <w:left w:val="nil"/>
              <w:bottom w:val="single" w:sz="4" w:space="0" w:color="auto"/>
              <w:right w:val="single" w:sz="4" w:space="0" w:color="auto"/>
            </w:tcBorders>
            <w:shd w:val="clear" w:color="auto" w:fill="auto"/>
            <w:noWrap/>
            <w:vAlign w:val="bottom"/>
            <w:hideMark/>
          </w:tcPr>
          <w:p w14:paraId="4B5CB9A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1988</w:t>
            </w:r>
          </w:p>
        </w:tc>
        <w:tc>
          <w:tcPr>
            <w:tcW w:w="526" w:type="pct"/>
            <w:tcBorders>
              <w:top w:val="nil"/>
              <w:left w:val="nil"/>
              <w:bottom w:val="single" w:sz="4" w:space="0" w:color="auto"/>
              <w:right w:val="single" w:sz="4" w:space="0" w:color="auto"/>
            </w:tcBorders>
            <w:shd w:val="clear" w:color="auto" w:fill="auto"/>
            <w:noWrap/>
            <w:vAlign w:val="bottom"/>
            <w:hideMark/>
          </w:tcPr>
          <w:p w14:paraId="3F4B4B6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697B0E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46AD15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50ED78E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3273E86C"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13C401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Costa Rica</w:t>
            </w:r>
          </w:p>
        </w:tc>
        <w:tc>
          <w:tcPr>
            <w:tcW w:w="1108" w:type="pct"/>
            <w:tcBorders>
              <w:top w:val="nil"/>
              <w:left w:val="nil"/>
              <w:bottom w:val="single" w:sz="4" w:space="0" w:color="auto"/>
              <w:right w:val="single" w:sz="4" w:space="0" w:color="auto"/>
            </w:tcBorders>
            <w:shd w:val="clear" w:color="auto" w:fill="auto"/>
            <w:noWrap/>
            <w:vAlign w:val="bottom"/>
            <w:hideMark/>
          </w:tcPr>
          <w:p w14:paraId="4F7370F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Wong-McClure</w:t>
            </w:r>
          </w:p>
        </w:tc>
        <w:tc>
          <w:tcPr>
            <w:tcW w:w="530" w:type="pct"/>
            <w:tcBorders>
              <w:top w:val="nil"/>
              <w:left w:val="nil"/>
              <w:bottom w:val="single" w:sz="4" w:space="0" w:color="auto"/>
              <w:right w:val="single" w:sz="4" w:space="0" w:color="auto"/>
            </w:tcBorders>
            <w:shd w:val="clear" w:color="auto" w:fill="auto"/>
            <w:noWrap/>
            <w:vAlign w:val="bottom"/>
            <w:hideMark/>
          </w:tcPr>
          <w:p w14:paraId="1AC2BAC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3B8463D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60F64EF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4407E9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944984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791E10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09FDC66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3A8475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Costa Rica</w:t>
            </w:r>
          </w:p>
        </w:tc>
        <w:tc>
          <w:tcPr>
            <w:tcW w:w="1108" w:type="pct"/>
            <w:tcBorders>
              <w:top w:val="nil"/>
              <w:left w:val="nil"/>
              <w:bottom w:val="single" w:sz="4" w:space="0" w:color="auto"/>
              <w:right w:val="single" w:sz="4" w:space="0" w:color="auto"/>
            </w:tcBorders>
            <w:shd w:val="clear" w:color="auto" w:fill="auto"/>
            <w:noWrap/>
            <w:vAlign w:val="bottom"/>
            <w:hideMark/>
          </w:tcPr>
          <w:p w14:paraId="09C5686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Holst</w:t>
            </w:r>
          </w:p>
        </w:tc>
        <w:tc>
          <w:tcPr>
            <w:tcW w:w="530" w:type="pct"/>
            <w:tcBorders>
              <w:top w:val="nil"/>
              <w:left w:val="nil"/>
              <w:bottom w:val="single" w:sz="4" w:space="0" w:color="auto"/>
              <w:right w:val="single" w:sz="4" w:space="0" w:color="auto"/>
            </w:tcBorders>
            <w:shd w:val="clear" w:color="auto" w:fill="auto"/>
            <w:noWrap/>
            <w:vAlign w:val="bottom"/>
            <w:hideMark/>
          </w:tcPr>
          <w:p w14:paraId="7542760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473" w:type="pct"/>
            <w:tcBorders>
              <w:top w:val="nil"/>
              <w:left w:val="nil"/>
              <w:bottom w:val="single" w:sz="4" w:space="0" w:color="auto"/>
              <w:right w:val="single" w:sz="4" w:space="0" w:color="auto"/>
            </w:tcBorders>
            <w:shd w:val="clear" w:color="auto" w:fill="auto"/>
            <w:noWrap/>
            <w:vAlign w:val="bottom"/>
            <w:hideMark/>
          </w:tcPr>
          <w:p w14:paraId="11B5EE9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526" w:type="pct"/>
            <w:tcBorders>
              <w:top w:val="nil"/>
              <w:left w:val="nil"/>
              <w:bottom w:val="single" w:sz="4" w:space="0" w:color="auto"/>
              <w:right w:val="single" w:sz="4" w:space="0" w:color="auto"/>
            </w:tcBorders>
            <w:shd w:val="clear" w:color="auto" w:fill="auto"/>
            <w:noWrap/>
            <w:vAlign w:val="bottom"/>
            <w:hideMark/>
          </w:tcPr>
          <w:p w14:paraId="0B8FC66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208.98</w:t>
            </w:r>
          </w:p>
        </w:tc>
        <w:tc>
          <w:tcPr>
            <w:tcW w:w="526" w:type="pct"/>
            <w:tcBorders>
              <w:top w:val="nil"/>
              <w:left w:val="nil"/>
              <w:bottom w:val="single" w:sz="4" w:space="0" w:color="auto"/>
              <w:right w:val="single" w:sz="4" w:space="0" w:color="auto"/>
            </w:tcBorders>
            <w:shd w:val="clear" w:color="auto" w:fill="auto"/>
            <w:noWrap/>
            <w:vAlign w:val="bottom"/>
            <w:hideMark/>
          </w:tcPr>
          <w:p w14:paraId="25BABD8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135.8</w:t>
            </w:r>
          </w:p>
        </w:tc>
        <w:tc>
          <w:tcPr>
            <w:tcW w:w="526" w:type="pct"/>
            <w:tcBorders>
              <w:top w:val="nil"/>
              <w:left w:val="nil"/>
              <w:bottom w:val="single" w:sz="4" w:space="0" w:color="auto"/>
              <w:right w:val="single" w:sz="4" w:space="0" w:color="auto"/>
            </w:tcBorders>
            <w:shd w:val="clear" w:color="auto" w:fill="auto"/>
            <w:noWrap/>
            <w:vAlign w:val="bottom"/>
            <w:hideMark/>
          </w:tcPr>
          <w:p w14:paraId="0804A2C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39.1</w:t>
            </w:r>
          </w:p>
        </w:tc>
        <w:tc>
          <w:tcPr>
            <w:tcW w:w="596" w:type="pct"/>
            <w:tcBorders>
              <w:top w:val="nil"/>
              <w:left w:val="nil"/>
              <w:bottom w:val="single" w:sz="4" w:space="0" w:color="auto"/>
              <w:right w:val="single" w:sz="4" w:space="0" w:color="auto"/>
            </w:tcBorders>
            <w:shd w:val="clear" w:color="auto" w:fill="auto"/>
            <w:noWrap/>
            <w:vAlign w:val="bottom"/>
            <w:hideMark/>
          </w:tcPr>
          <w:p w14:paraId="34E6815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173.7</w:t>
            </w:r>
          </w:p>
        </w:tc>
      </w:tr>
      <w:tr w:rsidR="00574BFB" w:rsidRPr="00574BFB" w14:paraId="58BF81F2"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7B0E2F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Costa Rica</w:t>
            </w:r>
          </w:p>
        </w:tc>
        <w:tc>
          <w:tcPr>
            <w:tcW w:w="1108" w:type="pct"/>
            <w:tcBorders>
              <w:top w:val="nil"/>
              <w:left w:val="nil"/>
              <w:bottom w:val="single" w:sz="4" w:space="0" w:color="auto"/>
              <w:right w:val="single" w:sz="4" w:space="0" w:color="auto"/>
            </w:tcBorders>
            <w:shd w:val="clear" w:color="auto" w:fill="auto"/>
            <w:noWrap/>
            <w:vAlign w:val="bottom"/>
            <w:hideMark/>
          </w:tcPr>
          <w:p w14:paraId="07FFE225"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Chanti-Ketterl</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7E9352B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2017</w:t>
            </w:r>
          </w:p>
        </w:tc>
        <w:tc>
          <w:tcPr>
            <w:tcW w:w="473" w:type="pct"/>
            <w:tcBorders>
              <w:top w:val="nil"/>
              <w:left w:val="nil"/>
              <w:bottom w:val="single" w:sz="4" w:space="0" w:color="auto"/>
              <w:right w:val="single" w:sz="4" w:space="0" w:color="auto"/>
            </w:tcBorders>
            <w:shd w:val="clear" w:color="auto" w:fill="auto"/>
            <w:noWrap/>
            <w:vAlign w:val="bottom"/>
            <w:hideMark/>
          </w:tcPr>
          <w:p w14:paraId="74D86BC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2DAB878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216.55</w:t>
            </w:r>
          </w:p>
        </w:tc>
        <w:tc>
          <w:tcPr>
            <w:tcW w:w="526" w:type="pct"/>
            <w:tcBorders>
              <w:top w:val="nil"/>
              <w:left w:val="nil"/>
              <w:bottom w:val="single" w:sz="4" w:space="0" w:color="auto"/>
              <w:right w:val="single" w:sz="4" w:space="0" w:color="auto"/>
            </w:tcBorders>
            <w:shd w:val="clear" w:color="auto" w:fill="auto"/>
            <w:noWrap/>
            <w:vAlign w:val="bottom"/>
            <w:hideMark/>
          </w:tcPr>
          <w:p w14:paraId="287B6F4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269E9B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5436E36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02331DD8"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5E9075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Costa Rica</w:t>
            </w:r>
          </w:p>
        </w:tc>
        <w:tc>
          <w:tcPr>
            <w:tcW w:w="1108" w:type="pct"/>
            <w:tcBorders>
              <w:top w:val="nil"/>
              <w:left w:val="nil"/>
              <w:bottom w:val="single" w:sz="4" w:space="0" w:color="auto"/>
              <w:right w:val="single" w:sz="4" w:space="0" w:color="auto"/>
            </w:tcBorders>
            <w:shd w:val="clear" w:color="auto" w:fill="auto"/>
            <w:noWrap/>
            <w:vAlign w:val="bottom"/>
            <w:hideMark/>
          </w:tcPr>
          <w:p w14:paraId="17CB7A1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Campos</w:t>
            </w:r>
          </w:p>
        </w:tc>
        <w:tc>
          <w:tcPr>
            <w:tcW w:w="530" w:type="pct"/>
            <w:tcBorders>
              <w:top w:val="nil"/>
              <w:left w:val="nil"/>
              <w:bottom w:val="single" w:sz="4" w:space="0" w:color="auto"/>
              <w:right w:val="single" w:sz="4" w:space="0" w:color="auto"/>
            </w:tcBorders>
            <w:shd w:val="clear" w:color="auto" w:fill="auto"/>
            <w:noWrap/>
            <w:vAlign w:val="bottom"/>
            <w:hideMark/>
          </w:tcPr>
          <w:p w14:paraId="7416690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1991</w:t>
            </w:r>
          </w:p>
        </w:tc>
        <w:tc>
          <w:tcPr>
            <w:tcW w:w="473" w:type="pct"/>
            <w:tcBorders>
              <w:top w:val="nil"/>
              <w:left w:val="nil"/>
              <w:bottom w:val="single" w:sz="4" w:space="0" w:color="auto"/>
              <w:right w:val="single" w:sz="4" w:space="0" w:color="auto"/>
            </w:tcBorders>
            <w:shd w:val="clear" w:color="auto" w:fill="auto"/>
            <w:noWrap/>
            <w:vAlign w:val="bottom"/>
            <w:hideMark/>
          </w:tcPr>
          <w:p w14:paraId="1AC88B7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1988</w:t>
            </w:r>
          </w:p>
        </w:tc>
        <w:tc>
          <w:tcPr>
            <w:tcW w:w="526" w:type="pct"/>
            <w:tcBorders>
              <w:top w:val="nil"/>
              <w:left w:val="nil"/>
              <w:bottom w:val="single" w:sz="4" w:space="0" w:color="auto"/>
              <w:right w:val="single" w:sz="4" w:space="0" w:color="auto"/>
            </w:tcBorders>
            <w:shd w:val="clear" w:color="auto" w:fill="auto"/>
            <w:noWrap/>
            <w:vAlign w:val="bottom"/>
            <w:hideMark/>
          </w:tcPr>
          <w:p w14:paraId="1A9A034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180.7</w:t>
            </w:r>
          </w:p>
        </w:tc>
        <w:tc>
          <w:tcPr>
            <w:tcW w:w="526" w:type="pct"/>
            <w:tcBorders>
              <w:top w:val="nil"/>
              <w:left w:val="nil"/>
              <w:bottom w:val="single" w:sz="4" w:space="0" w:color="auto"/>
              <w:right w:val="single" w:sz="4" w:space="0" w:color="auto"/>
            </w:tcBorders>
            <w:shd w:val="clear" w:color="auto" w:fill="auto"/>
            <w:noWrap/>
            <w:vAlign w:val="bottom"/>
            <w:hideMark/>
          </w:tcPr>
          <w:p w14:paraId="217BBDF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110.72</w:t>
            </w:r>
          </w:p>
        </w:tc>
        <w:tc>
          <w:tcPr>
            <w:tcW w:w="526" w:type="pct"/>
            <w:tcBorders>
              <w:top w:val="nil"/>
              <w:left w:val="nil"/>
              <w:bottom w:val="single" w:sz="4" w:space="0" w:color="auto"/>
              <w:right w:val="single" w:sz="4" w:space="0" w:color="auto"/>
            </w:tcBorders>
            <w:shd w:val="clear" w:color="auto" w:fill="auto"/>
            <w:noWrap/>
            <w:vAlign w:val="bottom"/>
            <w:hideMark/>
          </w:tcPr>
          <w:p w14:paraId="23336F0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42.83</w:t>
            </w:r>
          </w:p>
        </w:tc>
        <w:tc>
          <w:tcPr>
            <w:tcW w:w="596" w:type="pct"/>
            <w:tcBorders>
              <w:top w:val="nil"/>
              <w:left w:val="nil"/>
              <w:bottom w:val="single" w:sz="4" w:space="0" w:color="auto"/>
              <w:right w:val="single" w:sz="4" w:space="0" w:color="auto"/>
            </w:tcBorders>
            <w:shd w:val="clear" w:color="auto" w:fill="auto"/>
            <w:noWrap/>
            <w:vAlign w:val="bottom"/>
            <w:hideMark/>
          </w:tcPr>
          <w:p w14:paraId="0737C95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134.8</w:t>
            </w:r>
          </w:p>
        </w:tc>
      </w:tr>
      <w:tr w:rsidR="00574BFB" w:rsidRPr="00574BFB" w14:paraId="20232E40"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E0C8CC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Costa Rica</w:t>
            </w:r>
          </w:p>
        </w:tc>
        <w:tc>
          <w:tcPr>
            <w:tcW w:w="1108" w:type="pct"/>
            <w:tcBorders>
              <w:top w:val="nil"/>
              <w:left w:val="nil"/>
              <w:bottom w:val="single" w:sz="4" w:space="0" w:color="auto"/>
              <w:right w:val="single" w:sz="4" w:space="0" w:color="auto"/>
            </w:tcBorders>
            <w:shd w:val="clear" w:color="auto" w:fill="auto"/>
            <w:noWrap/>
            <w:vAlign w:val="bottom"/>
            <w:hideMark/>
          </w:tcPr>
          <w:p w14:paraId="4281C008"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Rehkopf</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6B0C88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2018</w:t>
            </w:r>
          </w:p>
        </w:tc>
        <w:tc>
          <w:tcPr>
            <w:tcW w:w="473" w:type="pct"/>
            <w:tcBorders>
              <w:top w:val="nil"/>
              <w:left w:val="nil"/>
              <w:bottom w:val="single" w:sz="4" w:space="0" w:color="auto"/>
              <w:right w:val="single" w:sz="4" w:space="0" w:color="auto"/>
            </w:tcBorders>
            <w:shd w:val="clear" w:color="auto" w:fill="auto"/>
            <w:noWrap/>
            <w:vAlign w:val="bottom"/>
            <w:hideMark/>
          </w:tcPr>
          <w:p w14:paraId="470A944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7BE827F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451E7F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53D32F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46</w:t>
            </w:r>
          </w:p>
        </w:tc>
        <w:tc>
          <w:tcPr>
            <w:tcW w:w="596" w:type="pct"/>
            <w:tcBorders>
              <w:top w:val="nil"/>
              <w:left w:val="nil"/>
              <w:bottom w:val="single" w:sz="4" w:space="0" w:color="auto"/>
              <w:right w:val="single" w:sz="4" w:space="0" w:color="auto"/>
            </w:tcBorders>
            <w:shd w:val="clear" w:color="auto" w:fill="auto"/>
            <w:noWrap/>
            <w:vAlign w:val="bottom"/>
            <w:hideMark/>
          </w:tcPr>
          <w:p w14:paraId="37D9231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170</w:t>
            </w:r>
          </w:p>
        </w:tc>
      </w:tr>
      <w:tr w:rsidR="00574BFB" w:rsidRPr="00574BFB" w14:paraId="2BCF909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0B2166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Costa Rica</w:t>
            </w:r>
          </w:p>
        </w:tc>
        <w:tc>
          <w:tcPr>
            <w:tcW w:w="1108" w:type="pct"/>
            <w:tcBorders>
              <w:top w:val="nil"/>
              <w:left w:val="nil"/>
              <w:bottom w:val="single" w:sz="4" w:space="0" w:color="auto"/>
              <w:right w:val="single" w:sz="4" w:space="0" w:color="auto"/>
            </w:tcBorders>
            <w:shd w:val="clear" w:color="auto" w:fill="auto"/>
            <w:noWrap/>
            <w:vAlign w:val="bottom"/>
            <w:hideMark/>
          </w:tcPr>
          <w:p w14:paraId="4B116BD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Jimenez</w:t>
            </w:r>
          </w:p>
        </w:tc>
        <w:tc>
          <w:tcPr>
            <w:tcW w:w="530" w:type="pct"/>
            <w:tcBorders>
              <w:top w:val="nil"/>
              <w:left w:val="nil"/>
              <w:bottom w:val="single" w:sz="4" w:space="0" w:color="auto"/>
              <w:right w:val="single" w:sz="4" w:space="0" w:color="auto"/>
            </w:tcBorders>
            <w:shd w:val="clear" w:color="auto" w:fill="auto"/>
            <w:noWrap/>
            <w:vAlign w:val="bottom"/>
            <w:hideMark/>
          </w:tcPr>
          <w:p w14:paraId="7663FB5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1987</w:t>
            </w:r>
          </w:p>
        </w:tc>
        <w:tc>
          <w:tcPr>
            <w:tcW w:w="473" w:type="pct"/>
            <w:tcBorders>
              <w:top w:val="nil"/>
              <w:left w:val="nil"/>
              <w:bottom w:val="single" w:sz="4" w:space="0" w:color="auto"/>
              <w:right w:val="single" w:sz="4" w:space="0" w:color="auto"/>
            </w:tcBorders>
            <w:shd w:val="clear" w:color="auto" w:fill="auto"/>
            <w:noWrap/>
            <w:vAlign w:val="bottom"/>
            <w:hideMark/>
          </w:tcPr>
          <w:p w14:paraId="74AD254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1982</w:t>
            </w:r>
          </w:p>
        </w:tc>
        <w:tc>
          <w:tcPr>
            <w:tcW w:w="526" w:type="pct"/>
            <w:tcBorders>
              <w:top w:val="nil"/>
              <w:left w:val="nil"/>
              <w:bottom w:val="single" w:sz="4" w:space="0" w:color="auto"/>
              <w:right w:val="single" w:sz="4" w:space="0" w:color="auto"/>
            </w:tcBorders>
            <w:shd w:val="clear" w:color="auto" w:fill="auto"/>
            <w:noWrap/>
            <w:vAlign w:val="bottom"/>
            <w:hideMark/>
          </w:tcPr>
          <w:p w14:paraId="317CAA8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203.77</w:t>
            </w:r>
          </w:p>
        </w:tc>
        <w:tc>
          <w:tcPr>
            <w:tcW w:w="526" w:type="pct"/>
            <w:tcBorders>
              <w:top w:val="nil"/>
              <w:left w:val="nil"/>
              <w:bottom w:val="single" w:sz="4" w:space="0" w:color="auto"/>
              <w:right w:val="single" w:sz="4" w:space="0" w:color="auto"/>
            </w:tcBorders>
            <w:shd w:val="clear" w:color="auto" w:fill="auto"/>
            <w:noWrap/>
            <w:vAlign w:val="bottom"/>
            <w:hideMark/>
          </w:tcPr>
          <w:p w14:paraId="16A7CA4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E06C9B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5759B3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128.31</w:t>
            </w:r>
          </w:p>
        </w:tc>
      </w:tr>
      <w:tr w:rsidR="00574BFB" w:rsidRPr="00574BFB" w14:paraId="22C185E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4EB29B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Costa Rica</w:t>
            </w:r>
          </w:p>
        </w:tc>
        <w:tc>
          <w:tcPr>
            <w:tcW w:w="1108" w:type="pct"/>
            <w:tcBorders>
              <w:top w:val="nil"/>
              <w:left w:val="nil"/>
              <w:bottom w:val="single" w:sz="4" w:space="0" w:color="auto"/>
              <w:right w:val="single" w:sz="4" w:space="0" w:color="auto"/>
            </w:tcBorders>
            <w:shd w:val="clear" w:color="auto" w:fill="auto"/>
            <w:noWrap/>
            <w:vAlign w:val="bottom"/>
            <w:hideMark/>
          </w:tcPr>
          <w:p w14:paraId="5CABBC5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xml:space="preserve">Goldman </w:t>
            </w:r>
          </w:p>
        </w:tc>
        <w:tc>
          <w:tcPr>
            <w:tcW w:w="530" w:type="pct"/>
            <w:tcBorders>
              <w:top w:val="nil"/>
              <w:left w:val="nil"/>
              <w:bottom w:val="single" w:sz="4" w:space="0" w:color="auto"/>
              <w:right w:val="single" w:sz="4" w:space="0" w:color="auto"/>
            </w:tcBorders>
            <w:shd w:val="clear" w:color="auto" w:fill="auto"/>
            <w:noWrap/>
            <w:vAlign w:val="bottom"/>
            <w:hideMark/>
          </w:tcPr>
          <w:p w14:paraId="436599F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2BD1823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1F7C27E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913B92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4B3377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6A643E9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857BCB3"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53A324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Costa Rica</w:t>
            </w:r>
          </w:p>
        </w:tc>
        <w:tc>
          <w:tcPr>
            <w:tcW w:w="1108" w:type="pct"/>
            <w:tcBorders>
              <w:top w:val="nil"/>
              <w:left w:val="nil"/>
              <w:bottom w:val="single" w:sz="4" w:space="0" w:color="auto"/>
              <w:right w:val="single" w:sz="4" w:space="0" w:color="auto"/>
            </w:tcBorders>
            <w:shd w:val="clear" w:color="auto" w:fill="auto"/>
            <w:noWrap/>
            <w:vAlign w:val="bottom"/>
            <w:hideMark/>
          </w:tcPr>
          <w:p w14:paraId="54A88FD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Williams</w:t>
            </w:r>
          </w:p>
        </w:tc>
        <w:tc>
          <w:tcPr>
            <w:tcW w:w="530" w:type="pct"/>
            <w:tcBorders>
              <w:top w:val="nil"/>
              <w:left w:val="nil"/>
              <w:bottom w:val="single" w:sz="4" w:space="0" w:color="auto"/>
              <w:right w:val="single" w:sz="4" w:space="0" w:color="auto"/>
            </w:tcBorders>
            <w:shd w:val="clear" w:color="auto" w:fill="auto"/>
            <w:noWrap/>
            <w:vAlign w:val="bottom"/>
            <w:hideMark/>
          </w:tcPr>
          <w:p w14:paraId="61A2D2E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3E815FF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1996</w:t>
            </w:r>
          </w:p>
        </w:tc>
        <w:tc>
          <w:tcPr>
            <w:tcW w:w="526" w:type="pct"/>
            <w:tcBorders>
              <w:top w:val="nil"/>
              <w:left w:val="nil"/>
              <w:bottom w:val="single" w:sz="4" w:space="0" w:color="auto"/>
              <w:right w:val="single" w:sz="4" w:space="0" w:color="auto"/>
            </w:tcBorders>
            <w:shd w:val="clear" w:color="auto" w:fill="auto"/>
            <w:noWrap/>
            <w:vAlign w:val="bottom"/>
            <w:hideMark/>
          </w:tcPr>
          <w:p w14:paraId="044BC9E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201.31</w:t>
            </w:r>
          </w:p>
        </w:tc>
        <w:tc>
          <w:tcPr>
            <w:tcW w:w="526" w:type="pct"/>
            <w:tcBorders>
              <w:top w:val="nil"/>
              <w:left w:val="nil"/>
              <w:bottom w:val="single" w:sz="4" w:space="0" w:color="auto"/>
              <w:right w:val="single" w:sz="4" w:space="0" w:color="auto"/>
            </w:tcBorders>
            <w:shd w:val="clear" w:color="auto" w:fill="auto"/>
            <w:noWrap/>
            <w:vAlign w:val="bottom"/>
            <w:hideMark/>
          </w:tcPr>
          <w:p w14:paraId="6A8E1CE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8F6BBC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41.95</w:t>
            </w:r>
          </w:p>
        </w:tc>
        <w:tc>
          <w:tcPr>
            <w:tcW w:w="596" w:type="pct"/>
            <w:tcBorders>
              <w:top w:val="nil"/>
              <w:left w:val="nil"/>
              <w:bottom w:val="single" w:sz="4" w:space="0" w:color="auto"/>
              <w:right w:val="single" w:sz="4" w:space="0" w:color="auto"/>
            </w:tcBorders>
            <w:shd w:val="clear" w:color="auto" w:fill="auto"/>
            <w:noWrap/>
            <w:vAlign w:val="bottom"/>
            <w:hideMark/>
          </w:tcPr>
          <w:p w14:paraId="5C8EAB8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209.44</w:t>
            </w:r>
          </w:p>
        </w:tc>
      </w:tr>
      <w:tr w:rsidR="00574BFB" w:rsidRPr="00574BFB" w14:paraId="237F562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8EF0AA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Cuba</w:t>
            </w:r>
          </w:p>
        </w:tc>
        <w:tc>
          <w:tcPr>
            <w:tcW w:w="1108" w:type="pct"/>
            <w:tcBorders>
              <w:top w:val="nil"/>
              <w:left w:val="nil"/>
              <w:bottom w:val="single" w:sz="4" w:space="0" w:color="auto"/>
              <w:right w:val="single" w:sz="4" w:space="0" w:color="auto"/>
            </w:tcBorders>
            <w:shd w:val="clear" w:color="auto" w:fill="auto"/>
            <w:noWrap/>
            <w:vAlign w:val="bottom"/>
            <w:hideMark/>
          </w:tcPr>
          <w:p w14:paraId="55776FA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Salas</w:t>
            </w:r>
          </w:p>
        </w:tc>
        <w:tc>
          <w:tcPr>
            <w:tcW w:w="530" w:type="pct"/>
            <w:tcBorders>
              <w:top w:val="nil"/>
              <w:left w:val="nil"/>
              <w:bottom w:val="single" w:sz="4" w:space="0" w:color="auto"/>
              <w:right w:val="single" w:sz="4" w:space="0" w:color="auto"/>
            </w:tcBorders>
            <w:shd w:val="clear" w:color="auto" w:fill="auto"/>
            <w:noWrap/>
            <w:vAlign w:val="bottom"/>
            <w:hideMark/>
          </w:tcPr>
          <w:p w14:paraId="6203E14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49E5C7F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526" w:type="pct"/>
            <w:tcBorders>
              <w:top w:val="nil"/>
              <w:left w:val="nil"/>
              <w:bottom w:val="single" w:sz="4" w:space="0" w:color="auto"/>
              <w:right w:val="single" w:sz="4" w:space="0" w:color="auto"/>
            </w:tcBorders>
            <w:shd w:val="clear" w:color="auto" w:fill="auto"/>
            <w:noWrap/>
            <w:vAlign w:val="bottom"/>
            <w:hideMark/>
          </w:tcPr>
          <w:p w14:paraId="0F36306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CEB535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AE99A8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4EDA306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1E740F0"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717F5B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lastRenderedPageBreak/>
              <w:t>Cuba</w:t>
            </w:r>
          </w:p>
        </w:tc>
        <w:tc>
          <w:tcPr>
            <w:tcW w:w="1108" w:type="pct"/>
            <w:tcBorders>
              <w:top w:val="nil"/>
              <w:left w:val="nil"/>
              <w:bottom w:val="single" w:sz="4" w:space="0" w:color="auto"/>
              <w:right w:val="single" w:sz="4" w:space="0" w:color="auto"/>
            </w:tcBorders>
            <w:shd w:val="clear" w:color="auto" w:fill="auto"/>
            <w:noWrap/>
            <w:vAlign w:val="bottom"/>
            <w:hideMark/>
          </w:tcPr>
          <w:p w14:paraId="1D3B7E59"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Nordet</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E6AEDA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372B166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0B0729E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181.75</w:t>
            </w:r>
          </w:p>
        </w:tc>
        <w:tc>
          <w:tcPr>
            <w:tcW w:w="526" w:type="pct"/>
            <w:tcBorders>
              <w:top w:val="nil"/>
              <w:left w:val="nil"/>
              <w:bottom w:val="single" w:sz="4" w:space="0" w:color="auto"/>
              <w:right w:val="single" w:sz="4" w:space="0" w:color="auto"/>
            </w:tcBorders>
            <w:shd w:val="clear" w:color="auto" w:fill="auto"/>
            <w:noWrap/>
            <w:vAlign w:val="bottom"/>
            <w:hideMark/>
          </w:tcPr>
          <w:p w14:paraId="2CDEB35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693148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0388606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FBBB08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FB2F1C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Dominica</w:t>
            </w:r>
          </w:p>
        </w:tc>
        <w:tc>
          <w:tcPr>
            <w:tcW w:w="1108" w:type="pct"/>
            <w:tcBorders>
              <w:top w:val="nil"/>
              <w:left w:val="nil"/>
              <w:bottom w:val="single" w:sz="4" w:space="0" w:color="auto"/>
              <w:right w:val="single" w:sz="4" w:space="0" w:color="auto"/>
            </w:tcBorders>
            <w:shd w:val="clear" w:color="auto" w:fill="auto"/>
            <w:noWrap/>
            <w:vAlign w:val="bottom"/>
            <w:hideMark/>
          </w:tcPr>
          <w:p w14:paraId="4EF2612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Robinson</w:t>
            </w:r>
          </w:p>
        </w:tc>
        <w:tc>
          <w:tcPr>
            <w:tcW w:w="530" w:type="pct"/>
            <w:tcBorders>
              <w:top w:val="nil"/>
              <w:left w:val="nil"/>
              <w:bottom w:val="single" w:sz="4" w:space="0" w:color="auto"/>
              <w:right w:val="single" w:sz="4" w:space="0" w:color="auto"/>
            </w:tcBorders>
            <w:shd w:val="clear" w:color="auto" w:fill="auto"/>
            <w:noWrap/>
            <w:vAlign w:val="bottom"/>
            <w:hideMark/>
          </w:tcPr>
          <w:p w14:paraId="438599F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473" w:type="pct"/>
            <w:tcBorders>
              <w:top w:val="nil"/>
              <w:left w:val="nil"/>
              <w:bottom w:val="single" w:sz="4" w:space="0" w:color="auto"/>
              <w:right w:val="single" w:sz="4" w:space="0" w:color="auto"/>
            </w:tcBorders>
            <w:shd w:val="clear" w:color="auto" w:fill="auto"/>
            <w:noWrap/>
            <w:vAlign w:val="bottom"/>
            <w:hideMark/>
          </w:tcPr>
          <w:p w14:paraId="7770642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DC0358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182.4</w:t>
            </w:r>
          </w:p>
        </w:tc>
        <w:tc>
          <w:tcPr>
            <w:tcW w:w="526" w:type="pct"/>
            <w:tcBorders>
              <w:top w:val="nil"/>
              <w:left w:val="nil"/>
              <w:bottom w:val="single" w:sz="4" w:space="0" w:color="auto"/>
              <w:right w:val="single" w:sz="4" w:space="0" w:color="auto"/>
            </w:tcBorders>
            <w:shd w:val="clear" w:color="auto" w:fill="auto"/>
            <w:noWrap/>
            <w:vAlign w:val="bottom"/>
            <w:hideMark/>
          </w:tcPr>
          <w:p w14:paraId="41D2E0A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105.9</w:t>
            </w:r>
          </w:p>
        </w:tc>
        <w:tc>
          <w:tcPr>
            <w:tcW w:w="526" w:type="pct"/>
            <w:tcBorders>
              <w:top w:val="nil"/>
              <w:left w:val="nil"/>
              <w:bottom w:val="single" w:sz="4" w:space="0" w:color="auto"/>
              <w:right w:val="single" w:sz="4" w:space="0" w:color="auto"/>
            </w:tcBorders>
            <w:shd w:val="clear" w:color="auto" w:fill="auto"/>
            <w:noWrap/>
            <w:vAlign w:val="bottom"/>
            <w:hideMark/>
          </w:tcPr>
          <w:p w14:paraId="5201214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49</w:t>
            </w:r>
          </w:p>
        </w:tc>
        <w:tc>
          <w:tcPr>
            <w:tcW w:w="596" w:type="pct"/>
            <w:tcBorders>
              <w:top w:val="nil"/>
              <w:left w:val="nil"/>
              <w:bottom w:val="single" w:sz="4" w:space="0" w:color="auto"/>
              <w:right w:val="single" w:sz="4" w:space="0" w:color="auto"/>
            </w:tcBorders>
            <w:shd w:val="clear" w:color="auto" w:fill="auto"/>
            <w:noWrap/>
            <w:vAlign w:val="bottom"/>
            <w:hideMark/>
          </w:tcPr>
          <w:p w14:paraId="1065E2D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133.4</w:t>
            </w:r>
          </w:p>
        </w:tc>
      </w:tr>
      <w:tr w:rsidR="00574BFB" w:rsidRPr="00574BFB" w14:paraId="3EE4F6D7"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E70699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Dominican Republic</w:t>
            </w:r>
          </w:p>
        </w:tc>
        <w:tc>
          <w:tcPr>
            <w:tcW w:w="1108" w:type="pct"/>
            <w:tcBorders>
              <w:top w:val="nil"/>
              <w:left w:val="nil"/>
              <w:bottom w:val="single" w:sz="4" w:space="0" w:color="auto"/>
              <w:right w:val="single" w:sz="4" w:space="0" w:color="auto"/>
            </w:tcBorders>
            <w:shd w:val="clear" w:color="auto" w:fill="auto"/>
            <w:noWrap/>
            <w:vAlign w:val="bottom"/>
            <w:hideMark/>
          </w:tcPr>
          <w:p w14:paraId="498F75F6"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Aono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1FAD295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1999</w:t>
            </w:r>
          </w:p>
        </w:tc>
        <w:tc>
          <w:tcPr>
            <w:tcW w:w="473" w:type="pct"/>
            <w:tcBorders>
              <w:top w:val="nil"/>
              <w:left w:val="nil"/>
              <w:bottom w:val="single" w:sz="4" w:space="0" w:color="auto"/>
              <w:right w:val="single" w:sz="4" w:space="0" w:color="auto"/>
            </w:tcBorders>
            <w:shd w:val="clear" w:color="auto" w:fill="auto"/>
            <w:noWrap/>
            <w:vAlign w:val="bottom"/>
            <w:hideMark/>
          </w:tcPr>
          <w:p w14:paraId="5118F48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1993</w:t>
            </w:r>
          </w:p>
        </w:tc>
        <w:tc>
          <w:tcPr>
            <w:tcW w:w="526" w:type="pct"/>
            <w:tcBorders>
              <w:top w:val="nil"/>
              <w:left w:val="nil"/>
              <w:bottom w:val="single" w:sz="4" w:space="0" w:color="auto"/>
              <w:right w:val="single" w:sz="4" w:space="0" w:color="auto"/>
            </w:tcBorders>
            <w:shd w:val="clear" w:color="auto" w:fill="auto"/>
            <w:noWrap/>
            <w:vAlign w:val="bottom"/>
            <w:hideMark/>
          </w:tcPr>
          <w:p w14:paraId="4569E92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177</w:t>
            </w:r>
          </w:p>
        </w:tc>
        <w:tc>
          <w:tcPr>
            <w:tcW w:w="526" w:type="pct"/>
            <w:tcBorders>
              <w:top w:val="nil"/>
              <w:left w:val="nil"/>
              <w:bottom w:val="single" w:sz="4" w:space="0" w:color="auto"/>
              <w:right w:val="single" w:sz="4" w:space="0" w:color="auto"/>
            </w:tcBorders>
            <w:shd w:val="clear" w:color="auto" w:fill="auto"/>
            <w:noWrap/>
            <w:vAlign w:val="bottom"/>
            <w:hideMark/>
          </w:tcPr>
          <w:p w14:paraId="0B21B47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715F1E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40.7</w:t>
            </w:r>
          </w:p>
        </w:tc>
        <w:tc>
          <w:tcPr>
            <w:tcW w:w="596" w:type="pct"/>
            <w:tcBorders>
              <w:top w:val="nil"/>
              <w:left w:val="nil"/>
              <w:bottom w:val="single" w:sz="4" w:space="0" w:color="auto"/>
              <w:right w:val="single" w:sz="4" w:space="0" w:color="auto"/>
            </w:tcBorders>
            <w:shd w:val="clear" w:color="auto" w:fill="auto"/>
            <w:noWrap/>
            <w:vAlign w:val="bottom"/>
            <w:hideMark/>
          </w:tcPr>
          <w:p w14:paraId="0FEE2A9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456B8AB"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0DE65F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Dominican Republic</w:t>
            </w:r>
          </w:p>
        </w:tc>
        <w:tc>
          <w:tcPr>
            <w:tcW w:w="1108" w:type="pct"/>
            <w:tcBorders>
              <w:top w:val="nil"/>
              <w:left w:val="nil"/>
              <w:bottom w:val="single" w:sz="4" w:space="0" w:color="auto"/>
              <w:right w:val="single" w:sz="4" w:space="0" w:color="auto"/>
            </w:tcBorders>
            <w:shd w:val="clear" w:color="auto" w:fill="auto"/>
            <w:noWrap/>
            <w:vAlign w:val="bottom"/>
            <w:hideMark/>
          </w:tcPr>
          <w:p w14:paraId="1EFB19C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Salas</w:t>
            </w:r>
          </w:p>
        </w:tc>
        <w:tc>
          <w:tcPr>
            <w:tcW w:w="530" w:type="pct"/>
            <w:tcBorders>
              <w:top w:val="nil"/>
              <w:left w:val="nil"/>
              <w:bottom w:val="single" w:sz="4" w:space="0" w:color="auto"/>
              <w:right w:val="single" w:sz="4" w:space="0" w:color="auto"/>
            </w:tcBorders>
            <w:shd w:val="clear" w:color="auto" w:fill="auto"/>
            <w:noWrap/>
            <w:vAlign w:val="bottom"/>
            <w:hideMark/>
          </w:tcPr>
          <w:p w14:paraId="2219188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37CDB03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68EE971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426DDB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21399B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44FC766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E1F02E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DF7368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Dominican Republic</w:t>
            </w:r>
          </w:p>
        </w:tc>
        <w:tc>
          <w:tcPr>
            <w:tcW w:w="1108" w:type="pct"/>
            <w:tcBorders>
              <w:top w:val="nil"/>
              <w:left w:val="nil"/>
              <w:bottom w:val="single" w:sz="4" w:space="0" w:color="auto"/>
              <w:right w:val="single" w:sz="4" w:space="0" w:color="auto"/>
            </w:tcBorders>
            <w:shd w:val="clear" w:color="auto" w:fill="auto"/>
            <w:noWrap/>
            <w:vAlign w:val="bottom"/>
            <w:hideMark/>
          </w:tcPr>
          <w:p w14:paraId="7FF40B5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Dong</w:t>
            </w:r>
          </w:p>
        </w:tc>
        <w:tc>
          <w:tcPr>
            <w:tcW w:w="530" w:type="pct"/>
            <w:tcBorders>
              <w:top w:val="nil"/>
              <w:left w:val="nil"/>
              <w:bottom w:val="single" w:sz="4" w:space="0" w:color="auto"/>
              <w:right w:val="single" w:sz="4" w:space="0" w:color="auto"/>
            </w:tcBorders>
            <w:shd w:val="clear" w:color="auto" w:fill="auto"/>
            <w:noWrap/>
            <w:vAlign w:val="bottom"/>
            <w:hideMark/>
          </w:tcPr>
          <w:p w14:paraId="5065210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52B15B4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1997</w:t>
            </w:r>
          </w:p>
        </w:tc>
        <w:tc>
          <w:tcPr>
            <w:tcW w:w="526" w:type="pct"/>
            <w:tcBorders>
              <w:top w:val="nil"/>
              <w:left w:val="nil"/>
              <w:bottom w:val="single" w:sz="4" w:space="0" w:color="auto"/>
              <w:right w:val="single" w:sz="4" w:space="0" w:color="auto"/>
            </w:tcBorders>
            <w:shd w:val="clear" w:color="auto" w:fill="auto"/>
            <w:noWrap/>
            <w:vAlign w:val="bottom"/>
            <w:hideMark/>
          </w:tcPr>
          <w:p w14:paraId="7907295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183.5</w:t>
            </w:r>
          </w:p>
        </w:tc>
        <w:tc>
          <w:tcPr>
            <w:tcW w:w="526" w:type="pct"/>
            <w:tcBorders>
              <w:top w:val="nil"/>
              <w:left w:val="nil"/>
              <w:bottom w:val="single" w:sz="4" w:space="0" w:color="auto"/>
              <w:right w:val="single" w:sz="4" w:space="0" w:color="auto"/>
            </w:tcBorders>
            <w:shd w:val="clear" w:color="auto" w:fill="auto"/>
            <w:noWrap/>
            <w:vAlign w:val="bottom"/>
            <w:hideMark/>
          </w:tcPr>
          <w:p w14:paraId="22CA3FE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109.5</w:t>
            </w:r>
          </w:p>
        </w:tc>
        <w:tc>
          <w:tcPr>
            <w:tcW w:w="526" w:type="pct"/>
            <w:tcBorders>
              <w:top w:val="nil"/>
              <w:left w:val="nil"/>
              <w:bottom w:val="single" w:sz="4" w:space="0" w:color="auto"/>
              <w:right w:val="single" w:sz="4" w:space="0" w:color="auto"/>
            </w:tcBorders>
            <w:shd w:val="clear" w:color="auto" w:fill="auto"/>
            <w:noWrap/>
            <w:vAlign w:val="bottom"/>
            <w:hideMark/>
          </w:tcPr>
          <w:p w14:paraId="4401810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50.3</w:t>
            </w:r>
          </w:p>
        </w:tc>
        <w:tc>
          <w:tcPr>
            <w:tcW w:w="596" w:type="pct"/>
            <w:tcBorders>
              <w:top w:val="nil"/>
              <w:left w:val="nil"/>
              <w:bottom w:val="single" w:sz="4" w:space="0" w:color="auto"/>
              <w:right w:val="single" w:sz="4" w:space="0" w:color="auto"/>
            </w:tcBorders>
            <w:shd w:val="clear" w:color="auto" w:fill="auto"/>
            <w:noWrap/>
            <w:vAlign w:val="bottom"/>
            <w:hideMark/>
          </w:tcPr>
          <w:p w14:paraId="08BF4DF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119.2</w:t>
            </w:r>
          </w:p>
        </w:tc>
      </w:tr>
      <w:tr w:rsidR="00574BFB" w:rsidRPr="00574BFB" w14:paraId="6E44377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6C0242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Ecuador</w:t>
            </w:r>
          </w:p>
        </w:tc>
        <w:tc>
          <w:tcPr>
            <w:tcW w:w="1108" w:type="pct"/>
            <w:tcBorders>
              <w:top w:val="nil"/>
              <w:left w:val="nil"/>
              <w:bottom w:val="single" w:sz="4" w:space="0" w:color="auto"/>
              <w:right w:val="single" w:sz="4" w:space="0" w:color="auto"/>
            </w:tcBorders>
            <w:shd w:val="clear" w:color="auto" w:fill="auto"/>
            <w:noWrap/>
            <w:vAlign w:val="bottom"/>
            <w:hideMark/>
          </w:tcPr>
          <w:p w14:paraId="4437AEC8"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Encalada</w:t>
            </w:r>
            <w:proofErr w:type="spellEnd"/>
            <w:r w:rsidRPr="00574BFB">
              <w:rPr>
                <w:rFonts w:ascii="Arial" w:eastAsia="Times New Roman" w:hAnsi="Arial" w:cs="Arial"/>
                <w:color w:val="000000"/>
                <w:sz w:val="16"/>
                <w:szCs w:val="16"/>
                <w:lang w:eastAsia="en-GB"/>
              </w:rPr>
              <w:t>-Torres</w:t>
            </w:r>
          </w:p>
        </w:tc>
        <w:tc>
          <w:tcPr>
            <w:tcW w:w="530" w:type="pct"/>
            <w:tcBorders>
              <w:top w:val="nil"/>
              <w:left w:val="nil"/>
              <w:bottom w:val="single" w:sz="4" w:space="0" w:color="auto"/>
              <w:right w:val="single" w:sz="4" w:space="0" w:color="auto"/>
            </w:tcBorders>
            <w:shd w:val="clear" w:color="auto" w:fill="auto"/>
            <w:noWrap/>
            <w:vAlign w:val="bottom"/>
            <w:hideMark/>
          </w:tcPr>
          <w:p w14:paraId="2738F49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2017</w:t>
            </w:r>
          </w:p>
        </w:tc>
        <w:tc>
          <w:tcPr>
            <w:tcW w:w="473" w:type="pct"/>
            <w:tcBorders>
              <w:top w:val="nil"/>
              <w:left w:val="nil"/>
              <w:bottom w:val="single" w:sz="4" w:space="0" w:color="auto"/>
              <w:right w:val="single" w:sz="4" w:space="0" w:color="auto"/>
            </w:tcBorders>
            <w:shd w:val="clear" w:color="auto" w:fill="auto"/>
            <w:noWrap/>
            <w:vAlign w:val="bottom"/>
            <w:hideMark/>
          </w:tcPr>
          <w:p w14:paraId="4F0B243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526" w:type="pct"/>
            <w:tcBorders>
              <w:top w:val="nil"/>
              <w:left w:val="nil"/>
              <w:bottom w:val="single" w:sz="4" w:space="0" w:color="auto"/>
              <w:right w:val="single" w:sz="4" w:space="0" w:color="auto"/>
            </w:tcBorders>
            <w:shd w:val="clear" w:color="auto" w:fill="auto"/>
            <w:noWrap/>
            <w:vAlign w:val="bottom"/>
            <w:hideMark/>
          </w:tcPr>
          <w:p w14:paraId="7978F4A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04F482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C8F8F6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40.65</w:t>
            </w:r>
          </w:p>
        </w:tc>
        <w:tc>
          <w:tcPr>
            <w:tcW w:w="596" w:type="pct"/>
            <w:tcBorders>
              <w:top w:val="nil"/>
              <w:left w:val="nil"/>
              <w:bottom w:val="single" w:sz="4" w:space="0" w:color="auto"/>
              <w:right w:val="single" w:sz="4" w:space="0" w:color="auto"/>
            </w:tcBorders>
            <w:shd w:val="clear" w:color="auto" w:fill="auto"/>
            <w:noWrap/>
            <w:vAlign w:val="bottom"/>
            <w:hideMark/>
          </w:tcPr>
          <w:p w14:paraId="5A7C513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158.42</w:t>
            </w:r>
          </w:p>
        </w:tc>
      </w:tr>
      <w:tr w:rsidR="00574BFB" w:rsidRPr="00574BFB" w14:paraId="5104EE70"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A11C36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Ecuador</w:t>
            </w:r>
          </w:p>
        </w:tc>
        <w:tc>
          <w:tcPr>
            <w:tcW w:w="1108" w:type="pct"/>
            <w:tcBorders>
              <w:top w:val="nil"/>
              <w:left w:val="nil"/>
              <w:bottom w:val="single" w:sz="4" w:space="0" w:color="auto"/>
              <w:right w:val="single" w:sz="4" w:space="0" w:color="auto"/>
            </w:tcBorders>
            <w:shd w:val="clear" w:color="auto" w:fill="auto"/>
            <w:noWrap/>
            <w:vAlign w:val="bottom"/>
            <w:hideMark/>
          </w:tcPr>
          <w:p w14:paraId="268300BE"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Vinueza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AC0523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0F1DDB2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526" w:type="pct"/>
            <w:tcBorders>
              <w:top w:val="nil"/>
              <w:left w:val="nil"/>
              <w:bottom w:val="single" w:sz="4" w:space="0" w:color="auto"/>
              <w:right w:val="single" w:sz="4" w:space="0" w:color="auto"/>
            </w:tcBorders>
            <w:shd w:val="clear" w:color="auto" w:fill="auto"/>
            <w:noWrap/>
            <w:vAlign w:val="bottom"/>
            <w:hideMark/>
          </w:tcPr>
          <w:p w14:paraId="076C0C6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207.3</w:t>
            </w:r>
          </w:p>
        </w:tc>
        <w:tc>
          <w:tcPr>
            <w:tcW w:w="526" w:type="pct"/>
            <w:tcBorders>
              <w:top w:val="nil"/>
              <w:left w:val="nil"/>
              <w:bottom w:val="single" w:sz="4" w:space="0" w:color="auto"/>
              <w:right w:val="single" w:sz="4" w:space="0" w:color="auto"/>
            </w:tcBorders>
            <w:shd w:val="clear" w:color="auto" w:fill="auto"/>
            <w:noWrap/>
            <w:vAlign w:val="bottom"/>
            <w:hideMark/>
          </w:tcPr>
          <w:p w14:paraId="5723B01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126.6</w:t>
            </w:r>
          </w:p>
        </w:tc>
        <w:tc>
          <w:tcPr>
            <w:tcW w:w="526" w:type="pct"/>
            <w:tcBorders>
              <w:top w:val="nil"/>
              <w:left w:val="nil"/>
              <w:bottom w:val="single" w:sz="4" w:space="0" w:color="auto"/>
              <w:right w:val="single" w:sz="4" w:space="0" w:color="auto"/>
            </w:tcBorders>
            <w:shd w:val="clear" w:color="auto" w:fill="auto"/>
            <w:noWrap/>
            <w:vAlign w:val="bottom"/>
            <w:hideMark/>
          </w:tcPr>
          <w:p w14:paraId="0F274DC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49</w:t>
            </w:r>
          </w:p>
        </w:tc>
        <w:tc>
          <w:tcPr>
            <w:tcW w:w="596" w:type="pct"/>
            <w:tcBorders>
              <w:top w:val="nil"/>
              <w:left w:val="nil"/>
              <w:bottom w:val="single" w:sz="4" w:space="0" w:color="auto"/>
              <w:right w:val="single" w:sz="4" w:space="0" w:color="auto"/>
            </w:tcBorders>
            <w:shd w:val="clear" w:color="auto" w:fill="auto"/>
            <w:noWrap/>
            <w:vAlign w:val="bottom"/>
            <w:hideMark/>
          </w:tcPr>
          <w:p w14:paraId="71E09D7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162.5</w:t>
            </w:r>
          </w:p>
        </w:tc>
      </w:tr>
      <w:tr w:rsidR="00574BFB" w:rsidRPr="00574BFB" w14:paraId="2C038223"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53C183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Ecuador</w:t>
            </w:r>
          </w:p>
        </w:tc>
        <w:tc>
          <w:tcPr>
            <w:tcW w:w="1108" w:type="pct"/>
            <w:tcBorders>
              <w:top w:val="nil"/>
              <w:left w:val="nil"/>
              <w:bottom w:val="single" w:sz="4" w:space="0" w:color="auto"/>
              <w:right w:val="single" w:sz="4" w:space="0" w:color="auto"/>
            </w:tcBorders>
            <w:shd w:val="clear" w:color="auto" w:fill="auto"/>
            <w:noWrap/>
            <w:vAlign w:val="bottom"/>
            <w:hideMark/>
          </w:tcPr>
          <w:p w14:paraId="2D7A453C"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Orces</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46BED24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2017</w:t>
            </w:r>
          </w:p>
        </w:tc>
        <w:tc>
          <w:tcPr>
            <w:tcW w:w="473" w:type="pct"/>
            <w:tcBorders>
              <w:top w:val="nil"/>
              <w:left w:val="nil"/>
              <w:bottom w:val="single" w:sz="4" w:space="0" w:color="auto"/>
              <w:right w:val="single" w:sz="4" w:space="0" w:color="auto"/>
            </w:tcBorders>
            <w:shd w:val="clear" w:color="auto" w:fill="auto"/>
            <w:noWrap/>
            <w:vAlign w:val="bottom"/>
            <w:hideMark/>
          </w:tcPr>
          <w:p w14:paraId="2196ED6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526" w:type="pct"/>
            <w:tcBorders>
              <w:top w:val="nil"/>
              <w:left w:val="nil"/>
              <w:bottom w:val="single" w:sz="4" w:space="0" w:color="auto"/>
              <w:right w:val="single" w:sz="4" w:space="0" w:color="auto"/>
            </w:tcBorders>
            <w:shd w:val="clear" w:color="auto" w:fill="auto"/>
            <w:noWrap/>
            <w:vAlign w:val="bottom"/>
            <w:hideMark/>
          </w:tcPr>
          <w:p w14:paraId="361F487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92AC25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86F1CD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49B125C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02466F22"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DA444B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Ecuador</w:t>
            </w:r>
          </w:p>
        </w:tc>
        <w:tc>
          <w:tcPr>
            <w:tcW w:w="1108" w:type="pct"/>
            <w:tcBorders>
              <w:top w:val="nil"/>
              <w:left w:val="nil"/>
              <w:bottom w:val="single" w:sz="4" w:space="0" w:color="auto"/>
              <w:right w:val="single" w:sz="4" w:space="0" w:color="auto"/>
            </w:tcBorders>
            <w:shd w:val="clear" w:color="auto" w:fill="auto"/>
            <w:noWrap/>
            <w:vAlign w:val="bottom"/>
            <w:hideMark/>
          </w:tcPr>
          <w:p w14:paraId="41EC1B2F"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Sisa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19DBAE9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2018</w:t>
            </w:r>
          </w:p>
        </w:tc>
        <w:tc>
          <w:tcPr>
            <w:tcW w:w="473" w:type="pct"/>
            <w:tcBorders>
              <w:top w:val="nil"/>
              <w:left w:val="nil"/>
              <w:bottom w:val="single" w:sz="4" w:space="0" w:color="auto"/>
              <w:right w:val="single" w:sz="4" w:space="0" w:color="auto"/>
            </w:tcBorders>
            <w:shd w:val="clear" w:color="auto" w:fill="auto"/>
            <w:noWrap/>
            <w:vAlign w:val="bottom"/>
            <w:hideMark/>
          </w:tcPr>
          <w:p w14:paraId="1BC5D2D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526" w:type="pct"/>
            <w:tcBorders>
              <w:top w:val="nil"/>
              <w:left w:val="nil"/>
              <w:bottom w:val="single" w:sz="4" w:space="0" w:color="auto"/>
              <w:right w:val="single" w:sz="4" w:space="0" w:color="auto"/>
            </w:tcBorders>
            <w:shd w:val="clear" w:color="auto" w:fill="auto"/>
            <w:noWrap/>
            <w:vAlign w:val="bottom"/>
            <w:hideMark/>
          </w:tcPr>
          <w:p w14:paraId="0F37335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200.2</w:t>
            </w:r>
          </w:p>
        </w:tc>
        <w:tc>
          <w:tcPr>
            <w:tcW w:w="526" w:type="pct"/>
            <w:tcBorders>
              <w:top w:val="nil"/>
              <w:left w:val="nil"/>
              <w:bottom w:val="single" w:sz="4" w:space="0" w:color="auto"/>
              <w:right w:val="single" w:sz="4" w:space="0" w:color="auto"/>
            </w:tcBorders>
            <w:shd w:val="clear" w:color="auto" w:fill="auto"/>
            <w:noWrap/>
            <w:vAlign w:val="bottom"/>
            <w:hideMark/>
          </w:tcPr>
          <w:p w14:paraId="53BA50C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117.33</w:t>
            </w:r>
          </w:p>
        </w:tc>
        <w:tc>
          <w:tcPr>
            <w:tcW w:w="526" w:type="pct"/>
            <w:tcBorders>
              <w:top w:val="nil"/>
              <w:left w:val="nil"/>
              <w:bottom w:val="single" w:sz="4" w:space="0" w:color="auto"/>
              <w:right w:val="single" w:sz="4" w:space="0" w:color="auto"/>
            </w:tcBorders>
            <w:shd w:val="clear" w:color="auto" w:fill="auto"/>
            <w:noWrap/>
            <w:vAlign w:val="bottom"/>
            <w:hideMark/>
          </w:tcPr>
          <w:p w14:paraId="2DB99B8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48.3</w:t>
            </w:r>
          </w:p>
        </w:tc>
        <w:tc>
          <w:tcPr>
            <w:tcW w:w="596" w:type="pct"/>
            <w:tcBorders>
              <w:top w:val="nil"/>
              <w:left w:val="nil"/>
              <w:bottom w:val="single" w:sz="4" w:space="0" w:color="auto"/>
              <w:right w:val="single" w:sz="4" w:space="0" w:color="auto"/>
            </w:tcBorders>
            <w:shd w:val="clear" w:color="auto" w:fill="auto"/>
            <w:noWrap/>
            <w:vAlign w:val="bottom"/>
            <w:hideMark/>
          </w:tcPr>
          <w:p w14:paraId="4490CE4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141.67</w:t>
            </w:r>
          </w:p>
        </w:tc>
      </w:tr>
      <w:tr w:rsidR="00574BFB" w:rsidRPr="00574BFB" w14:paraId="7195AC6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322300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El Salvador</w:t>
            </w:r>
          </w:p>
        </w:tc>
        <w:tc>
          <w:tcPr>
            <w:tcW w:w="1108" w:type="pct"/>
            <w:tcBorders>
              <w:top w:val="nil"/>
              <w:left w:val="nil"/>
              <w:bottom w:val="single" w:sz="4" w:space="0" w:color="auto"/>
              <w:right w:val="single" w:sz="4" w:space="0" w:color="auto"/>
            </w:tcBorders>
            <w:shd w:val="clear" w:color="auto" w:fill="auto"/>
            <w:noWrap/>
            <w:vAlign w:val="bottom"/>
            <w:hideMark/>
          </w:tcPr>
          <w:p w14:paraId="319A9EF2"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Orantes</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13D07F2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40ABFCA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2109411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B1279F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EDF34C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3F7B98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D329A1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6042AB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Granada</w:t>
            </w:r>
          </w:p>
        </w:tc>
        <w:tc>
          <w:tcPr>
            <w:tcW w:w="1108" w:type="pct"/>
            <w:tcBorders>
              <w:top w:val="nil"/>
              <w:left w:val="nil"/>
              <w:bottom w:val="single" w:sz="4" w:space="0" w:color="auto"/>
              <w:right w:val="single" w:sz="4" w:space="0" w:color="auto"/>
            </w:tcBorders>
            <w:shd w:val="clear" w:color="auto" w:fill="auto"/>
            <w:noWrap/>
            <w:vAlign w:val="bottom"/>
            <w:hideMark/>
          </w:tcPr>
          <w:p w14:paraId="38E7579E"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Bansilal</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1E19178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473" w:type="pct"/>
            <w:tcBorders>
              <w:top w:val="nil"/>
              <w:left w:val="nil"/>
              <w:bottom w:val="single" w:sz="4" w:space="0" w:color="auto"/>
              <w:right w:val="single" w:sz="4" w:space="0" w:color="auto"/>
            </w:tcBorders>
            <w:shd w:val="clear" w:color="auto" w:fill="auto"/>
            <w:noWrap/>
            <w:vAlign w:val="bottom"/>
            <w:hideMark/>
          </w:tcPr>
          <w:p w14:paraId="43A8425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2905516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176.88</w:t>
            </w:r>
          </w:p>
        </w:tc>
        <w:tc>
          <w:tcPr>
            <w:tcW w:w="526" w:type="pct"/>
            <w:tcBorders>
              <w:top w:val="nil"/>
              <w:left w:val="nil"/>
              <w:bottom w:val="single" w:sz="4" w:space="0" w:color="auto"/>
              <w:right w:val="single" w:sz="4" w:space="0" w:color="auto"/>
            </w:tcBorders>
            <w:shd w:val="clear" w:color="auto" w:fill="auto"/>
            <w:noWrap/>
            <w:vAlign w:val="bottom"/>
            <w:hideMark/>
          </w:tcPr>
          <w:p w14:paraId="4C10C1C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115.43</w:t>
            </w:r>
          </w:p>
        </w:tc>
        <w:tc>
          <w:tcPr>
            <w:tcW w:w="526" w:type="pct"/>
            <w:tcBorders>
              <w:top w:val="nil"/>
              <w:left w:val="nil"/>
              <w:bottom w:val="single" w:sz="4" w:space="0" w:color="auto"/>
              <w:right w:val="single" w:sz="4" w:space="0" w:color="auto"/>
            </w:tcBorders>
            <w:shd w:val="clear" w:color="auto" w:fill="auto"/>
            <w:noWrap/>
            <w:vAlign w:val="bottom"/>
            <w:hideMark/>
          </w:tcPr>
          <w:p w14:paraId="39E77FB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48.14</w:t>
            </w:r>
          </w:p>
        </w:tc>
        <w:tc>
          <w:tcPr>
            <w:tcW w:w="596" w:type="pct"/>
            <w:tcBorders>
              <w:top w:val="nil"/>
              <w:left w:val="nil"/>
              <w:bottom w:val="single" w:sz="4" w:space="0" w:color="auto"/>
              <w:right w:val="single" w:sz="4" w:space="0" w:color="auto"/>
            </w:tcBorders>
            <w:shd w:val="clear" w:color="auto" w:fill="auto"/>
            <w:noWrap/>
            <w:vAlign w:val="bottom"/>
            <w:hideMark/>
          </w:tcPr>
          <w:p w14:paraId="011C13D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BAB24D8"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94F376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Guatemala</w:t>
            </w:r>
          </w:p>
        </w:tc>
        <w:tc>
          <w:tcPr>
            <w:tcW w:w="1108" w:type="pct"/>
            <w:tcBorders>
              <w:top w:val="nil"/>
              <w:left w:val="nil"/>
              <w:bottom w:val="single" w:sz="4" w:space="0" w:color="auto"/>
              <w:right w:val="single" w:sz="4" w:space="0" w:color="auto"/>
            </w:tcBorders>
            <w:shd w:val="clear" w:color="auto" w:fill="auto"/>
            <w:noWrap/>
            <w:vAlign w:val="bottom"/>
            <w:hideMark/>
          </w:tcPr>
          <w:p w14:paraId="3F0D733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Wong-McClure</w:t>
            </w:r>
          </w:p>
        </w:tc>
        <w:tc>
          <w:tcPr>
            <w:tcW w:w="530" w:type="pct"/>
            <w:tcBorders>
              <w:top w:val="nil"/>
              <w:left w:val="nil"/>
              <w:bottom w:val="single" w:sz="4" w:space="0" w:color="auto"/>
              <w:right w:val="single" w:sz="4" w:space="0" w:color="auto"/>
            </w:tcBorders>
            <w:shd w:val="clear" w:color="auto" w:fill="auto"/>
            <w:noWrap/>
            <w:vAlign w:val="bottom"/>
            <w:hideMark/>
          </w:tcPr>
          <w:p w14:paraId="020948A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3934033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1B6CD7D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9A1F33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4FBFB6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1E7FB9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3690B9B0"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FB168A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Guatemala</w:t>
            </w:r>
          </w:p>
        </w:tc>
        <w:tc>
          <w:tcPr>
            <w:tcW w:w="1108" w:type="pct"/>
            <w:tcBorders>
              <w:top w:val="nil"/>
              <w:left w:val="nil"/>
              <w:bottom w:val="single" w:sz="4" w:space="0" w:color="auto"/>
              <w:right w:val="single" w:sz="4" w:space="0" w:color="auto"/>
            </w:tcBorders>
            <w:shd w:val="clear" w:color="auto" w:fill="auto"/>
            <w:noWrap/>
            <w:vAlign w:val="bottom"/>
            <w:hideMark/>
          </w:tcPr>
          <w:p w14:paraId="6407D37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Romero-</w:t>
            </w:r>
            <w:proofErr w:type="spellStart"/>
            <w:r w:rsidRPr="00574BFB">
              <w:rPr>
                <w:rFonts w:ascii="Arial" w:eastAsia="Times New Roman" w:hAnsi="Arial" w:cs="Arial"/>
                <w:color w:val="000000"/>
                <w:sz w:val="16"/>
                <w:szCs w:val="16"/>
                <w:lang w:eastAsia="en-GB"/>
              </w:rPr>
              <w:t>Abal</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1B49249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1994</w:t>
            </w:r>
          </w:p>
        </w:tc>
        <w:tc>
          <w:tcPr>
            <w:tcW w:w="473" w:type="pct"/>
            <w:tcBorders>
              <w:top w:val="nil"/>
              <w:left w:val="nil"/>
              <w:bottom w:val="single" w:sz="4" w:space="0" w:color="auto"/>
              <w:right w:val="single" w:sz="4" w:space="0" w:color="auto"/>
            </w:tcBorders>
            <w:shd w:val="clear" w:color="auto" w:fill="auto"/>
            <w:noWrap/>
            <w:vAlign w:val="bottom"/>
            <w:hideMark/>
          </w:tcPr>
          <w:p w14:paraId="600CDDC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8A565A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220.8</w:t>
            </w:r>
          </w:p>
        </w:tc>
        <w:tc>
          <w:tcPr>
            <w:tcW w:w="526" w:type="pct"/>
            <w:tcBorders>
              <w:top w:val="nil"/>
              <w:left w:val="nil"/>
              <w:bottom w:val="single" w:sz="4" w:space="0" w:color="auto"/>
              <w:right w:val="single" w:sz="4" w:space="0" w:color="auto"/>
            </w:tcBorders>
            <w:shd w:val="clear" w:color="auto" w:fill="auto"/>
            <w:noWrap/>
            <w:vAlign w:val="bottom"/>
            <w:hideMark/>
          </w:tcPr>
          <w:p w14:paraId="2C3A68C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7D2665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3DAD25D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195.2</w:t>
            </w:r>
          </w:p>
        </w:tc>
      </w:tr>
      <w:tr w:rsidR="00574BFB" w:rsidRPr="00574BFB" w14:paraId="2AC64758"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9306AF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Guatemala</w:t>
            </w:r>
          </w:p>
        </w:tc>
        <w:tc>
          <w:tcPr>
            <w:tcW w:w="1108" w:type="pct"/>
            <w:tcBorders>
              <w:top w:val="nil"/>
              <w:left w:val="nil"/>
              <w:bottom w:val="single" w:sz="4" w:space="0" w:color="auto"/>
              <w:right w:val="single" w:sz="4" w:space="0" w:color="auto"/>
            </w:tcBorders>
            <w:shd w:val="clear" w:color="auto" w:fill="auto"/>
            <w:noWrap/>
            <w:vAlign w:val="bottom"/>
            <w:hideMark/>
          </w:tcPr>
          <w:p w14:paraId="01840091"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Cria</w:t>
            </w:r>
            <w:proofErr w:type="spellEnd"/>
            <w:r w:rsidRPr="00574BFB">
              <w:rPr>
                <w:rFonts w:ascii="Arial" w:eastAsia="Times New Roman" w:hAnsi="Arial" w:cs="Arial"/>
                <w:color w:val="000000"/>
                <w:sz w:val="16"/>
                <w:szCs w:val="16"/>
                <w:lang w:eastAsia="en-GB"/>
              </w:rPr>
              <w:t xml:space="preserve"> O Gregory </w:t>
            </w:r>
          </w:p>
        </w:tc>
        <w:tc>
          <w:tcPr>
            <w:tcW w:w="530" w:type="pct"/>
            <w:tcBorders>
              <w:top w:val="nil"/>
              <w:left w:val="nil"/>
              <w:bottom w:val="single" w:sz="4" w:space="0" w:color="auto"/>
              <w:right w:val="single" w:sz="4" w:space="0" w:color="auto"/>
            </w:tcBorders>
            <w:shd w:val="clear" w:color="auto" w:fill="auto"/>
            <w:noWrap/>
            <w:vAlign w:val="bottom"/>
            <w:hideMark/>
          </w:tcPr>
          <w:p w14:paraId="401659B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473" w:type="pct"/>
            <w:tcBorders>
              <w:top w:val="nil"/>
              <w:left w:val="nil"/>
              <w:bottom w:val="single" w:sz="4" w:space="0" w:color="auto"/>
              <w:right w:val="single" w:sz="4" w:space="0" w:color="auto"/>
            </w:tcBorders>
            <w:shd w:val="clear" w:color="auto" w:fill="auto"/>
            <w:noWrap/>
            <w:vAlign w:val="bottom"/>
            <w:hideMark/>
          </w:tcPr>
          <w:p w14:paraId="347BE32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1998</w:t>
            </w:r>
          </w:p>
        </w:tc>
        <w:tc>
          <w:tcPr>
            <w:tcW w:w="526" w:type="pct"/>
            <w:tcBorders>
              <w:top w:val="nil"/>
              <w:left w:val="nil"/>
              <w:bottom w:val="single" w:sz="4" w:space="0" w:color="auto"/>
              <w:right w:val="single" w:sz="4" w:space="0" w:color="auto"/>
            </w:tcBorders>
            <w:shd w:val="clear" w:color="auto" w:fill="auto"/>
            <w:noWrap/>
            <w:vAlign w:val="bottom"/>
            <w:hideMark/>
          </w:tcPr>
          <w:p w14:paraId="0FC5F3D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141.15</w:t>
            </w:r>
          </w:p>
        </w:tc>
        <w:tc>
          <w:tcPr>
            <w:tcW w:w="526" w:type="pct"/>
            <w:tcBorders>
              <w:top w:val="nil"/>
              <w:left w:val="nil"/>
              <w:bottom w:val="single" w:sz="4" w:space="0" w:color="auto"/>
              <w:right w:val="single" w:sz="4" w:space="0" w:color="auto"/>
            </w:tcBorders>
            <w:shd w:val="clear" w:color="auto" w:fill="auto"/>
            <w:noWrap/>
            <w:vAlign w:val="bottom"/>
            <w:hideMark/>
          </w:tcPr>
          <w:p w14:paraId="38271F3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FE58B1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37.12</w:t>
            </w:r>
          </w:p>
        </w:tc>
        <w:tc>
          <w:tcPr>
            <w:tcW w:w="596" w:type="pct"/>
            <w:tcBorders>
              <w:top w:val="nil"/>
              <w:left w:val="nil"/>
              <w:bottom w:val="single" w:sz="4" w:space="0" w:color="auto"/>
              <w:right w:val="single" w:sz="4" w:space="0" w:color="auto"/>
            </w:tcBorders>
            <w:shd w:val="clear" w:color="auto" w:fill="auto"/>
            <w:noWrap/>
            <w:vAlign w:val="bottom"/>
            <w:hideMark/>
          </w:tcPr>
          <w:p w14:paraId="341528A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129.32</w:t>
            </w:r>
          </w:p>
        </w:tc>
      </w:tr>
      <w:tr w:rsidR="00574BFB" w:rsidRPr="00574BFB" w14:paraId="3504219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3ABD44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Haiti</w:t>
            </w:r>
          </w:p>
        </w:tc>
        <w:tc>
          <w:tcPr>
            <w:tcW w:w="1108" w:type="pct"/>
            <w:tcBorders>
              <w:top w:val="nil"/>
              <w:left w:val="nil"/>
              <w:bottom w:val="single" w:sz="4" w:space="0" w:color="auto"/>
              <w:right w:val="single" w:sz="4" w:space="0" w:color="auto"/>
            </w:tcBorders>
            <w:shd w:val="clear" w:color="auto" w:fill="auto"/>
            <w:noWrap/>
            <w:vAlign w:val="bottom"/>
            <w:hideMark/>
          </w:tcPr>
          <w:p w14:paraId="41FBBBC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DeGennaro</w:t>
            </w:r>
          </w:p>
        </w:tc>
        <w:tc>
          <w:tcPr>
            <w:tcW w:w="530" w:type="pct"/>
            <w:tcBorders>
              <w:top w:val="nil"/>
              <w:left w:val="nil"/>
              <w:bottom w:val="single" w:sz="4" w:space="0" w:color="auto"/>
              <w:right w:val="single" w:sz="4" w:space="0" w:color="auto"/>
            </w:tcBorders>
            <w:shd w:val="clear" w:color="auto" w:fill="auto"/>
            <w:noWrap/>
            <w:vAlign w:val="bottom"/>
            <w:hideMark/>
          </w:tcPr>
          <w:p w14:paraId="715F912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2018</w:t>
            </w:r>
          </w:p>
        </w:tc>
        <w:tc>
          <w:tcPr>
            <w:tcW w:w="473" w:type="pct"/>
            <w:tcBorders>
              <w:top w:val="nil"/>
              <w:left w:val="nil"/>
              <w:bottom w:val="single" w:sz="4" w:space="0" w:color="auto"/>
              <w:right w:val="single" w:sz="4" w:space="0" w:color="auto"/>
            </w:tcBorders>
            <w:shd w:val="clear" w:color="auto" w:fill="auto"/>
            <w:noWrap/>
            <w:vAlign w:val="bottom"/>
            <w:hideMark/>
          </w:tcPr>
          <w:p w14:paraId="7A50EA3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526" w:type="pct"/>
            <w:tcBorders>
              <w:top w:val="nil"/>
              <w:left w:val="nil"/>
              <w:bottom w:val="single" w:sz="4" w:space="0" w:color="auto"/>
              <w:right w:val="single" w:sz="4" w:space="0" w:color="auto"/>
            </w:tcBorders>
            <w:shd w:val="clear" w:color="auto" w:fill="auto"/>
            <w:noWrap/>
            <w:vAlign w:val="bottom"/>
            <w:hideMark/>
          </w:tcPr>
          <w:p w14:paraId="0D36713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CA1083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8C6092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059830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0A95970F"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A89A8D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Honduras</w:t>
            </w:r>
          </w:p>
        </w:tc>
        <w:tc>
          <w:tcPr>
            <w:tcW w:w="1108" w:type="pct"/>
            <w:tcBorders>
              <w:top w:val="nil"/>
              <w:left w:val="nil"/>
              <w:bottom w:val="single" w:sz="4" w:space="0" w:color="auto"/>
              <w:right w:val="single" w:sz="4" w:space="0" w:color="auto"/>
            </w:tcBorders>
            <w:shd w:val="clear" w:color="auto" w:fill="auto"/>
            <w:noWrap/>
            <w:vAlign w:val="bottom"/>
            <w:hideMark/>
          </w:tcPr>
          <w:p w14:paraId="0E1F648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Wong-McClure</w:t>
            </w:r>
          </w:p>
        </w:tc>
        <w:tc>
          <w:tcPr>
            <w:tcW w:w="530" w:type="pct"/>
            <w:tcBorders>
              <w:top w:val="nil"/>
              <w:left w:val="nil"/>
              <w:bottom w:val="single" w:sz="4" w:space="0" w:color="auto"/>
              <w:right w:val="single" w:sz="4" w:space="0" w:color="auto"/>
            </w:tcBorders>
            <w:shd w:val="clear" w:color="auto" w:fill="auto"/>
            <w:noWrap/>
            <w:vAlign w:val="bottom"/>
            <w:hideMark/>
          </w:tcPr>
          <w:p w14:paraId="655F4A0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13A8E6D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51AC5AD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C268FD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E686CB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71E906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4D4FAB7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7D0C84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Honduras</w:t>
            </w:r>
          </w:p>
        </w:tc>
        <w:tc>
          <w:tcPr>
            <w:tcW w:w="1108" w:type="pct"/>
            <w:tcBorders>
              <w:top w:val="nil"/>
              <w:left w:val="nil"/>
              <w:bottom w:val="single" w:sz="4" w:space="0" w:color="auto"/>
              <w:right w:val="single" w:sz="4" w:space="0" w:color="auto"/>
            </w:tcBorders>
            <w:shd w:val="clear" w:color="auto" w:fill="auto"/>
            <w:noWrap/>
            <w:vAlign w:val="bottom"/>
            <w:hideMark/>
          </w:tcPr>
          <w:p w14:paraId="0FA1387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xml:space="preserve">Jaime Hall </w:t>
            </w:r>
            <w:proofErr w:type="spellStart"/>
            <w:r w:rsidRPr="00574BFB">
              <w:rPr>
                <w:rFonts w:ascii="Arial" w:eastAsia="Times New Roman" w:hAnsi="Arial" w:cs="Arial"/>
                <w:color w:val="000000"/>
                <w:sz w:val="16"/>
                <w:szCs w:val="16"/>
                <w:lang w:eastAsia="en-GB"/>
              </w:rPr>
              <w:t>MartÃ</w:t>
            </w:r>
            <w:r w:rsidRPr="00574BFB">
              <w:rPr>
                <w:rFonts w:ascii="Arial" w:eastAsia="Times New Roman" w:hAnsi="Arial" w:cs="Arial"/>
                <w:color w:val="000000"/>
                <w:sz w:val="16"/>
                <w:szCs w:val="16"/>
                <w:lang w:eastAsia="en-GB"/>
              </w:rPr>
              <w:softHyphen/>
              <w:t>ne</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37002F2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473" w:type="pct"/>
            <w:tcBorders>
              <w:top w:val="nil"/>
              <w:left w:val="nil"/>
              <w:bottom w:val="single" w:sz="4" w:space="0" w:color="auto"/>
              <w:right w:val="single" w:sz="4" w:space="0" w:color="auto"/>
            </w:tcBorders>
            <w:shd w:val="clear" w:color="auto" w:fill="auto"/>
            <w:noWrap/>
            <w:vAlign w:val="bottom"/>
            <w:hideMark/>
          </w:tcPr>
          <w:p w14:paraId="1D1DEA0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2003</w:t>
            </w:r>
          </w:p>
        </w:tc>
        <w:tc>
          <w:tcPr>
            <w:tcW w:w="526" w:type="pct"/>
            <w:tcBorders>
              <w:top w:val="nil"/>
              <w:left w:val="nil"/>
              <w:bottom w:val="single" w:sz="4" w:space="0" w:color="auto"/>
              <w:right w:val="single" w:sz="4" w:space="0" w:color="auto"/>
            </w:tcBorders>
            <w:shd w:val="clear" w:color="auto" w:fill="auto"/>
            <w:noWrap/>
            <w:vAlign w:val="bottom"/>
            <w:hideMark/>
          </w:tcPr>
          <w:p w14:paraId="1FA7AF8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F050B6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98.71</w:t>
            </w:r>
          </w:p>
        </w:tc>
        <w:tc>
          <w:tcPr>
            <w:tcW w:w="526" w:type="pct"/>
            <w:tcBorders>
              <w:top w:val="nil"/>
              <w:left w:val="nil"/>
              <w:bottom w:val="single" w:sz="4" w:space="0" w:color="auto"/>
              <w:right w:val="single" w:sz="4" w:space="0" w:color="auto"/>
            </w:tcBorders>
            <w:shd w:val="clear" w:color="auto" w:fill="auto"/>
            <w:noWrap/>
            <w:vAlign w:val="bottom"/>
            <w:hideMark/>
          </w:tcPr>
          <w:p w14:paraId="7F9468C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43.42</w:t>
            </w:r>
          </w:p>
        </w:tc>
        <w:tc>
          <w:tcPr>
            <w:tcW w:w="596" w:type="pct"/>
            <w:tcBorders>
              <w:top w:val="nil"/>
              <w:left w:val="nil"/>
              <w:bottom w:val="single" w:sz="4" w:space="0" w:color="auto"/>
              <w:right w:val="single" w:sz="4" w:space="0" w:color="auto"/>
            </w:tcBorders>
            <w:shd w:val="clear" w:color="auto" w:fill="auto"/>
            <w:noWrap/>
            <w:vAlign w:val="bottom"/>
            <w:hideMark/>
          </w:tcPr>
          <w:p w14:paraId="7B858BC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228.23</w:t>
            </w:r>
          </w:p>
        </w:tc>
      </w:tr>
      <w:tr w:rsidR="00574BFB" w:rsidRPr="00574BFB" w14:paraId="37296FF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471657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Jamaica</w:t>
            </w:r>
          </w:p>
        </w:tc>
        <w:tc>
          <w:tcPr>
            <w:tcW w:w="1108" w:type="pct"/>
            <w:tcBorders>
              <w:top w:val="nil"/>
              <w:left w:val="nil"/>
              <w:bottom w:val="single" w:sz="4" w:space="0" w:color="auto"/>
              <w:right w:val="single" w:sz="4" w:space="0" w:color="auto"/>
            </w:tcBorders>
            <w:shd w:val="clear" w:color="auto" w:fill="auto"/>
            <w:noWrap/>
            <w:vAlign w:val="bottom"/>
            <w:hideMark/>
          </w:tcPr>
          <w:p w14:paraId="0D4E8EC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Ferguson</w:t>
            </w:r>
          </w:p>
        </w:tc>
        <w:tc>
          <w:tcPr>
            <w:tcW w:w="530" w:type="pct"/>
            <w:tcBorders>
              <w:top w:val="nil"/>
              <w:left w:val="nil"/>
              <w:bottom w:val="single" w:sz="4" w:space="0" w:color="auto"/>
              <w:right w:val="single" w:sz="4" w:space="0" w:color="auto"/>
            </w:tcBorders>
            <w:shd w:val="clear" w:color="auto" w:fill="auto"/>
            <w:noWrap/>
            <w:vAlign w:val="bottom"/>
            <w:hideMark/>
          </w:tcPr>
          <w:p w14:paraId="19C733A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2017</w:t>
            </w:r>
          </w:p>
        </w:tc>
        <w:tc>
          <w:tcPr>
            <w:tcW w:w="473" w:type="pct"/>
            <w:tcBorders>
              <w:top w:val="nil"/>
              <w:left w:val="nil"/>
              <w:bottom w:val="single" w:sz="4" w:space="0" w:color="auto"/>
              <w:right w:val="single" w:sz="4" w:space="0" w:color="auto"/>
            </w:tcBorders>
            <w:shd w:val="clear" w:color="auto" w:fill="auto"/>
            <w:noWrap/>
            <w:vAlign w:val="bottom"/>
            <w:hideMark/>
          </w:tcPr>
          <w:p w14:paraId="0A14F6E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526" w:type="pct"/>
            <w:tcBorders>
              <w:top w:val="nil"/>
              <w:left w:val="nil"/>
              <w:bottom w:val="single" w:sz="4" w:space="0" w:color="auto"/>
              <w:right w:val="single" w:sz="4" w:space="0" w:color="auto"/>
            </w:tcBorders>
            <w:shd w:val="clear" w:color="auto" w:fill="auto"/>
            <w:noWrap/>
            <w:vAlign w:val="bottom"/>
            <w:hideMark/>
          </w:tcPr>
          <w:p w14:paraId="61505A4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172.47</w:t>
            </w:r>
          </w:p>
        </w:tc>
        <w:tc>
          <w:tcPr>
            <w:tcW w:w="526" w:type="pct"/>
            <w:tcBorders>
              <w:top w:val="nil"/>
              <w:left w:val="nil"/>
              <w:bottom w:val="single" w:sz="4" w:space="0" w:color="auto"/>
              <w:right w:val="single" w:sz="4" w:space="0" w:color="auto"/>
            </w:tcBorders>
            <w:shd w:val="clear" w:color="auto" w:fill="auto"/>
            <w:noWrap/>
            <w:vAlign w:val="bottom"/>
            <w:hideMark/>
          </w:tcPr>
          <w:p w14:paraId="62A41A4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C90F06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6F62AA3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6E4EEB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BB99BD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Jamaica</w:t>
            </w:r>
          </w:p>
        </w:tc>
        <w:tc>
          <w:tcPr>
            <w:tcW w:w="1108" w:type="pct"/>
            <w:tcBorders>
              <w:top w:val="nil"/>
              <w:left w:val="nil"/>
              <w:bottom w:val="single" w:sz="4" w:space="0" w:color="auto"/>
              <w:right w:val="single" w:sz="4" w:space="0" w:color="auto"/>
            </w:tcBorders>
            <w:shd w:val="clear" w:color="auto" w:fill="auto"/>
            <w:noWrap/>
            <w:vAlign w:val="bottom"/>
            <w:hideMark/>
          </w:tcPr>
          <w:p w14:paraId="2A9D698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Gupta</w:t>
            </w:r>
          </w:p>
        </w:tc>
        <w:tc>
          <w:tcPr>
            <w:tcW w:w="530" w:type="pct"/>
            <w:tcBorders>
              <w:top w:val="nil"/>
              <w:left w:val="nil"/>
              <w:bottom w:val="single" w:sz="4" w:space="0" w:color="auto"/>
              <w:right w:val="single" w:sz="4" w:space="0" w:color="auto"/>
            </w:tcBorders>
            <w:shd w:val="clear" w:color="auto" w:fill="auto"/>
            <w:noWrap/>
            <w:vAlign w:val="bottom"/>
            <w:hideMark/>
          </w:tcPr>
          <w:p w14:paraId="73E5CCE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51F3E0D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1996</w:t>
            </w:r>
          </w:p>
        </w:tc>
        <w:tc>
          <w:tcPr>
            <w:tcW w:w="526" w:type="pct"/>
            <w:tcBorders>
              <w:top w:val="nil"/>
              <w:left w:val="nil"/>
              <w:bottom w:val="single" w:sz="4" w:space="0" w:color="auto"/>
              <w:right w:val="single" w:sz="4" w:space="0" w:color="auto"/>
            </w:tcBorders>
            <w:shd w:val="clear" w:color="auto" w:fill="auto"/>
            <w:noWrap/>
            <w:vAlign w:val="bottom"/>
            <w:hideMark/>
          </w:tcPr>
          <w:p w14:paraId="14046C4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184.46</w:t>
            </w:r>
          </w:p>
        </w:tc>
        <w:tc>
          <w:tcPr>
            <w:tcW w:w="526" w:type="pct"/>
            <w:tcBorders>
              <w:top w:val="nil"/>
              <w:left w:val="nil"/>
              <w:bottom w:val="single" w:sz="4" w:space="0" w:color="auto"/>
              <w:right w:val="single" w:sz="4" w:space="0" w:color="auto"/>
            </w:tcBorders>
            <w:shd w:val="clear" w:color="auto" w:fill="auto"/>
            <w:noWrap/>
            <w:vAlign w:val="bottom"/>
            <w:hideMark/>
          </w:tcPr>
          <w:p w14:paraId="08BB663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121.42</w:t>
            </w:r>
          </w:p>
        </w:tc>
        <w:tc>
          <w:tcPr>
            <w:tcW w:w="526" w:type="pct"/>
            <w:tcBorders>
              <w:top w:val="nil"/>
              <w:left w:val="nil"/>
              <w:bottom w:val="single" w:sz="4" w:space="0" w:color="auto"/>
              <w:right w:val="single" w:sz="4" w:space="0" w:color="auto"/>
            </w:tcBorders>
            <w:shd w:val="clear" w:color="auto" w:fill="auto"/>
            <w:noWrap/>
            <w:vAlign w:val="bottom"/>
            <w:hideMark/>
          </w:tcPr>
          <w:p w14:paraId="184C43B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50.27</w:t>
            </w:r>
          </w:p>
        </w:tc>
        <w:tc>
          <w:tcPr>
            <w:tcW w:w="596" w:type="pct"/>
            <w:tcBorders>
              <w:top w:val="nil"/>
              <w:left w:val="nil"/>
              <w:bottom w:val="single" w:sz="4" w:space="0" w:color="auto"/>
              <w:right w:val="single" w:sz="4" w:space="0" w:color="auto"/>
            </w:tcBorders>
            <w:shd w:val="clear" w:color="auto" w:fill="auto"/>
            <w:noWrap/>
            <w:vAlign w:val="bottom"/>
            <w:hideMark/>
          </w:tcPr>
          <w:p w14:paraId="40CD814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71.74</w:t>
            </w:r>
          </w:p>
        </w:tc>
      </w:tr>
      <w:tr w:rsidR="00574BFB" w:rsidRPr="00574BFB" w14:paraId="16039930"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7A784C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Jamaica</w:t>
            </w:r>
          </w:p>
        </w:tc>
        <w:tc>
          <w:tcPr>
            <w:tcW w:w="1108" w:type="pct"/>
            <w:tcBorders>
              <w:top w:val="nil"/>
              <w:left w:val="nil"/>
              <w:bottom w:val="single" w:sz="4" w:space="0" w:color="auto"/>
              <w:right w:val="single" w:sz="4" w:space="0" w:color="auto"/>
            </w:tcBorders>
            <w:shd w:val="clear" w:color="auto" w:fill="auto"/>
            <w:noWrap/>
            <w:vAlign w:val="bottom"/>
            <w:hideMark/>
          </w:tcPr>
          <w:p w14:paraId="309CAD8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Florey</w:t>
            </w:r>
          </w:p>
        </w:tc>
        <w:tc>
          <w:tcPr>
            <w:tcW w:w="530" w:type="pct"/>
            <w:tcBorders>
              <w:top w:val="nil"/>
              <w:left w:val="nil"/>
              <w:bottom w:val="single" w:sz="4" w:space="0" w:color="auto"/>
              <w:right w:val="single" w:sz="4" w:space="0" w:color="auto"/>
            </w:tcBorders>
            <w:shd w:val="clear" w:color="auto" w:fill="auto"/>
            <w:noWrap/>
            <w:vAlign w:val="bottom"/>
            <w:hideMark/>
          </w:tcPr>
          <w:p w14:paraId="05B96CC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1973</w:t>
            </w:r>
          </w:p>
        </w:tc>
        <w:tc>
          <w:tcPr>
            <w:tcW w:w="473" w:type="pct"/>
            <w:tcBorders>
              <w:top w:val="nil"/>
              <w:left w:val="nil"/>
              <w:bottom w:val="single" w:sz="4" w:space="0" w:color="auto"/>
              <w:right w:val="single" w:sz="4" w:space="0" w:color="auto"/>
            </w:tcBorders>
            <w:shd w:val="clear" w:color="auto" w:fill="auto"/>
            <w:noWrap/>
            <w:vAlign w:val="bottom"/>
            <w:hideMark/>
          </w:tcPr>
          <w:p w14:paraId="358F079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B237BB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216.72</w:t>
            </w:r>
          </w:p>
        </w:tc>
        <w:tc>
          <w:tcPr>
            <w:tcW w:w="526" w:type="pct"/>
            <w:tcBorders>
              <w:top w:val="nil"/>
              <w:left w:val="nil"/>
              <w:bottom w:val="single" w:sz="4" w:space="0" w:color="auto"/>
              <w:right w:val="single" w:sz="4" w:space="0" w:color="auto"/>
            </w:tcBorders>
            <w:shd w:val="clear" w:color="auto" w:fill="auto"/>
            <w:noWrap/>
            <w:vAlign w:val="bottom"/>
            <w:hideMark/>
          </w:tcPr>
          <w:p w14:paraId="2B4DA3A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C8BE96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E86D76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79.82</w:t>
            </w:r>
          </w:p>
        </w:tc>
      </w:tr>
      <w:tr w:rsidR="00574BFB" w:rsidRPr="00574BFB" w14:paraId="253D91F7"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318949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Jamaica</w:t>
            </w:r>
          </w:p>
        </w:tc>
        <w:tc>
          <w:tcPr>
            <w:tcW w:w="1108" w:type="pct"/>
            <w:tcBorders>
              <w:top w:val="nil"/>
              <w:left w:val="nil"/>
              <w:bottom w:val="single" w:sz="4" w:space="0" w:color="auto"/>
              <w:right w:val="single" w:sz="4" w:space="0" w:color="auto"/>
            </w:tcBorders>
            <w:shd w:val="clear" w:color="auto" w:fill="auto"/>
            <w:noWrap/>
            <w:vAlign w:val="bottom"/>
            <w:hideMark/>
          </w:tcPr>
          <w:p w14:paraId="010929A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Ferguson</w:t>
            </w:r>
          </w:p>
        </w:tc>
        <w:tc>
          <w:tcPr>
            <w:tcW w:w="530" w:type="pct"/>
            <w:tcBorders>
              <w:top w:val="nil"/>
              <w:left w:val="nil"/>
              <w:bottom w:val="single" w:sz="4" w:space="0" w:color="auto"/>
              <w:right w:val="single" w:sz="4" w:space="0" w:color="auto"/>
            </w:tcBorders>
            <w:shd w:val="clear" w:color="auto" w:fill="auto"/>
            <w:noWrap/>
            <w:vAlign w:val="bottom"/>
            <w:hideMark/>
          </w:tcPr>
          <w:p w14:paraId="578F48A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473" w:type="pct"/>
            <w:tcBorders>
              <w:top w:val="nil"/>
              <w:left w:val="nil"/>
              <w:bottom w:val="single" w:sz="4" w:space="0" w:color="auto"/>
              <w:right w:val="single" w:sz="4" w:space="0" w:color="auto"/>
            </w:tcBorders>
            <w:shd w:val="clear" w:color="auto" w:fill="auto"/>
            <w:noWrap/>
            <w:vAlign w:val="bottom"/>
            <w:hideMark/>
          </w:tcPr>
          <w:p w14:paraId="2EE3F55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526" w:type="pct"/>
            <w:tcBorders>
              <w:top w:val="nil"/>
              <w:left w:val="nil"/>
              <w:bottom w:val="single" w:sz="4" w:space="0" w:color="auto"/>
              <w:right w:val="single" w:sz="4" w:space="0" w:color="auto"/>
            </w:tcBorders>
            <w:shd w:val="clear" w:color="auto" w:fill="auto"/>
            <w:noWrap/>
            <w:vAlign w:val="bottom"/>
            <w:hideMark/>
          </w:tcPr>
          <w:p w14:paraId="7A48878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174.01</w:t>
            </w:r>
          </w:p>
        </w:tc>
        <w:tc>
          <w:tcPr>
            <w:tcW w:w="526" w:type="pct"/>
            <w:tcBorders>
              <w:top w:val="nil"/>
              <w:left w:val="nil"/>
              <w:bottom w:val="single" w:sz="4" w:space="0" w:color="auto"/>
              <w:right w:val="single" w:sz="4" w:space="0" w:color="auto"/>
            </w:tcBorders>
            <w:shd w:val="clear" w:color="auto" w:fill="auto"/>
            <w:noWrap/>
            <w:vAlign w:val="bottom"/>
            <w:hideMark/>
          </w:tcPr>
          <w:p w14:paraId="4B85818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BC7906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1FCAB1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A9A925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615721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Jamaica</w:t>
            </w:r>
          </w:p>
        </w:tc>
        <w:tc>
          <w:tcPr>
            <w:tcW w:w="1108" w:type="pct"/>
            <w:tcBorders>
              <w:top w:val="nil"/>
              <w:left w:val="nil"/>
              <w:bottom w:val="single" w:sz="4" w:space="0" w:color="auto"/>
              <w:right w:val="single" w:sz="4" w:space="0" w:color="auto"/>
            </w:tcBorders>
            <w:shd w:val="clear" w:color="auto" w:fill="auto"/>
            <w:noWrap/>
            <w:vAlign w:val="bottom"/>
            <w:hideMark/>
          </w:tcPr>
          <w:p w14:paraId="3FC5DF0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Ferguson</w:t>
            </w:r>
          </w:p>
        </w:tc>
        <w:tc>
          <w:tcPr>
            <w:tcW w:w="530" w:type="pct"/>
            <w:tcBorders>
              <w:top w:val="nil"/>
              <w:left w:val="nil"/>
              <w:bottom w:val="single" w:sz="4" w:space="0" w:color="auto"/>
              <w:right w:val="single" w:sz="4" w:space="0" w:color="auto"/>
            </w:tcBorders>
            <w:shd w:val="clear" w:color="auto" w:fill="auto"/>
            <w:noWrap/>
            <w:vAlign w:val="bottom"/>
            <w:hideMark/>
          </w:tcPr>
          <w:p w14:paraId="2508E14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60B68E2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526" w:type="pct"/>
            <w:tcBorders>
              <w:top w:val="nil"/>
              <w:left w:val="nil"/>
              <w:bottom w:val="single" w:sz="4" w:space="0" w:color="auto"/>
              <w:right w:val="single" w:sz="4" w:space="0" w:color="auto"/>
            </w:tcBorders>
            <w:shd w:val="clear" w:color="auto" w:fill="auto"/>
            <w:noWrap/>
            <w:vAlign w:val="bottom"/>
            <w:hideMark/>
          </w:tcPr>
          <w:p w14:paraId="5678143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7ACFFC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2DCBDF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46.4</w:t>
            </w:r>
          </w:p>
        </w:tc>
        <w:tc>
          <w:tcPr>
            <w:tcW w:w="596" w:type="pct"/>
            <w:tcBorders>
              <w:top w:val="nil"/>
              <w:left w:val="nil"/>
              <w:bottom w:val="single" w:sz="4" w:space="0" w:color="auto"/>
              <w:right w:val="single" w:sz="4" w:space="0" w:color="auto"/>
            </w:tcBorders>
            <w:shd w:val="clear" w:color="auto" w:fill="auto"/>
            <w:noWrap/>
            <w:vAlign w:val="bottom"/>
            <w:hideMark/>
          </w:tcPr>
          <w:p w14:paraId="0971B78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51.37</w:t>
            </w:r>
          </w:p>
        </w:tc>
      </w:tr>
      <w:tr w:rsidR="00574BFB" w:rsidRPr="00574BFB" w14:paraId="0A9021B8"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6ED7E8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Jamaica</w:t>
            </w:r>
          </w:p>
        </w:tc>
        <w:tc>
          <w:tcPr>
            <w:tcW w:w="1108" w:type="pct"/>
            <w:tcBorders>
              <w:top w:val="nil"/>
              <w:left w:val="nil"/>
              <w:bottom w:val="single" w:sz="4" w:space="0" w:color="auto"/>
              <w:right w:val="single" w:sz="4" w:space="0" w:color="auto"/>
            </w:tcBorders>
            <w:shd w:val="clear" w:color="auto" w:fill="auto"/>
            <w:noWrap/>
            <w:vAlign w:val="bottom"/>
            <w:hideMark/>
          </w:tcPr>
          <w:p w14:paraId="201B05B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Tulloch-Reid1</w:t>
            </w:r>
          </w:p>
        </w:tc>
        <w:tc>
          <w:tcPr>
            <w:tcW w:w="530" w:type="pct"/>
            <w:tcBorders>
              <w:top w:val="nil"/>
              <w:left w:val="nil"/>
              <w:bottom w:val="single" w:sz="4" w:space="0" w:color="auto"/>
              <w:right w:val="single" w:sz="4" w:space="0" w:color="auto"/>
            </w:tcBorders>
            <w:shd w:val="clear" w:color="auto" w:fill="auto"/>
            <w:noWrap/>
            <w:vAlign w:val="bottom"/>
            <w:hideMark/>
          </w:tcPr>
          <w:p w14:paraId="47B6F1B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5063776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526" w:type="pct"/>
            <w:tcBorders>
              <w:top w:val="nil"/>
              <w:left w:val="nil"/>
              <w:bottom w:val="single" w:sz="4" w:space="0" w:color="auto"/>
              <w:right w:val="single" w:sz="4" w:space="0" w:color="auto"/>
            </w:tcBorders>
            <w:shd w:val="clear" w:color="auto" w:fill="auto"/>
            <w:noWrap/>
            <w:vAlign w:val="bottom"/>
            <w:hideMark/>
          </w:tcPr>
          <w:p w14:paraId="12E7C12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FE97A6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B0A036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6A3190E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7F9F10E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66A4DB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Jamaica</w:t>
            </w:r>
          </w:p>
        </w:tc>
        <w:tc>
          <w:tcPr>
            <w:tcW w:w="1108" w:type="pct"/>
            <w:tcBorders>
              <w:top w:val="nil"/>
              <w:left w:val="nil"/>
              <w:bottom w:val="single" w:sz="4" w:space="0" w:color="auto"/>
              <w:right w:val="single" w:sz="4" w:space="0" w:color="auto"/>
            </w:tcBorders>
            <w:shd w:val="clear" w:color="auto" w:fill="auto"/>
            <w:noWrap/>
            <w:vAlign w:val="bottom"/>
            <w:hideMark/>
          </w:tcPr>
          <w:p w14:paraId="4735007C"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Stringhini</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5760710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29DE286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526" w:type="pct"/>
            <w:tcBorders>
              <w:top w:val="nil"/>
              <w:left w:val="nil"/>
              <w:bottom w:val="single" w:sz="4" w:space="0" w:color="auto"/>
              <w:right w:val="single" w:sz="4" w:space="0" w:color="auto"/>
            </w:tcBorders>
            <w:shd w:val="clear" w:color="auto" w:fill="auto"/>
            <w:noWrap/>
            <w:vAlign w:val="bottom"/>
            <w:hideMark/>
          </w:tcPr>
          <w:p w14:paraId="4AC032E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A6ED3E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8C490B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47F0E57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1A8F9BE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457E9C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0BB11167"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Vinueza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22F54B2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3751BE0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526" w:type="pct"/>
            <w:tcBorders>
              <w:top w:val="nil"/>
              <w:left w:val="nil"/>
              <w:bottom w:val="single" w:sz="4" w:space="0" w:color="auto"/>
              <w:right w:val="single" w:sz="4" w:space="0" w:color="auto"/>
            </w:tcBorders>
            <w:shd w:val="clear" w:color="auto" w:fill="auto"/>
            <w:noWrap/>
            <w:vAlign w:val="bottom"/>
            <w:hideMark/>
          </w:tcPr>
          <w:p w14:paraId="55F3499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202.9</w:t>
            </w:r>
          </w:p>
        </w:tc>
        <w:tc>
          <w:tcPr>
            <w:tcW w:w="526" w:type="pct"/>
            <w:tcBorders>
              <w:top w:val="nil"/>
              <w:left w:val="nil"/>
              <w:bottom w:val="single" w:sz="4" w:space="0" w:color="auto"/>
              <w:right w:val="single" w:sz="4" w:space="0" w:color="auto"/>
            </w:tcBorders>
            <w:shd w:val="clear" w:color="auto" w:fill="auto"/>
            <w:noWrap/>
            <w:vAlign w:val="bottom"/>
            <w:hideMark/>
          </w:tcPr>
          <w:p w14:paraId="7159F64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118.7</w:t>
            </w:r>
          </w:p>
        </w:tc>
        <w:tc>
          <w:tcPr>
            <w:tcW w:w="526" w:type="pct"/>
            <w:tcBorders>
              <w:top w:val="nil"/>
              <w:left w:val="nil"/>
              <w:bottom w:val="single" w:sz="4" w:space="0" w:color="auto"/>
              <w:right w:val="single" w:sz="4" w:space="0" w:color="auto"/>
            </w:tcBorders>
            <w:shd w:val="clear" w:color="auto" w:fill="auto"/>
            <w:noWrap/>
            <w:vAlign w:val="bottom"/>
            <w:hideMark/>
          </w:tcPr>
          <w:p w14:paraId="234AAB6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49.2</w:t>
            </w:r>
          </w:p>
        </w:tc>
        <w:tc>
          <w:tcPr>
            <w:tcW w:w="596" w:type="pct"/>
            <w:tcBorders>
              <w:top w:val="nil"/>
              <w:left w:val="nil"/>
              <w:bottom w:val="single" w:sz="4" w:space="0" w:color="auto"/>
              <w:right w:val="single" w:sz="4" w:space="0" w:color="auto"/>
            </w:tcBorders>
            <w:shd w:val="clear" w:color="auto" w:fill="auto"/>
            <w:noWrap/>
            <w:vAlign w:val="bottom"/>
            <w:hideMark/>
          </w:tcPr>
          <w:p w14:paraId="029EA0E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183.9</w:t>
            </w:r>
          </w:p>
        </w:tc>
      </w:tr>
      <w:tr w:rsidR="00574BFB" w:rsidRPr="00574BFB" w14:paraId="2FD2C350"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25BD80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687BC52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Rosas-Saucedo</w:t>
            </w:r>
          </w:p>
        </w:tc>
        <w:tc>
          <w:tcPr>
            <w:tcW w:w="530" w:type="pct"/>
            <w:tcBorders>
              <w:top w:val="nil"/>
              <w:left w:val="nil"/>
              <w:bottom w:val="single" w:sz="4" w:space="0" w:color="auto"/>
              <w:right w:val="single" w:sz="4" w:space="0" w:color="auto"/>
            </w:tcBorders>
            <w:shd w:val="clear" w:color="auto" w:fill="auto"/>
            <w:noWrap/>
            <w:vAlign w:val="bottom"/>
            <w:hideMark/>
          </w:tcPr>
          <w:p w14:paraId="6F4875D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473" w:type="pct"/>
            <w:tcBorders>
              <w:top w:val="nil"/>
              <w:left w:val="nil"/>
              <w:bottom w:val="single" w:sz="4" w:space="0" w:color="auto"/>
              <w:right w:val="single" w:sz="4" w:space="0" w:color="auto"/>
            </w:tcBorders>
            <w:shd w:val="clear" w:color="auto" w:fill="auto"/>
            <w:noWrap/>
            <w:vAlign w:val="bottom"/>
            <w:hideMark/>
          </w:tcPr>
          <w:p w14:paraId="49DD83C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21679C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34AE8D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BD34B4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63FB03E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19FBD10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39BA59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452C36F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Sanchez-Corona</w:t>
            </w:r>
          </w:p>
        </w:tc>
        <w:tc>
          <w:tcPr>
            <w:tcW w:w="530" w:type="pct"/>
            <w:tcBorders>
              <w:top w:val="nil"/>
              <w:left w:val="nil"/>
              <w:bottom w:val="single" w:sz="4" w:space="0" w:color="auto"/>
              <w:right w:val="single" w:sz="4" w:space="0" w:color="auto"/>
            </w:tcBorders>
            <w:shd w:val="clear" w:color="auto" w:fill="auto"/>
            <w:noWrap/>
            <w:vAlign w:val="bottom"/>
            <w:hideMark/>
          </w:tcPr>
          <w:p w14:paraId="4C44B86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473" w:type="pct"/>
            <w:tcBorders>
              <w:top w:val="nil"/>
              <w:left w:val="nil"/>
              <w:bottom w:val="single" w:sz="4" w:space="0" w:color="auto"/>
              <w:right w:val="single" w:sz="4" w:space="0" w:color="auto"/>
            </w:tcBorders>
            <w:shd w:val="clear" w:color="auto" w:fill="auto"/>
            <w:noWrap/>
            <w:vAlign w:val="bottom"/>
            <w:hideMark/>
          </w:tcPr>
          <w:p w14:paraId="0362529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E07D75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185.62</w:t>
            </w:r>
          </w:p>
        </w:tc>
        <w:tc>
          <w:tcPr>
            <w:tcW w:w="526" w:type="pct"/>
            <w:tcBorders>
              <w:top w:val="nil"/>
              <w:left w:val="nil"/>
              <w:bottom w:val="single" w:sz="4" w:space="0" w:color="auto"/>
              <w:right w:val="single" w:sz="4" w:space="0" w:color="auto"/>
            </w:tcBorders>
            <w:shd w:val="clear" w:color="auto" w:fill="auto"/>
            <w:noWrap/>
            <w:vAlign w:val="bottom"/>
            <w:hideMark/>
          </w:tcPr>
          <w:p w14:paraId="3DDC953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25662B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57169FC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158.54</w:t>
            </w:r>
          </w:p>
        </w:tc>
      </w:tr>
      <w:tr w:rsidR="00574BFB" w:rsidRPr="00574BFB" w14:paraId="6314858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C8F0DE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4715234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Aguilar-Salinas</w:t>
            </w:r>
          </w:p>
        </w:tc>
        <w:tc>
          <w:tcPr>
            <w:tcW w:w="530" w:type="pct"/>
            <w:tcBorders>
              <w:top w:val="nil"/>
              <w:left w:val="nil"/>
              <w:bottom w:val="single" w:sz="4" w:space="0" w:color="auto"/>
              <w:right w:val="single" w:sz="4" w:space="0" w:color="auto"/>
            </w:tcBorders>
            <w:shd w:val="clear" w:color="auto" w:fill="auto"/>
            <w:noWrap/>
            <w:vAlign w:val="bottom"/>
            <w:hideMark/>
          </w:tcPr>
          <w:p w14:paraId="10F6EB8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2002</w:t>
            </w:r>
          </w:p>
        </w:tc>
        <w:tc>
          <w:tcPr>
            <w:tcW w:w="473" w:type="pct"/>
            <w:tcBorders>
              <w:top w:val="nil"/>
              <w:left w:val="nil"/>
              <w:bottom w:val="single" w:sz="4" w:space="0" w:color="auto"/>
              <w:right w:val="single" w:sz="4" w:space="0" w:color="auto"/>
            </w:tcBorders>
            <w:shd w:val="clear" w:color="auto" w:fill="auto"/>
            <w:noWrap/>
            <w:vAlign w:val="bottom"/>
            <w:hideMark/>
          </w:tcPr>
          <w:p w14:paraId="6BB57AB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1993</w:t>
            </w:r>
          </w:p>
        </w:tc>
        <w:tc>
          <w:tcPr>
            <w:tcW w:w="526" w:type="pct"/>
            <w:tcBorders>
              <w:top w:val="nil"/>
              <w:left w:val="nil"/>
              <w:bottom w:val="single" w:sz="4" w:space="0" w:color="auto"/>
              <w:right w:val="single" w:sz="4" w:space="0" w:color="auto"/>
            </w:tcBorders>
            <w:shd w:val="clear" w:color="auto" w:fill="auto"/>
            <w:noWrap/>
            <w:vAlign w:val="bottom"/>
            <w:hideMark/>
          </w:tcPr>
          <w:p w14:paraId="2C32C4C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174.05</w:t>
            </w:r>
          </w:p>
        </w:tc>
        <w:tc>
          <w:tcPr>
            <w:tcW w:w="526" w:type="pct"/>
            <w:tcBorders>
              <w:top w:val="nil"/>
              <w:left w:val="nil"/>
              <w:bottom w:val="single" w:sz="4" w:space="0" w:color="auto"/>
              <w:right w:val="single" w:sz="4" w:space="0" w:color="auto"/>
            </w:tcBorders>
            <w:shd w:val="clear" w:color="auto" w:fill="auto"/>
            <w:noWrap/>
            <w:vAlign w:val="bottom"/>
            <w:hideMark/>
          </w:tcPr>
          <w:p w14:paraId="32B40CF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0613CB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37.75</w:t>
            </w:r>
          </w:p>
        </w:tc>
        <w:tc>
          <w:tcPr>
            <w:tcW w:w="596" w:type="pct"/>
            <w:tcBorders>
              <w:top w:val="nil"/>
              <w:left w:val="nil"/>
              <w:bottom w:val="single" w:sz="4" w:space="0" w:color="auto"/>
              <w:right w:val="single" w:sz="4" w:space="0" w:color="auto"/>
            </w:tcBorders>
            <w:shd w:val="clear" w:color="auto" w:fill="auto"/>
            <w:noWrap/>
            <w:vAlign w:val="bottom"/>
            <w:hideMark/>
          </w:tcPr>
          <w:p w14:paraId="6D61FC2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199.37</w:t>
            </w:r>
          </w:p>
        </w:tc>
      </w:tr>
      <w:tr w:rsidR="00574BFB" w:rsidRPr="00574BFB" w14:paraId="53EF1C2C"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5530F4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7E7D764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Aguilar-Salinas</w:t>
            </w:r>
          </w:p>
        </w:tc>
        <w:tc>
          <w:tcPr>
            <w:tcW w:w="530" w:type="pct"/>
            <w:tcBorders>
              <w:top w:val="nil"/>
              <w:left w:val="nil"/>
              <w:bottom w:val="single" w:sz="4" w:space="0" w:color="auto"/>
              <w:right w:val="single" w:sz="4" w:space="0" w:color="auto"/>
            </w:tcBorders>
            <w:shd w:val="clear" w:color="auto" w:fill="auto"/>
            <w:noWrap/>
            <w:vAlign w:val="bottom"/>
            <w:hideMark/>
          </w:tcPr>
          <w:p w14:paraId="2E2F3BB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65129EB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2000</w:t>
            </w:r>
          </w:p>
        </w:tc>
        <w:tc>
          <w:tcPr>
            <w:tcW w:w="526" w:type="pct"/>
            <w:tcBorders>
              <w:top w:val="nil"/>
              <w:left w:val="nil"/>
              <w:bottom w:val="single" w:sz="4" w:space="0" w:color="auto"/>
              <w:right w:val="single" w:sz="4" w:space="0" w:color="auto"/>
            </w:tcBorders>
            <w:shd w:val="clear" w:color="auto" w:fill="auto"/>
            <w:noWrap/>
            <w:vAlign w:val="bottom"/>
            <w:hideMark/>
          </w:tcPr>
          <w:p w14:paraId="165EC38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196.4</w:t>
            </w:r>
          </w:p>
        </w:tc>
        <w:tc>
          <w:tcPr>
            <w:tcW w:w="526" w:type="pct"/>
            <w:tcBorders>
              <w:top w:val="nil"/>
              <w:left w:val="nil"/>
              <w:bottom w:val="single" w:sz="4" w:space="0" w:color="auto"/>
              <w:right w:val="single" w:sz="4" w:space="0" w:color="auto"/>
            </w:tcBorders>
            <w:shd w:val="clear" w:color="auto" w:fill="auto"/>
            <w:noWrap/>
            <w:vAlign w:val="bottom"/>
            <w:hideMark/>
          </w:tcPr>
          <w:p w14:paraId="4C7F894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112.53</w:t>
            </w:r>
          </w:p>
        </w:tc>
        <w:tc>
          <w:tcPr>
            <w:tcW w:w="526" w:type="pct"/>
            <w:tcBorders>
              <w:top w:val="nil"/>
              <w:left w:val="nil"/>
              <w:bottom w:val="single" w:sz="4" w:space="0" w:color="auto"/>
              <w:right w:val="single" w:sz="4" w:space="0" w:color="auto"/>
            </w:tcBorders>
            <w:shd w:val="clear" w:color="auto" w:fill="auto"/>
            <w:noWrap/>
            <w:vAlign w:val="bottom"/>
            <w:hideMark/>
          </w:tcPr>
          <w:p w14:paraId="53C238F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43.7</w:t>
            </w:r>
          </w:p>
        </w:tc>
        <w:tc>
          <w:tcPr>
            <w:tcW w:w="596" w:type="pct"/>
            <w:tcBorders>
              <w:top w:val="nil"/>
              <w:left w:val="nil"/>
              <w:bottom w:val="single" w:sz="4" w:space="0" w:color="auto"/>
              <w:right w:val="single" w:sz="4" w:space="0" w:color="auto"/>
            </w:tcBorders>
            <w:shd w:val="clear" w:color="auto" w:fill="auto"/>
            <w:noWrap/>
            <w:vAlign w:val="bottom"/>
            <w:hideMark/>
          </w:tcPr>
          <w:p w14:paraId="5D10433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r>
      <w:tr w:rsidR="00574BFB" w:rsidRPr="00574BFB" w14:paraId="6AD84F1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718AE9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lastRenderedPageBreak/>
              <w:t>Mexico</w:t>
            </w:r>
          </w:p>
        </w:tc>
        <w:tc>
          <w:tcPr>
            <w:tcW w:w="1108" w:type="pct"/>
            <w:tcBorders>
              <w:top w:val="nil"/>
              <w:left w:val="nil"/>
              <w:bottom w:val="single" w:sz="4" w:space="0" w:color="auto"/>
              <w:right w:val="single" w:sz="4" w:space="0" w:color="auto"/>
            </w:tcBorders>
            <w:shd w:val="clear" w:color="auto" w:fill="auto"/>
            <w:noWrap/>
            <w:vAlign w:val="bottom"/>
            <w:hideMark/>
          </w:tcPr>
          <w:p w14:paraId="28EF5C5B" w14:textId="77777777" w:rsidR="00574BFB" w:rsidRPr="00574BFB" w:rsidRDefault="00574BFB" w:rsidP="00574BFB">
            <w:pPr>
              <w:spacing w:after="0" w:line="240" w:lineRule="auto"/>
              <w:rPr>
                <w:rFonts w:ascii="Arial" w:eastAsia="Times New Roman" w:hAnsi="Arial" w:cs="Arial"/>
                <w:color w:val="000000"/>
                <w:sz w:val="16"/>
                <w:szCs w:val="16"/>
                <w:lang w:val="es-PE" w:eastAsia="en-GB"/>
              </w:rPr>
            </w:pPr>
            <w:r w:rsidRPr="00574BFB">
              <w:rPr>
                <w:rFonts w:ascii="Arial" w:eastAsia="Times New Roman" w:hAnsi="Arial" w:cs="Arial"/>
                <w:color w:val="000000"/>
                <w:sz w:val="16"/>
                <w:szCs w:val="16"/>
                <w:lang w:val="es-PE" w:eastAsia="en-GB"/>
              </w:rPr>
              <w:t xml:space="preserve">Escobedo de la </w:t>
            </w:r>
            <w:proofErr w:type="spellStart"/>
            <w:r w:rsidRPr="00574BFB">
              <w:rPr>
                <w:rFonts w:ascii="Arial" w:eastAsia="Times New Roman" w:hAnsi="Arial" w:cs="Arial"/>
                <w:color w:val="000000"/>
                <w:sz w:val="16"/>
                <w:szCs w:val="16"/>
                <w:lang w:val="es-PE" w:eastAsia="en-GB"/>
              </w:rPr>
              <w:t>PeÃ±a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1B6E60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2014</w:t>
            </w:r>
          </w:p>
        </w:tc>
        <w:tc>
          <w:tcPr>
            <w:tcW w:w="473" w:type="pct"/>
            <w:tcBorders>
              <w:top w:val="nil"/>
              <w:left w:val="nil"/>
              <w:bottom w:val="single" w:sz="4" w:space="0" w:color="auto"/>
              <w:right w:val="single" w:sz="4" w:space="0" w:color="auto"/>
            </w:tcBorders>
            <w:shd w:val="clear" w:color="auto" w:fill="auto"/>
            <w:noWrap/>
            <w:vAlign w:val="bottom"/>
            <w:hideMark/>
          </w:tcPr>
          <w:p w14:paraId="60A4562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526" w:type="pct"/>
            <w:tcBorders>
              <w:top w:val="nil"/>
              <w:left w:val="nil"/>
              <w:bottom w:val="single" w:sz="4" w:space="0" w:color="auto"/>
              <w:right w:val="single" w:sz="4" w:space="0" w:color="auto"/>
            </w:tcBorders>
            <w:shd w:val="clear" w:color="auto" w:fill="auto"/>
            <w:noWrap/>
            <w:vAlign w:val="bottom"/>
            <w:hideMark/>
          </w:tcPr>
          <w:p w14:paraId="1B897F9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202.9</w:t>
            </w:r>
          </w:p>
        </w:tc>
        <w:tc>
          <w:tcPr>
            <w:tcW w:w="526" w:type="pct"/>
            <w:tcBorders>
              <w:top w:val="nil"/>
              <w:left w:val="nil"/>
              <w:bottom w:val="single" w:sz="4" w:space="0" w:color="auto"/>
              <w:right w:val="single" w:sz="4" w:space="0" w:color="auto"/>
            </w:tcBorders>
            <w:shd w:val="clear" w:color="auto" w:fill="auto"/>
            <w:noWrap/>
            <w:vAlign w:val="bottom"/>
            <w:hideMark/>
          </w:tcPr>
          <w:p w14:paraId="04F1A76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118.7</w:t>
            </w:r>
          </w:p>
        </w:tc>
        <w:tc>
          <w:tcPr>
            <w:tcW w:w="526" w:type="pct"/>
            <w:tcBorders>
              <w:top w:val="nil"/>
              <w:left w:val="nil"/>
              <w:bottom w:val="single" w:sz="4" w:space="0" w:color="auto"/>
              <w:right w:val="single" w:sz="4" w:space="0" w:color="auto"/>
            </w:tcBorders>
            <w:shd w:val="clear" w:color="auto" w:fill="auto"/>
            <w:noWrap/>
            <w:vAlign w:val="bottom"/>
            <w:hideMark/>
          </w:tcPr>
          <w:p w14:paraId="45AF7CB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49.2</w:t>
            </w:r>
          </w:p>
        </w:tc>
        <w:tc>
          <w:tcPr>
            <w:tcW w:w="596" w:type="pct"/>
            <w:tcBorders>
              <w:top w:val="nil"/>
              <w:left w:val="nil"/>
              <w:bottom w:val="single" w:sz="4" w:space="0" w:color="auto"/>
              <w:right w:val="single" w:sz="4" w:space="0" w:color="auto"/>
            </w:tcBorders>
            <w:shd w:val="clear" w:color="auto" w:fill="auto"/>
            <w:noWrap/>
            <w:vAlign w:val="bottom"/>
            <w:hideMark/>
          </w:tcPr>
          <w:p w14:paraId="785187E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183.9</w:t>
            </w:r>
          </w:p>
        </w:tc>
      </w:tr>
      <w:tr w:rsidR="00574BFB" w:rsidRPr="00574BFB" w14:paraId="1544442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75EDDA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5D692CD9"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EchevarrÃ</w:t>
            </w:r>
            <w:r w:rsidRPr="00574BFB">
              <w:rPr>
                <w:rFonts w:ascii="Arial" w:eastAsia="Times New Roman" w:hAnsi="Arial" w:cs="Arial"/>
                <w:color w:val="000000"/>
                <w:sz w:val="16"/>
                <w:szCs w:val="16"/>
                <w:lang w:eastAsia="en-GB"/>
              </w:rPr>
              <w:softHyphen/>
              <w:t>a-Pinto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26EA65F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473" w:type="pct"/>
            <w:tcBorders>
              <w:top w:val="nil"/>
              <w:left w:val="nil"/>
              <w:bottom w:val="single" w:sz="4" w:space="0" w:color="auto"/>
              <w:right w:val="single" w:sz="4" w:space="0" w:color="auto"/>
            </w:tcBorders>
            <w:shd w:val="clear" w:color="auto" w:fill="auto"/>
            <w:noWrap/>
            <w:vAlign w:val="bottom"/>
            <w:hideMark/>
          </w:tcPr>
          <w:p w14:paraId="095756A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76A32F6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D5EAF9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48291E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00248D1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599130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6F66AF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6673AC0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Salas</w:t>
            </w:r>
          </w:p>
        </w:tc>
        <w:tc>
          <w:tcPr>
            <w:tcW w:w="530" w:type="pct"/>
            <w:tcBorders>
              <w:top w:val="nil"/>
              <w:left w:val="nil"/>
              <w:bottom w:val="single" w:sz="4" w:space="0" w:color="auto"/>
              <w:right w:val="single" w:sz="4" w:space="0" w:color="auto"/>
            </w:tcBorders>
            <w:shd w:val="clear" w:color="auto" w:fill="auto"/>
            <w:noWrap/>
            <w:vAlign w:val="bottom"/>
            <w:hideMark/>
          </w:tcPr>
          <w:p w14:paraId="7E9AA00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0CF9AAC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526" w:type="pct"/>
            <w:tcBorders>
              <w:top w:val="nil"/>
              <w:left w:val="nil"/>
              <w:bottom w:val="single" w:sz="4" w:space="0" w:color="auto"/>
              <w:right w:val="single" w:sz="4" w:space="0" w:color="auto"/>
            </w:tcBorders>
            <w:shd w:val="clear" w:color="auto" w:fill="auto"/>
            <w:noWrap/>
            <w:vAlign w:val="bottom"/>
            <w:hideMark/>
          </w:tcPr>
          <w:p w14:paraId="61182D7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794098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53EC38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53E00E7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169918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C7BB4C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60D424B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Rodriguez-Moran</w:t>
            </w:r>
          </w:p>
        </w:tc>
        <w:tc>
          <w:tcPr>
            <w:tcW w:w="530" w:type="pct"/>
            <w:tcBorders>
              <w:top w:val="nil"/>
              <w:left w:val="nil"/>
              <w:bottom w:val="single" w:sz="4" w:space="0" w:color="auto"/>
              <w:right w:val="single" w:sz="4" w:space="0" w:color="auto"/>
            </w:tcBorders>
            <w:shd w:val="clear" w:color="auto" w:fill="auto"/>
            <w:noWrap/>
            <w:vAlign w:val="bottom"/>
            <w:hideMark/>
          </w:tcPr>
          <w:p w14:paraId="45907CD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473" w:type="pct"/>
            <w:tcBorders>
              <w:top w:val="nil"/>
              <w:left w:val="nil"/>
              <w:bottom w:val="single" w:sz="4" w:space="0" w:color="auto"/>
              <w:right w:val="single" w:sz="4" w:space="0" w:color="auto"/>
            </w:tcBorders>
            <w:shd w:val="clear" w:color="auto" w:fill="auto"/>
            <w:noWrap/>
            <w:vAlign w:val="bottom"/>
            <w:hideMark/>
          </w:tcPr>
          <w:p w14:paraId="5311CBB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CC24C7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209.98</w:t>
            </w:r>
          </w:p>
        </w:tc>
        <w:tc>
          <w:tcPr>
            <w:tcW w:w="526" w:type="pct"/>
            <w:tcBorders>
              <w:top w:val="nil"/>
              <w:left w:val="nil"/>
              <w:bottom w:val="single" w:sz="4" w:space="0" w:color="auto"/>
              <w:right w:val="single" w:sz="4" w:space="0" w:color="auto"/>
            </w:tcBorders>
            <w:shd w:val="clear" w:color="auto" w:fill="auto"/>
            <w:noWrap/>
            <w:vAlign w:val="bottom"/>
            <w:hideMark/>
          </w:tcPr>
          <w:p w14:paraId="74FBF7D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135.34</w:t>
            </w:r>
          </w:p>
        </w:tc>
        <w:tc>
          <w:tcPr>
            <w:tcW w:w="526" w:type="pct"/>
            <w:tcBorders>
              <w:top w:val="nil"/>
              <w:left w:val="nil"/>
              <w:bottom w:val="single" w:sz="4" w:space="0" w:color="auto"/>
              <w:right w:val="single" w:sz="4" w:space="0" w:color="auto"/>
            </w:tcBorders>
            <w:shd w:val="clear" w:color="auto" w:fill="auto"/>
            <w:noWrap/>
            <w:vAlign w:val="bottom"/>
            <w:hideMark/>
          </w:tcPr>
          <w:p w14:paraId="015F32E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41.38</w:t>
            </w:r>
          </w:p>
        </w:tc>
        <w:tc>
          <w:tcPr>
            <w:tcW w:w="596" w:type="pct"/>
            <w:tcBorders>
              <w:top w:val="nil"/>
              <w:left w:val="nil"/>
              <w:bottom w:val="single" w:sz="4" w:space="0" w:color="auto"/>
              <w:right w:val="single" w:sz="4" w:space="0" w:color="auto"/>
            </w:tcBorders>
            <w:shd w:val="clear" w:color="auto" w:fill="auto"/>
            <w:noWrap/>
            <w:vAlign w:val="bottom"/>
            <w:hideMark/>
          </w:tcPr>
          <w:p w14:paraId="3C303B8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404.76</w:t>
            </w:r>
          </w:p>
        </w:tc>
      </w:tr>
      <w:tr w:rsidR="00574BFB" w:rsidRPr="00574BFB" w14:paraId="213FE41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A01A0C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5B826C0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Rodriguez-Ramirez</w:t>
            </w:r>
          </w:p>
        </w:tc>
        <w:tc>
          <w:tcPr>
            <w:tcW w:w="530" w:type="pct"/>
            <w:tcBorders>
              <w:top w:val="nil"/>
              <w:left w:val="nil"/>
              <w:bottom w:val="single" w:sz="4" w:space="0" w:color="auto"/>
              <w:right w:val="single" w:sz="4" w:space="0" w:color="auto"/>
            </w:tcBorders>
            <w:shd w:val="clear" w:color="auto" w:fill="auto"/>
            <w:noWrap/>
            <w:vAlign w:val="bottom"/>
            <w:hideMark/>
          </w:tcPr>
          <w:p w14:paraId="3577320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38C7A03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D5B58F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202.1</w:t>
            </w:r>
          </w:p>
        </w:tc>
        <w:tc>
          <w:tcPr>
            <w:tcW w:w="526" w:type="pct"/>
            <w:tcBorders>
              <w:top w:val="nil"/>
              <w:left w:val="nil"/>
              <w:bottom w:val="single" w:sz="4" w:space="0" w:color="auto"/>
              <w:right w:val="single" w:sz="4" w:space="0" w:color="auto"/>
            </w:tcBorders>
            <w:shd w:val="clear" w:color="auto" w:fill="auto"/>
            <w:noWrap/>
            <w:vAlign w:val="bottom"/>
            <w:hideMark/>
          </w:tcPr>
          <w:p w14:paraId="1470F1E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BFCA2D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43.6</w:t>
            </w:r>
          </w:p>
        </w:tc>
        <w:tc>
          <w:tcPr>
            <w:tcW w:w="596" w:type="pct"/>
            <w:tcBorders>
              <w:top w:val="nil"/>
              <w:left w:val="nil"/>
              <w:bottom w:val="single" w:sz="4" w:space="0" w:color="auto"/>
              <w:right w:val="single" w:sz="4" w:space="0" w:color="auto"/>
            </w:tcBorders>
            <w:shd w:val="clear" w:color="auto" w:fill="auto"/>
            <w:noWrap/>
            <w:vAlign w:val="bottom"/>
            <w:hideMark/>
          </w:tcPr>
          <w:p w14:paraId="35FF612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172.6</w:t>
            </w:r>
          </w:p>
        </w:tc>
      </w:tr>
      <w:tr w:rsidR="00574BFB" w:rsidRPr="00574BFB" w14:paraId="6DCCBF97"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B1E6A6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48E3AFC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Posadas-Romero</w:t>
            </w:r>
          </w:p>
        </w:tc>
        <w:tc>
          <w:tcPr>
            <w:tcW w:w="530" w:type="pct"/>
            <w:tcBorders>
              <w:top w:val="nil"/>
              <w:left w:val="nil"/>
              <w:bottom w:val="single" w:sz="4" w:space="0" w:color="auto"/>
              <w:right w:val="single" w:sz="4" w:space="0" w:color="auto"/>
            </w:tcBorders>
            <w:shd w:val="clear" w:color="auto" w:fill="auto"/>
            <w:noWrap/>
            <w:vAlign w:val="bottom"/>
            <w:hideMark/>
          </w:tcPr>
          <w:p w14:paraId="61DC3DE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1995</w:t>
            </w:r>
          </w:p>
        </w:tc>
        <w:tc>
          <w:tcPr>
            <w:tcW w:w="473" w:type="pct"/>
            <w:tcBorders>
              <w:top w:val="nil"/>
              <w:left w:val="nil"/>
              <w:bottom w:val="single" w:sz="4" w:space="0" w:color="auto"/>
              <w:right w:val="single" w:sz="4" w:space="0" w:color="auto"/>
            </w:tcBorders>
            <w:shd w:val="clear" w:color="auto" w:fill="auto"/>
            <w:noWrap/>
            <w:vAlign w:val="bottom"/>
            <w:hideMark/>
          </w:tcPr>
          <w:p w14:paraId="593F155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1987</w:t>
            </w:r>
          </w:p>
        </w:tc>
        <w:tc>
          <w:tcPr>
            <w:tcW w:w="526" w:type="pct"/>
            <w:tcBorders>
              <w:top w:val="nil"/>
              <w:left w:val="nil"/>
              <w:bottom w:val="single" w:sz="4" w:space="0" w:color="auto"/>
              <w:right w:val="single" w:sz="4" w:space="0" w:color="auto"/>
            </w:tcBorders>
            <w:shd w:val="clear" w:color="auto" w:fill="auto"/>
            <w:noWrap/>
            <w:vAlign w:val="bottom"/>
            <w:hideMark/>
          </w:tcPr>
          <w:p w14:paraId="642194D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185.83</w:t>
            </w:r>
          </w:p>
        </w:tc>
        <w:tc>
          <w:tcPr>
            <w:tcW w:w="526" w:type="pct"/>
            <w:tcBorders>
              <w:top w:val="nil"/>
              <w:left w:val="nil"/>
              <w:bottom w:val="single" w:sz="4" w:space="0" w:color="auto"/>
              <w:right w:val="single" w:sz="4" w:space="0" w:color="auto"/>
            </w:tcBorders>
            <w:shd w:val="clear" w:color="auto" w:fill="auto"/>
            <w:noWrap/>
            <w:vAlign w:val="bottom"/>
            <w:hideMark/>
          </w:tcPr>
          <w:p w14:paraId="775738A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825E60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0F6F97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9AB34D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2DEE5A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1C1C79B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Valdez</w:t>
            </w:r>
          </w:p>
        </w:tc>
        <w:tc>
          <w:tcPr>
            <w:tcW w:w="530" w:type="pct"/>
            <w:tcBorders>
              <w:top w:val="nil"/>
              <w:left w:val="nil"/>
              <w:bottom w:val="single" w:sz="4" w:space="0" w:color="auto"/>
              <w:right w:val="single" w:sz="4" w:space="0" w:color="auto"/>
            </w:tcBorders>
            <w:shd w:val="clear" w:color="auto" w:fill="auto"/>
            <w:noWrap/>
            <w:vAlign w:val="bottom"/>
            <w:hideMark/>
          </w:tcPr>
          <w:p w14:paraId="0B75BFE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1995</w:t>
            </w:r>
          </w:p>
        </w:tc>
        <w:tc>
          <w:tcPr>
            <w:tcW w:w="473" w:type="pct"/>
            <w:tcBorders>
              <w:top w:val="nil"/>
              <w:left w:val="nil"/>
              <w:bottom w:val="single" w:sz="4" w:space="0" w:color="auto"/>
              <w:right w:val="single" w:sz="4" w:space="0" w:color="auto"/>
            </w:tcBorders>
            <w:shd w:val="clear" w:color="auto" w:fill="auto"/>
            <w:noWrap/>
            <w:vAlign w:val="bottom"/>
            <w:hideMark/>
          </w:tcPr>
          <w:p w14:paraId="3F503F7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1991</w:t>
            </w:r>
          </w:p>
        </w:tc>
        <w:tc>
          <w:tcPr>
            <w:tcW w:w="526" w:type="pct"/>
            <w:tcBorders>
              <w:top w:val="nil"/>
              <w:left w:val="nil"/>
              <w:bottom w:val="single" w:sz="4" w:space="0" w:color="auto"/>
              <w:right w:val="single" w:sz="4" w:space="0" w:color="auto"/>
            </w:tcBorders>
            <w:shd w:val="clear" w:color="auto" w:fill="auto"/>
            <w:noWrap/>
            <w:vAlign w:val="bottom"/>
            <w:hideMark/>
          </w:tcPr>
          <w:p w14:paraId="049F685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190.76</w:t>
            </w:r>
          </w:p>
        </w:tc>
        <w:tc>
          <w:tcPr>
            <w:tcW w:w="526" w:type="pct"/>
            <w:tcBorders>
              <w:top w:val="nil"/>
              <w:left w:val="nil"/>
              <w:bottom w:val="single" w:sz="4" w:space="0" w:color="auto"/>
              <w:right w:val="single" w:sz="4" w:space="0" w:color="auto"/>
            </w:tcBorders>
            <w:shd w:val="clear" w:color="auto" w:fill="auto"/>
            <w:noWrap/>
            <w:vAlign w:val="bottom"/>
            <w:hideMark/>
          </w:tcPr>
          <w:p w14:paraId="7272763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123.28</w:t>
            </w:r>
          </w:p>
        </w:tc>
        <w:tc>
          <w:tcPr>
            <w:tcW w:w="526" w:type="pct"/>
            <w:tcBorders>
              <w:top w:val="nil"/>
              <w:left w:val="nil"/>
              <w:bottom w:val="single" w:sz="4" w:space="0" w:color="auto"/>
              <w:right w:val="single" w:sz="4" w:space="0" w:color="auto"/>
            </w:tcBorders>
            <w:shd w:val="clear" w:color="auto" w:fill="auto"/>
            <w:noWrap/>
            <w:vAlign w:val="bottom"/>
            <w:hideMark/>
          </w:tcPr>
          <w:p w14:paraId="2C2F21E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32.95</w:t>
            </w:r>
          </w:p>
        </w:tc>
        <w:tc>
          <w:tcPr>
            <w:tcW w:w="596" w:type="pct"/>
            <w:tcBorders>
              <w:top w:val="nil"/>
              <w:left w:val="nil"/>
              <w:bottom w:val="single" w:sz="4" w:space="0" w:color="auto"/>
              <w:right w:val="single" w:sz="4" w:space="0" w:color="auto"/>
            </w:tcBorders>
            <w:shd w:val="clear" w:color="auto" w:fill="auto"/>
            <w:noWrap/>
            <w:vAlign w:val="bottom"/>
            <w:hideMark/>
          </w:tcPr>
          <w:p w14:paraId="2734A50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176.43</w:t>
            </w:r>
          </w:p>
        </w:tc>
      </w:tr>
      <w:tr w:rsidR="00574BFB" w:rsidRPr="00574BFB" w14:paraId="4BE9F675"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817D4C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354AD5F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Kumar</w:t>
            </w:r>
          </w:p>
        </w:tc>
        <w:tc>
          <w:tcPr>
            <w:tcW w:w="530" w:type="pct"/>
            <w:tcBorders>
              <w:top w:val="nil"/>
              <w:left w:val="nil"/>
              <w:bottom w:val="single" w:sz="4" w:space="0" w:color="auto"/>
              <w:right w:val="single" w:sz="4" w:space="0" w:color="auto"/>
            </w:tcBorders>
            <w:shd w:val="clear" w:color="auto" w:fill="auto"/>
            <w:noWrap/>
            <w:vAlign w:val="bottom"/>
            <w:hideMark/>
          </w:tcPr>
          <w:p w14:paraId="12FF78B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6DC6D45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2001</w:t>
            </w:r>
          </w:p>
        </w:tc>
        <w:tc>
          <w:tcPr>
            <w:tcW w:w="526" w:type="pct"/>
            <w:tcBorders>
              <w:top w:val="nil"/>
              <w:left w:val="nil"/>
              <w:bottom w:val="single" w:sz="4" w:space="0" w:color="auto"/>
              <w:right w:val="single" w:sz="4" w:space="0" w:color="auto"/>
            </w:tcBorders>
            <w:shd w:val="clear" w:color="auto" w:fill="auto"/>
            <w:noWrap/>
            <w:vAlign w:val="bottom"/>
            <w:hideMark/>
          </w:tcPr>
          <w:p w14:paraId="7FCD72A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7B4A1E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7B2D82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631C335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64158E68"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9A0B14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54BDFBA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xml:space="preserve">Hernandez </w:t>
            </w:r>
          </w:p>
        </w:tc>
        <w:tc>
          <w:tcPr>
            <w:tcW w:w="530" w:type="pct"/>
            <w:tcBorders>
              <w:top w:val="nil"/>
              <w:left w:val="nil"/>
              <w:bottom w:val="single" w:sz="4" w:space="0" w:color="auto"/>
              <w:right w:val="single" w:sz="4" w:space="0" w:color="auto"/>
            </w:tcBorders>
            <w:shd w:val="clear" w:color="auto" w:fill="auto"/>
            <w:noWrap/>
            <w:vAlign w:val="bottom"/>
            <w:hideMark/>
          </w:tcPr>
          <w:p w14:paraId="176B65F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2017</w:t>
            </w:r>
          </w:p>
        </w:tc>
        <w:tc>
          <w:tcPr>
            <w:tcW w:w="473" w:type="pct"/>
            <w:tcBorders>
              <w:top w:val="nil"/>
              <w:left w:val="nil"/>
              <w:bottom w:val="single" w:sz="4" w:space="0" w:color="auto"/>
              <w:right w:val="single" w:sz="4" w:space="0" w:color="auto"/>
            </w:tcBorders>
            <w:shd w:val="clear" w:color="auto" w:fill="auto"/>
            <w:noWrap/>
            <w:vAlign w:val="bottom"/>
            <w:hideMark/>
          </w:tcPr>
          <w:p w14:paraId="0E32C49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2012</w:t>
            </w:r>
          </w:p>
        </w:tc>
        <w:tc>
          <w:tcPr>
            <w:tcW w:w="526" w:type="pct"/>
            <w:tcBorders>
              <w:top w:val="nil"/>
              <w:left w:val="nil"/>
              <w:bottom w:val="single" w:sz="4" w:space="0" w:color="auto"/>
              <w:right w:val="single" w:sz="4" w:space="0" w:color="auto"/>
            </w:tcBorders>
            <w:shd w:val="clear" w:color="auto" w:fill="auto"/>
            <w:noWrap/>
            <w:vAlign w:val="bottom"/>
            <w:hideMark/>
          </w:tcPr>
          <w:p w14:paraId="4CABA55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193</w:t>
            </w:r>
          </w:p>
        </w:tc>
        <w:tc>
          <w:tcPr>
            <w:tcW w:w="526" w:type="pct"/>
            <w:tcBorders>
              <w:top w:val="nil"/>
              <w:left w:val="nil"/>
              <w:bottom w:val="single" w:sz="4" w:space="0" w:color="auto"/>
              <w:right w:val="single" w:sz="4" w:space="0" w:color="auto"/>
            </w:tcBorders>
            <w:shd w:val="clear" w:color="auto" w:fill="auto"/>
            <w:noWrap/>
            <w:vAlign w:val="bottom"/>
            <w:hideMark/>
          </w:tcPr>
          <w:p w14:paraId="6FF41E4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33A71C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42C571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181.5</w:t>
            </w:r>
          </w:p>
        </w:tc>
      </w:tr>
      <w:tr w:rsidR="00574BFB" w:rsidRPr="00574BFB" w14:paraId="5812E275"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A050B2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1E8A2CD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Posadas-Romero</w:t>
            </w:r>
          </w:p>
        </w:tc>
        <w:tc>
          <w:tcPr>
            <w:tcW w:w="530" w:type="pct"/>
            <w:tcBorders>
              <w:top w:val="nil"/>
              <w:left w:val="nil"/>
              <w:bottom w:val="single" w:sz="4" w:space="0" w:color="auto"/>
              <w:right w:val="single" w:sz="4" w:space="0" w:color="auto"/>
            </w:tcBorders>
            <w:shd w:val="clear" w:color="auto" w:fill="auto"/>
            <w:noWrap/>
            <w:vAlign w:val="bottom"/>
            <w:hideMark/>
          </w:tcPr>
          <w:p w14:paraId="35E7F5A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1994</w:t>
            </w:r>
          </w:p>
        </w:tc>
        <w:tc>
          <w:tcPr>
            <w:tcW w:w="473" w:type="pct"/>
            <w:tcBorders>
              <w:top w:val="nil"/>
              <w:left w:val="nil"/>
              <w:bottom w:val="single" w:sz="4" w:space="0" w:color="auto"/>
              <w:right w:val="single" w:sz="4" w:space="0" w:color="auto"/>
            </w:tcBorders>
            <w:shd w:val="clear" w:color="auto" w:fill="auto"/>
            <w:noWrap/>
            <w:vAlign w:val="bottom"/>
            <w:hideMark/>
          </w:tcPr>
          <w:p w14:paraId="1EC6BEB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1991</w:t>
            </w:r>
          </w:p>
        </w:tc>
        <w:tc>
          <w:tcPr>
            <w:tcW w:w="526" w:type="pct"/>
            <w:tcBorders>
              <w:top w:val="nil"/>
              <w:left w:val="nil"/>
              <w:bottom w:val="single" w:sz="4" w:space="0" w:color="auto"/>
              <w:right w:val="single" w:sz="4" w:space="0" w:color="auto"/>
            </w:tcBorders>
            <w:shd w:val="clear" w:color="auto" w:fill="auto"/>
            <w:noWrap/>
            <w:vAlign w:val="bottom"/>
            <w:hideMark/>
          </w:tcPr>
          <w:p w14:paraId="498F1FD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206.88</w:t>
            </w:r>
          </w:p>
        </w:tc>
        <w:tc>
          <w:tcPr>
            <w:tcW w:w="526" w:type="pct"/>
            <w:tcBorders>
              <w:top w:val="nil"/>
              <w:left w:val="nil"/>
              <w:bottom w:val="single" w:sz="4" w:space="0" w:color="auto"/>
              <w:right w:val="single" w:sz="4" w:space="0" w:color="auto"/>
            </w:tcBorders>
            <w:shd w:val="clear" w:color="auto" w:fill="auto"/>
            <w:noWrap/>
            <w:vAlign w:val="bottom"/>
            <w:hideMark/>
          </w:tcPr>
          <w:p w14:paraId="12C4444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138.44</w:t>
            </w:r>
          </w:p>
        </w:tc>
        <w:tc>
          <w:tcPr>
            <w:tcW w:w="526" w:type="pct"/>
            <w:tcBorders>
              <w:top w:val="nil"/>
              <w:left w:val="nil"/>
              <w:bottom w:val="single" w:sz="4" w:space="0" w:color="auto"/>
              <w:right w:val="single" w:sz="4" w:space="0" w:color="auto"/>
            </w:tcBorders>
            <w:shd w:val="clear" w:color="auto" w:fill="auto"/>
            <w:noWrap/>
            <w:vAlign w:val="bottom"/>
            <w:hideMark/>
          </w:tcPr>
          <w:p w14:paraId="0E7C503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43.31</w:t>
            </w:r>
          </w:p>
        </w:tc>
        <w:tc>
          <w:tcPr>
            <w:tcW w:w="596" w:type="pct"/>
            <w:tcBorders>
              <w:top w:val="nil"/>
              <w:left w:val="nil"/>
              <w:bottom w:val="single" w:sz="4" w:space="0" w:color="auto"/>
              <w:right w:val="single" w:sz="4" w:space="0" w:color="auto"/>
            </w:tcBorders>
            <w:shd w:val="clear" w:color="auto" w:fill="auto"/>
            <w:noWrap/>
            <w:vAlign w:val="bottom"/>
            <w:hideMark/>
          </w:tcPr>
          <w:p w14:paraId="521DB0C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157.65</w:t>
            </w:r>
          </w:p>
        </w:tc>
      </w:tr>
      <w:tr w:rsidR="00574BFB" w:rsidRPr="00574BFB" w14:paraId="1BC67F3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786967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3148408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Aguilar</w:t>
            </w:r>
          </w:p>
        </w:tc>
        <w:tc>
          <w:tcPr>
            <w:tcW w:w="530" w:type="pct"/>
            <w:tcBorders>
              <w:top w:val="nil"/>
              <w:left w:val="nil"/>
              <w:bottom w:val="single" w:sz="4" w:space="0" w:color="auto"/>
              <w:right w:val="single" w:sz="4" w:space="0" w:color="auto"/>
            </w:tcBorders>
            <w:shd w:val="clear" w:color="auto" w:fill="auto"/>
            <w:noWrap/>
            <w:vAlign w:val="bottom"/>
            <w:hideMark/>
          </w:tcPr>
          <w:p w14:paraId="3BDF81C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1999</w:t>
            </w:r>
          </w:p>
        </w:tc>
        <w:tc>
          <w:tcPr>
            <w:tcW w:w="473" w:type="pct"/>
            <w:tcBorders>
              <w:top w:val="nil"/>
              <w:left w:val="nil"/>
              <w:bottom w:val="single" w:sz="4" w:space="0" w:color="auto"/>
              <w:right w:val="single" w:sz="4" w:space="0" w:color="auto"/>
            </w:tcBorders>
            <w:shd w:val="clear" w:color="auto" w:fill="auto"/>
            <w:noWrap/>
            <w:vAlign w:val="bottom"/>
            <w:hideMark/>
          </w:tcPr>
          <w:p w14:paraId="0883C01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16CD65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165</w:t>
            </w:r>
          </w:p>
        </w:tc>
        <w:tc>
          <w:tcPr>
            <w:tcW w:w="526" w:type="pct"/>
            <w:tcBorders>
              <w:top w:val="nil"/>
              <w:left w:val="nil"/>
              <w:bottom w:val="single" w:sz="4" w:space="0" w:color="auto"/>
              <w:right w:val="single" w:sz="4" w:space="0" w:color="auto"/>
            </w:tcBorders>
            <w:shd w:val="clear" w:color="auto" w:fill="auto"/>
            <w:noWrap/>
            <w:vAlign w:val="bottom"/>
            <w:hideMark/>
          </w:tcPr>
          <w:p w14:paraId="0766E8D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1FEA2B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42</w:t>
            </w:r>
          </w:p>
        </w:tc>
        <w:tc>
          <w:tcPr>
            <w:tcW w:w="596" w:type="pct"/>
            <w:tcBorders>
              <w:top w:val="nil"/>
              <w:left w:val="nil"/>
              <w:bottom w:val="single" w:sz="4" w:space="0" w:color="auto"/>
              <w:right w:val="single" w:sz="4" w:space="0" w:color="auto"/>
            </w:tcBorders>
            <w:shd w:val="clear" w:color="auto" w:fill="auto"/>
            <w:noWrap/>
            <w:vAlign w:val="bottom"/>
            <w:hideMark/>
          </w:tcPr>
          <w:p w14:paraId="70B646C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126</w:t>
            </w:r>
          </w:p>
        </w:tc>
      </w:tr>
      <w:tr w:rsidR="00574BFB" w:rsidRPr="00574BFB" w14:paraId="0F227EB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90B0D9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28142A13"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Ferrannini</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289EEFC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473" w:type="pct"/>
            <w:tcBorders>
              <w:top w:val="nil"/>
              <w:left w:val="nil"/>
              <w:bottom w:val="single" w:sz="4" w:space="0" w:color="auto"/>
              <w:right w:val="single" w:sz="4" w:space="0" w:color="auto"/>
            </w:tcBorders>
            <w:shd w:val="clear" w:color="auto" w:fill="auto"/>
            <w:noWrap/>
            <w:vAlign w:val="bottom"/>
            <w:hideMark/>
          </w:tcPr>
          <w:p w14:paraId="7462373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6EDAF4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769C60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118.02</w:t>
            </w:r>
          </w:p>
        </w:tc>
        <w:tc>
          <w:tcPr>
            <w:tcW w:w="526" w:type="pct"/>
            <w:tcBorders>
              <w:top w:val="nil"/>
              <w:left w:val="nil"/>
              <w:bottom w:val="single" w:sz="4" w:space="0" w:color="auto"/>
              <w:right w:val="single" w:sz="4" w:space="0" w:color="auto"/>
            </w:tcBorders>
            <w:shd w:val="clear" w:color="auto" w:fill="auto"/>
            <w:noWrap/>
            <w:vAlign w:val="bottom"/>
            <w:hideMark/>
          </w:tcPr>
          <w:p w14:paraId="4FDDE96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33.37</w:t>
            </w:r>
          </w:p>
        </w:tc>
        <w:tc>
          <w:tcPr>
            <w:tcW w:w="596" w:type="pct"/>
            <w:tcBorders>
              <w:top w:val="nil"/>
              <w:left w:val="nil"/>
              <w:bottom w:val="single" w:sz="4" w:space="0" w:color="auto"/>
              <w:right w:val="single" w:sz="4" w:space="0" w:color="auto"/>
            </w:tcBorders>
            <w:shd w:val="clear" w:color="auto" w:fill="auto"/>
            <w:noWrap/>
            <w:vAlign w:val="bottom"/>
            <w:hideMark/>
          </w:tcPr>
          <w:p w14:paraId="0F501AD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211.42</w:t>
            </w:r>
          </w:p>
        </w:tc>
      </w:tr>
      <w:tr w:rsidR="00574BFB" w:rsidRPr="00574BFB" w14:paraId="4522486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96375A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37A4DB8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Aguilar-Salinas</w:t>
            </w:r>
          </w:p>
        </w:tc>
        <w:tc>
          <w:tcPr>
            <w:tcW w:w="530" w:type="pct"/>
            <w:tcBorders>
              <w:top w:val="nil"/>
              <w:left w:val="nil"/>
              <w:bottom w:val="single" w:sz="4" w:space="0" w:color="auto"/>
              <w:right w:val="single" w:sz="4" w:space="0" w:color="auto"/>
            </w:tcBorders>
            <w:shd w:val="clear" w:color="auto" w:fill="auto"/>
            <w:noWrap/>
            <w:vAlign w:val="bottom"/>
            <w:hideMark/>
          </w:tcPr>
          <w:p w14:paraId="4A86F12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35DD817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526" w:type="pct"/>
            <w:tcBorders>
              <w:top w:val="nil"/>
              <w:left w:val="nil"/>
              <w:bottom w:val="single" w:sz="4" w:space="0" w:color="auto"/>
              <w:right w:val="single" w:sz="4" w:space="0" w:color="auto"/>
            </w:tcBorders>
            <w:shd w:val="clear" w:color="auto" w:fill="auto"/>
            <w:noWrap/>
            <w:vAlign w:val="bottom"/>
            <w:hideMark/>
          </w:tcPr>
          <w:p w14:paraId="0DBB889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198.5</w:t>
            </w:r>
          </w:p>
        </w:tc>
        <w:tc>
          <w:tcPr>
            <w:tcW w:w="526" w:type="pct"/>
            <w:tcBorders>
              <w:top w:val="nil"/>
              <w:left w:val="nil"/>
              <w:bottom w:val="single" w:sz="4" w:space="0" w:color="auto"/>
              <w:right w:val="single" w:sz="4" w:space="0" w:color="auto"/>
            </w:tcBorders>
            <w:shd w:val="clear" w:color="auto" w:fill="auto"/>
            <w:noWrap/>
            <w:vAlign w:val="bottom"/>
            <w:hideMark/>
          </w:tcPr>
          <w:p w14:paraId="6E74001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131.5</w:t>
            </w:r>
          </w:p>
        </w:tc>
        <w:tc>
          <w:tcPr>
            <w:tcW w:w="526" w:type="pct"/>
            <w:tcBorders>
              <w:top w:val="nil"/>
              <w:left w:val="nil"/>
              <w:bottom w:val="single" w:sz="4" w:space="0" w:color="auto"/>
              <w:right w:val="single" w:sz="4" w:space="0" w:color="auto"/>
            </w:tcBorders>
            <w:shd w:val="clear" w:color="auto" w:fill="auto"/>
            <w:noWrap/>
            <w:vAlign w:val="bottom"/>
            <w:hideMark/>
          </w:tcPr>
          <w:p w14:paraId="733365A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38.9</w:t>
            </w:r>
          </w:p>
        </w:tc>
        <w:tc>
          <w:tcPr>
            <w:tcW w:w="596" w:type="pct"/>
            <w:tcBorders>
              <w:top w:val="nil"/>
              <w:left w:val="nil"/>
              <w:bottom w:val="single" w:sz="4" w:space="0" w:color="auto"/>
              <w:right w:val="single" w:sz="4" w:space="0" w:color="auto"/>
            </w:tcBorders>
            <w:shd w:val="clear" w:color="auto" w:fill="auto"/>
            <w:noWrap/>
            <w:vAlign w:val="bottom"/>
            <w:hideMark/>
          </w:tcPr>
          <w:p w14:paraId="15CF19E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139.6</w:t>
            </w:r>
          </w:p>
        </w:tc>
      </w:tr>
      <w:tr w:rsidR="00574BFB" w:rsidRPr="00574BFB" w14:paraId="68D145D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F3F7C5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Mexico</w:t>
            </w:r>
          </w:p>
        </w:tc>
        <w:tc>
          <w:tcPr>
            <w:tcW w:w="1108" w:type="pct"/>
            <w:tcBorders>
              <w:top w:val="nil"/>
              <w:left w:val="nil"/>
              <w:bottom w:val="single" w:sz="4" w:space="0" w:color="auto"/>
              <w:right w:val="single" w:sz="4" w:space="0" w:color="auto"/>
            </w:tcBorders>
            <w:shd w:val="clear" w:color="auto" w:fill="auto"/>
            <w:noWrap/>
            <w:vAlign w:val="bottom"/>
            <w:hideMark/>
          </w:tcPr>
          <w:p w14:paraId="5191096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Gonzales-Villalpando</w:t>
            </w:r>
          </w:p>
        </w:tc>
        <w:tc>
          <w:tcPr>
            <w:tcW w:w="530" w:type="pct"/>
            <w:tcBorders>
              <w:top w:val="nil"/>
              <w:left w:val="nil"/>
              <w:bottom w:val="single" w:sz="4" w:space="0" w:color="auto"/>
              <w:right w:val="single" w:sz="4" w:space="0" w:color="auto"/>
            </w:tcBorders>
            <w:shd w:val="clear" w:color="auto" w:fill="auto"/>
            <w:noWrap/>
            <w:vAlign w:val="bottom"/>
            <w:hideMark/>
          </w:tcPr>
          <w:p w14:paraId="4423071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1999</w:t>
            </w:r>
          </w:p>
        </w:tc>
        <w:tc>
          <w:tcPr>
            <w:tcW w:w="473" w:type="pct"/>
            <w:tcBorders>
              <w:top w:val="nil"/>
              <w:left w:val="nil"/>
              <w:bottom w:val="single" w:sz="4" w:space="0" w:color="auto"/>
              <w:right w:val="single" w:sz="4" w:space="0" w:color="auto"/>
            </w:tcBorders>
            <w:shd w:val="clear" w:color="auto" w:fill="auto"/>
            <w:noWrap/>
            <w:vAlign w:val="bottom"/>
            <w:hideMark/>
          </w:tcPr>
          <w:p w14:paraId="0ED4DB0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6E42A5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A38E9F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122.74</w:t>
            </w:r>
          </w:p>
        </w:tc>
        <w:tc>
          <w:tcPr>
            <w:tcW w:w="526" w:type="pct"/>
            <w:tcBorders>
              <w:top w:val="nil"/>
              <w:left w:val="nil"/>
              <w:bottom w:val="single" w:sz="4" w:space="0" w:color="auto"/>
              <w:right w:val="single" w:sz="4" w:space="0" w:color="auto"/>
            </w:tcBorders>
            <w:shd w:val="clear" w:color="auto" w:fill="auto"/>
            <w:noWrap/>
            <w:vAlign w:val="bottom"/>
            <w:hideMark/>
          </w:tcPr>
          <w:p w14:paraId="0473FEC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32.83</w:t>
            </w:r>
          </w:p>
        </w:tc>
        <w:tc>
          <w:tcPr>
            <w:tcW w:w="596" w:type="pct"/>
            <w:tcBorders>
              <w:top w:val="nil"/>
              <w:left w:val="nil"/>
              <w:bottom w:val="single" w:sz="4" w:space="0" w:color="auto"/>
              <w:right w:val="single" w:sz="4" w:space="0" w:color="auto"/>
            </w:tcBorders>
            <w:shd w:val="clear" w:color="auto" w:fill="auto"/>
            <w:noWrap/>
            <w:vAlign w:val="bottom"/>
            <w:hideMark/>
          </w:tcPr>
          <w:p w14:paraId="7101B03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210.96</w:t>
            </w:r>
          </w:p>
        </w:tc>
      </w:tr>
      <w:tr w:rsidR="00574BFB" w:rsidRPr="00574BFB" w14:paraId="11ADB6F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F70C3F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Nicaragua</w:t>
            </w:r>
          </w:p>
        </w:tc>
        <w:tc>
          <w:tcPr>
            <w:tcW w:w="1108" w:type="pct"/>
            <w:tcBorders>
              <w:top w:val="nil"/>
              <w:left w:val="nil"/>
              <w:bottom w:val="single" w:sz="4" w:space="0" w:color="auto"/>
              <w:right w:val="single" w:sz="4" w:space="0" w:color="auto"/>
            </w:tcBorders>
            <w:shd w:val="clear" w:color="auto" w:fill="auto"/>
            <w:noWrap/>
            <w:vAlign w:val="bottom"/>
            <w:hideMark/>
          </w:tcPr>
          <w:p w14:paraId="6419939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Wong-McClure</w:t>
            </w:r>
          </w:p>
        </w:tc>
        <w:tc>
          <w:tcPr>
            <w:tcW w:w="530" w:type="pct"/>
            <w:tcBorders>
              <w:top w:val="nil"/>
              <w:left w:val="nil"/>
              <w:bottom w:val="single" w:sz="4" w:space="0" w:color="auto"/>
              <w:right w:val="single" w:sz="4" w:space="0" w:color="auto"/>
            </w:tcBorders>
            <w:shd w:val="clear" w:color="auto" w:fill="auto"/>
            <w:noWrap/>
            <w:vAlign w:val="bottom"/>
            <w:hideMark/>
          </w:tcPr>
          <w:p w14:paraId="443F298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4628B93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2356746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6BBA1A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7364E0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695C36C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0CEE0193"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0514A0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59917A4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Salas</w:t>
            </w:r>
          </w:p>
        </w:tc>
        <w:tc>
          <w:tcPr>
            <w:tcW w:w="530" w:type="pct"/>
            <w:tcBorders>
              <w:top w:val="nil"/>
              <w:left w:val="nil"/>
              <w:bottom w:val="single" w:sz="4" w:space="0" w:color="auto"/>
              <w:right w:val="single" w:sz="4" w:space="0" w:color="auto"/>
            </w:tcBorders>
            <w:shd w:val="clear" w:color="auto" w:fill="auto"/>
            <w:noWrap/>
            <w:vAlign w:val="bottom"/>
            <w:hideMark/>
          </w:tcPr>
          <w:p w14:paraId="3D0DF00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5ABE39B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526" w:type="pct"/>
            <w:tcBorders>
              <w:top w:val="nil"/>
              <w:left w:val="nil"/>
              <w:bottom w:val="single" w:sz="4" w:space="0" w:color="auto"/>
              <w:right w:val="single" w:sz="4" w:space="0" w:color="auto"/>
            </w:tcBorders>
            <w:shd w:val="clear" w:color="auto" w:fill="auto"/>
            <w:noWrap/>
            <w:vAlign w:val="bottom"/>
            <w:hideMark/>
          </w:tcPr>
          <w:p w14:paraId="4EBA423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A8BB63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CDA1B3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65318E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37AB3BD0"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1BF20B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3C571526"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Seclen</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73D338A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473" w:type="pct"/>
            <w:tcBorders>
              <w:top w:val="nil"/>
              <w:left w:val="nil"/>
              <w:bottom w:val="single" w:sz="4" w:space="0" w:color="auto"/>
              <w:right w:val="single" w:sz="4" w:space="0" w:color="auto"/>
            </w:tcBorders>
            <w:shd w:val="clear" w:color="auto" w:fill="auto"/>
            <w:noWrap/>
            <w:vAlign w:val="bottom"/>
            <w:hideMark/>
          </w:tcPr>
          <w:p w14:paraId="093072E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2000</w:t>
            </w:r>
          </w:p>
        </w:tc>
        <w:tc>
          <w:tcPr>
            <w:tcW w:w="526" w:type="pct"/>
            <w:tcBorders>
              <w:top w:val="nil"/>
              <w:left w:val="nil"/>
              <w:bottom w:val="single" w:sz="4" w:space="0" w:color="auto"/>
              <w:right w:val="single" w:sz="4" w:space="0" w:color="auto"/>
            </w:tcBorders>
            <w:shd w:val="clear" w:color="auto" w:fill="auto"/>
            <w:noWrap/>
            <w:vAlign w:val="bottom"/>
            <w:hideMark/>
          </w:tcPr>
          <w:p w14:paraId="22B59A1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BE4E30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6E5933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54.14</w:t>
            </w:r>
          </w:p>
        </w:tc>
        <w:tc>
          <w:tcPr>
            <w:tcW w:w="596" w:type="pct"/>
            <w:tcBorders>
              <w:top w:val="nil"/>
              <w:left w:val="nil"/>
              <w:bottom w:val="single" w:sz="4" w:space="0" w:color="auto"/>
              <w:right w:val="single" w:sz="4" w:space="0" w:color="auto"/>
            </w:tcBorders>
            <w:shd w:val="clear" w:color="auto" w:fill="auto"/>
            <w:noWrap/>
            <w:vAlign w:val="bottom"/>
            <w:hideMark/>
          </w:tcPr>
          <w:p w14:paraId="304DE73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144.37</w:t>
            </w:r>
          </w:p>
        </w:tc>
      </w:tr>
      <w:tr w:rsidR="00574BFB" w:rsidRPr="00574BFB" w14:paraId="7B7D96E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F225B7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241B302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Soto</w:t>
            </w:r>
          </w:p>
        </w:tc>
        <w:tc>
          <w:tcPr>
            <w:tcW w:w="530" w:type="pct"/>
            <w:tcBorders>
              <w:top w:val="nil"/>
              <w:left w:val="nil"/>
              <w:bottom w:val="single" w:sz="4" w:space="0" w:color="auto"/>
              <w:right w:val="single" w:sz="4" w:space="0" w:color="auto"/>
            </w:tcBorders>
            <w:shd w:val="clear" w:color="auto" w:fill="auto"/>
            <w:noWrap/>
            <w:vAlign w:val="bottom"/>
            <w:hideMark/>
          </w:tcPr>
          <w:p w14:paraId="42133F2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473" w:type="pct"/>
            <w:tcBorders>
              <w:top w:val="nil"/>
              <w:left w:val="nil"/>
              <w:bottom w:val="single" w:sz="4" w:space="0" w:color="auto"/>
              <w:right w:val="single" w:sz="4" w:space="0" w:color="auto"/>
            </w:tcBorders>
            <w:shd w:val="clear" w:color="auto" w:fill="auto"/>
            <w:noWrap/>
            <w:vAlign w:val="bottom"/>
            <w:hideMark/>
          </w:tcPr>
          <w:p w14:paraId="776AA61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526" w:type="pct"/>
            <w:tcBorders>
              <w:top w:val="nil"/>
              <w:left w:val="nil"/>
              <w:bottom w:val="single" w:sz="4" w:space="0" w:color="auto"/>
              <w:right w:val="single" w:sz="4" w:space="0" w:color="auto"/>
            </w:tcBorders>
            <w:shd w:val="clear" w:color="auto" w:fill="auto"/>
            <w:noWrap/>
            <w:vAlign w:val="bottom"/>
            <w:hideMark/>
          </w:tcPr>
          <w:p w14:paraId="5172A1E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203.6</w:t>
            </w:r>
          </w:p>
        </w:tc>
        <w:tc>
          <w:tcPr>
            <w:tcW w:w="526" w:type="pct"/>
            <w:tcBorders>
              <w:top w:val="nil"/>
              <w:left w:val="nil"/>
              <w:bottom w:val="single" w:sz="4" w:space="0" w:color="auto"/>
              <w:right w:val="single" w:sz="4" w:space="0" w:color="auto"/>
            </w:tcBorders>
            <w:shd w:val="clear" w:color="auto" w:fill="auto"/>
            <w:noWrap/>
            <w:vAlign w:val="bottom"/>
            <w:hideMark/>
          </w:tcPr>
          <w:p w14:paraId="35BA54A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84EE29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48.1</w:t>
            </w:r>
          </w:p>
        </w:tc>
        <w:tc>
          <w:tcPr>
            <w:tcW w:w="596" w:type="pct"/>
            <w:tcBorders>
              <w:top w:val="nil"/>
              <w:left w:val="nil"/>
              <w:bottom w:val="single" w:sz="4" w:space="0" w:color="auto"/>
              <w:right w:val="single" w:sz="4" w:space="0" w:color="auto"/>
            </w:tcBorders>
            <w:shd w:val="clear" w:color="auto" w:fill="auto"/>
            <w:noWrap/>
            <w:vAlign w:val="bottom"/>
            <w:hideMark/>
          </w:tcPr>
          <w:p w14:paraId="1558673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161</w:t>
            </w:r>
          </w:p>
        </w:tc>
      </w:tr>
      <w:tr w:rsidR="00574BFB" w:rsidRPr="00574BFB" w14:paraId="5C18A5C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C14076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476C8CED"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Vinueza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2A6734C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546026C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526" w:type="pct"/>
            <w:tcBorders>
              <w:top w:val="nil"/>
              <w:left w:val="nil"/>
              <w:bottom w:val="single" w:sz="4" w:space="0" w:color="auto"/>
              <w:right w:val="single" w:sz="4" w:space="0" w:color="auto"/>
            </w:tcBorders>
            <w:shd w:val="clear" w:color="auto" w:fill="auto"/>
            <w:noWrap/>
            <w:vAlign w:val="bottom"/>
            <w:hideMark/>
          </w:tcPr>
          <w:p w14:paraId="07BCAFD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188.4</w:t>
            </w:r>
          </w:p>
        </w:tc>
        <w:tc>
          <w:tcPr>
            <w:tcW w:w="526" w:type="pct"/>
            <w:tcBorders>
              <w:top w:val="nil"/>
              <w:left w:val="nil"/>
              <w:bottom w:val="single" w:sz="4" w:space="0" w:color="auto"/>
              <w:right w:val="single" w:sz="4" w:space="0" w:color="auto"/>
            </w:tcBorders>
            <w:shd w:val="clear" w:color="auto" w:fill="auto"/>
            <w:noWrap/>
            <w:vAlign w:val="bottom"/>
            <w:hideMark/>
          </w:tcPr>
          <w:p w14:paraId="6CB33F4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121.5</w:t>
            </w:r>
          </w:p>
        </w:tc>
        <w:tc>
          <w:tcPr>
            <w:tcW w:w="526" w:type="pct"/>
            <w:tcBorders>
              <w:top w:val="nil"/>
              <w:left w:val="nil"/>
              <w:bottom w:val="single" w:sz="4" w:space="0" w:color="auto"/>
              <w:right w:val="single" w:sz="4" w:space="0" w:color="auto"/>
            </w:tcBorders>
            <w:shd w:val="clear" w:color="auto" w:fill="auto"/>
            <w:noWrap/>
            <w:vAlign w:val="bottom"/>
            <w:hideMark/>
          </w:tcPr>
          <w:p w14:paraId="33901F2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39.4</w:t>
            </w:r>
          </w:p>
        </w:tc>
        <w:tc>
          <w:tcPr>
            <w:tcW w:w="596" w:type="pct"/>
            <w:tcBorders>
              <w:top w:val="nil"/>
              <w:left w:val="nil"/>
              <w:bottom w:val="single" w:sz="4" w:space="0" w:color="auto"/>
              <w:right w:val="single" w:sz="4" w:space="0" w:color="auto"/>
            </w:tcBorders>
            <w:shd w:val="clear" w:color="auto" w:fill="auto"/>
            <w:noWrap/>
            <w:vAlign w:val="bottom"/>
            <w:hideMark/>
          </w:tcPr>
          <w:p w14:paraId="3B08CFC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140.3</w:t>
            </w:r>
          </w:p>
        </w:tc>
      </w:tr>
      <w:tr w:rsidR="00574BFB" w:rsidRPr="00574BFB" w14:paraId="3698975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89C362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5BD764B7"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Benzinger</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713FB0C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336E66A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2D65589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4050BC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0A1801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EBD134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1511E6D3"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6F24EF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68CBAD85"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Quispe</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68CCC11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1217D61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526" w:type="pct"/>
            <w:tcBorders>
              <w:top w:val="nil"/>
              <w:left w:val="nil"/>
              <w:bottom w:val="single" w:sz="4" w:space="0" w:color="auto"/>
              <w:right w:val="single" w:sz="4" w:space="0" w:color="auto"/>
            </w:tcBorders>
            <w:shd w:val="clear" w:color="auto" w:fill="auto"/>
            <w:noWrap/>
            <w:vAlign w:val="bottom"/>
            <w:hideMark/>
          </w:tcPr>
          <w:p w14:paraId="377DD2B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10917C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4E15B8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5481DD4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0BA474F2"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AD0E8D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6B8094A8"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Baracco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3ED3DF4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61287B9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2002</w:t>
            </w:r>
          </w:p>
        </w:tc>
        <w:tc>
          <w:tcPr>
            <w:tcW w:w="526" w:type="pct"/>
            <w:tcBorders>
              <w:top w:val="nil"/>
              <w:left w:val="nil"/>
              <w:bottom w:val="single" w:sz="4" w:space="0" w:color="auto"/>
              <w:right w:val="single" w:sz="4" w:space="0" w:color="auto"/>
            </w:tcBorders>
            <w:shd w:val="clear" w:color="auto" w:fill="auto"/>
            <w:noWrap/>
            <w:vAlign w:val="bottom"/>
            <w:hideMark/>
          </w:tcPr>
          <w:p w14:paraId="6919DB1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FF70B0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36DCC5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53.83</w:t>
            </w:r>
          </w:p>
        </w:tc>
        <w:tc>
          <w:tcPr>
            <w:tcW w:w="596" w:type="pct"/>
            <w:tcBorders>
              <w:top w:val="nil"/>
              <w:left w:val="nil"/>
              <w:bottom w:val="single" w:sz="4" w:space="0" w:color="auto"/>
              <w:right w:val="single" w:sz="4" w:space="0" w:color="auto"/>
            </w:tcBorders>
            <w:shd w:val="clear" w:color="auto" w:fill="auto"/>
            <w:noWrap/>
            <w:vAlign w:val="bottom"/>
            <w:hideMark/>
          </w:tcPr>
          <w:p w14:paraId="0644776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156.41</w:t>
            </w:r>
          </w:p>
        </w:tc>
      </w:tr>
      <w:tr w:rsidR="00574BFB" w:rsidRPr="00574BFB" w14:paraId="02D9E372"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F271DF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5AB4589A"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Benziger</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53B7F2A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2018</w:t>
            </w:r>
          </w:p>
        </w:tc>
        <w:tc>
          <w:tcPr>
            <w:tcW w:w="473" w:type="pct"/>
            <w:tcBorders>
              <w:top w:val="nil"/>
              <w:left w:val="nil"/>
              <w:bottom w:val="single" w:sz="4" w:space="0" w:color="auto"/>
              <w:right w:val="single" w:sz="4" w:space="0" w:color="auto"/>
            </w:tcBorders>
            <w:shd w:val="clear" w:color="auto" w:fill="auto"/>
            <w:noWrap/>
            <w:vAlign w:val="bottom"/>
            <w:hideMark/>
          </w:tcPr>
          <w:p w14:paraId="52E58B7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526" w:type="pct"/>
            <w:tcBorders>
              <w:top w:val="nil"/>
              <w:left w:val="nil"/>
              <w:bottom w:val="single" w:sz="4" w:space="0" w:color="auto"/>
              <w:right w:val="single" w:sz="4" w:space="0" w:color="auto"/>
            </w:tcBorders>
            <w:shd w:val="clear" w:color="auto" w:fill="auto"/>
            <w:noWrap/>
            <w:vAlign w:val="bottom"/>
            <w:hideMark/>
          </w:tcPr>
          <w:p w14:paraId="4B2381E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C3AA36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09B7A4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47AE3FF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6FE28ED"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BF73CA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56DF4510"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Benziger</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4E69589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3A789AA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526" w:type="pct"/>
            <w:tcBorders>
              <w:top w:val="nil"/>
              <w:left w:val="nil"/>
              <w:bottom w:val="single" w:sz="4" w:space="0" w:color="auto"/>
              <w:right w:val="single" w:sz="4" w:space="0" w:color="auto"/>
            </w:tcBorders>
            <w:shd w:val="clear" w:color="auto" w:fill="auto"/>
            <w:noWrap/>
            <w:vAlign w:val="bottom"/>
            <w:hideMark/>
          </w:tcPr>
          <w:p w14:paraId="3FD1036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07C7C5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2BB852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41.49</w:t>
            </w:r>
          </w:p>
        </w:tc>
        <w:tc>
          <w:tcPr>
            <w:tcW w:w="596" w:type="pct"/>
            <w:tcBorders>
              <w:top w:val="nil"/>
              <w:left w:val="nil"/>
              <w:bottom w:val="single" w:sz="4" w:space="0" w:color="auto"/>
              <w:right w:val="single" w:sz="4" w:space="0" w:color="auto"/>
            </w:tcBorders>
            <w:shd w:val="clear" w:color="auto" w:fill="auto"/>
            <w:noWrap/>
            <w:vAlign w:val="bottom"/>
            <w:hideMark/>
          </w:tcPr>
          <w:p w14:paraId="7EEFF7B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160.62</w:t>
            </w:r>
          </w:p>
        </w:tc>
      </w:tr>
      <w:tr w:rsidR="00574BFB" w:rsidRPr="00574BFB" w14:paraId="4EE49ED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F74EE0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73DC6BE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Chirinos</w:t>
            </w:r>
          </w:p>
        </w:tc>
        <w:tc>
          <w:tcPr>
            <w:tcW w:w="530" w:type="pct"/>
            <w:tcBorders>
              <w:top w:val="nil"/>
              <w:left w:val="nil"/>
              <w:bottom w:val="single" w:sz="4" w:space="0" w:color="auto"/>
              <w:right w:val="single" w:sz="4" w:space="0" w:color="auto"/>
            </w:tcBorders>
            <w:shd w:val="clear" w:color="auto" w:fill="auto"/>
            <w:noWrap/>
            <w:vAlign w:val="bottom"/>
            <w:hideMark/>
          </w:tcPr>
          <w:p w14:paraId="6A23F2A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2014</w:t>
            </w:r>
          </w:p>
        </w:tc>
        <w:tc>
          <w:tcPr>
            <w:tcW w:w="473" w:type="pct"/>
            <w:tcBorders>
              <w:top w:val="nil"/>
              <w:left w:val="nil"/>
              <w:bottom w:val="single" w:sz="4" w:space="0" w:color="auto"/>
              <w:right w:val="single" w:sz="4" w:space="0" w:color="auto"/>
            </w:tcBorders>
            <w:shd w:val="clear" w:color="auto" w:fill="auto"/>
            <w:noWrap/>
            <w:vAlign w:val="bottom"/>
            <w:hideMark/>
          </w:tcPr>
          <w:p w14:paraId="0020CF0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5B2272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E94586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115.18</w:t>
            </w:r>
          </w:p>
        </w:tc>
        <w:tc>
          <w:tcPr>
            <w:tcW w:w="526" w:type="pct"/>
            <w:tcBorders>
              <w:top w:val="nil"/>
              <w:left w:val="nil"/>
              <w:bottom w:val="single" w:sz="4" w:space="0" w:color="auto"/>
              <w:right w:val="single" w:sz="4" w:space="0" w:color="auto"/>
            </w:tcBorders>
            <w:shd w:val="clear" w:color="auto" w:fill="auto"/>
            <w:noWrap/>
            <w:vAlign w:val="bottom"/>
            <w:hideMark/>
          </w:tcPr>
          <w:p w14:paraId="3C0F9AA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46.18</w:t>
            </w:r>
          </w:p>
        </w:tc>
        <w:tc>
          <w:tcPr>
            <w:tcW w:w="596" w:type="pct"/>
            <w:tcBorders>
              <w:top w:val="nil"/>
              <w:left w:val="nil"/>
              <w:bottom w:val="single" w:sz="4" w:space="0" w:color="auto"/>
              <w:right w:val="single" w:sz="4" w:space="0" w:color="auto"/>
            </w:tcBorders>
            <w:shd w:val="clear" w:color="auto" w:fill="auto"/>
            <w:noWrap/>
            <w:vAlign w:val="bottom"/>
            <w:hideMark/>
          </w:tcPr>
          <w:p w14:paraId="3DADC82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152.35</w:t>
            </w:r>
          </w:p>
        </w:tc>
      </w:tr>
      <w:tr w:rsidR="00574BFB" w:rsidRPr="00574BFB" w14:paraId="1D16C377"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3AF798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6DD6D3F6"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Seclen</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658E77F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1999</w:t>
            </w:r>
          </w:p>
        </w:tc>
        <w:tc>
          <w:tcPr>
            <w:tcW w:w="473" w:type="pct"/>
            <w:tcBorders>
              <w:top w:val="nil"/>
              <w:left w:val="nil"/>
              <w:bottom w:val="single" w:sz="4" w:space="0" w:color="auto"/>
              <w:right w:val="single" w:sz="4" w:space="0" w:color="auto"/>
            </w:tcBorders>
            <w:shd w:val="clear" w:color="auto" w:fill="auto"/>
            <w:noWrap/>
            <w:vAlign w:val="bottom"/>
            <w:hideMark/>
          </w:tcPr>
          <w:p w14:paraId="259DBC8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F55CFB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A0FAA4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604421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3C68D74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7E0AA73B"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D55607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1F62332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xml:space="preserve">Goldstein </w:t>
            </w:r>
          </w:p>
        </w:tc>
        <w:tc>
          <w:tcPr>
            <w:tcW w:w="530" w:type="pct"/>
            <w:tcBorders>
              <w:top w:val="nil"/>
              <w:left w:val="nil"/>
              <w:bottom w:val="single" w:sz="4" w:space="0" w:color="auto"/>
              <w:right w:val="single" w:sz="4" w:space="0" w:color="auto"/>
            </w:tcBorders>
            <w:shd w:val="clear" w:color="auto" w:fill="auto"/>
            <w:noWrap/>
            <w:vAlign w:val="bottom"/>
            <w:hideMark/>
          </w:tcPr>
          <w:p w14:paraId="155075E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473" w:type="pct"/>
            <w:tcBorders>
              <w:top w:val="nil"/>
              <w:left w:val="nil"/>
              <w:bottom w:val="single" w:sz="4" w:space="0" w:color="auto"/>
              <w:right w:val="single" w:sz="4" w:space="0" w:color="auto"/>
            </w:tcBorders>
            <w:shd w:val="clear" w:color="auto" w:fill="auto"/>
            <w:noWrap/>
            <w:vAlign w:val="bottom"/>
            <w:hideMark/>
          </w:tcPr>
          <w:p w14:paraId="4AC7A42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1999</w:t>
            </w:r>
          </w:p>
        </w:tc>
        <w:tc>
          <w:tcPr>
            <w:tcW w:w="526" w:type="pct"/>
            <w:tcBorders>
              <w:top w:val="nil"/>
              <w:left w:val="nil"/>
              <w:bottom w:val="single" w:sz="4" w:space="0" w:color="auto"/>
              <w:right w:val="single" w:sz="4" w:space="0" w:color="auto"/>
            </w:tcBorders>
            <w:shd w:val="clear" w:color="auto" w:fill="auto"/>
            <w:noWrap/>
            <w:vAlign w:val="bottom"/>
            <w:hideMark/>
          </w:tcPr>
          <w:p w14:paraId="67F1AE2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DB318A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AC4F27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096A37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25A3D3B"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9BE84C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1CF9D52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Medina-Lezama</w:t>
            </w:r>
          </w:p>
        </w:tc>
        <w:tc>
          <w:tcPr>
            <w:tcW w:w="530" w:type="pct"/>
            <w:tcBorders>
              <w:top w:val="nil"/>
              <w:left w:val="nil"/>
              <w:bottom w:val="single" w:sz="4" w:space="0" w:color="auto"/>
              <w:right w:val="single" w:sz="4" w:space="0" w:color="auto"/>
            </w:tcBorders>
            <w:shd w:val="clear" w:color="auto" w:fill="auto"/>
            <w:noWrap/>
            <w:vAlign w:val="bottom"/>
            <w:hideMark/>
          </w:tcPr>
          <w:p w14:paraId="377274C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473" w:type="pct"/>
            <w:tcBorders>
              <w:top w:val="nil"/>
              <w:left w:val="nil"/>
              <w:bottom w:val="single" w:sz="4" w:space="0" w:color="auto"/>
              <w:right w:val="single" w:sz="4" w:space="0" w:color="auto"/>
            </w:tcBorders>
            <w:shd w:val="clear" w:color="auto" w:fill="auto"/>
            <w:noWrap/>
            <w:vAlign w:val="bottom"/>
            <w:hideMark/>
          </w:tcPr>
          <w:p w14:paraId="3CF6168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47CB5A5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201.52</w:t>
            </w:r>
          </w:p>
        </w:tc>
        <w:tc>
          <w:tcPr>
            <w:tcW w:w="526" w:type="pct"/>
            <w:tcBorders>
              <w:top w:val="nil"/>
              <w:left w:val="nil"/>
              <w:bottom w:val="single" w:sz="4" w:space="0" w:color="auto"/>
              <w:right w:val="single" w:sz="4" w:space="0" w:color="auto"/>
            </w:tcBorders>
            <w:shd w:val="clear" w:color="auto" w:fill="auto"/>
            <w:noWrap/>
            <w:vAlign w:val="bottom"/>
            <w:hideMark/>
          </w:tcPr>
          <w:p w14:paraId="5F567E6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43BD60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568E0B7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E14BF85"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AEBBCF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40BD93A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Miranda</w:t>
            </w:r>
          </w:p>
        </w:tc>
        <w:tc>
          <w:tcPr>
            <w:tcW w:w="530" w:type="pct"/>
            <w:tcBorders>
              <w:top w:val="nil"/>
              <w:left w:val="nil"/>
              <w:bottom w:val="single" w:sz="4" w:space="0" w:color="auto"/>
              <w:right w:val="single" w:sz="4" w:space="0" w:color="auto"/>
            </w:tcBorders>
            <w:shd w:val="clear" w:color="auto" w:fill="auto"/>
            <w:noWrap/>
            <w:vAlign w:val="bottom"/>
            <w:hideMark/>
          </w:tcPr>
          <w:p w14:paraId="43D6E0A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25758F8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526" w:type="pct"/>
            <w:tcBorders>
              <w:top w:val="nil"/>
              <w:left w:val="nil"/>
              <w:bottom w:val="single" w:sz="4" w:space="0" w:color="auto"/>
              <w:right w:val="single" w:sz="4" w:space="0" w:color="auto"/>
            </w:tcBorders>
            <w:shd w:val="clear" w:color="auto" w:fill="auto"/>
            <w:noWrap/>
            <w:vAlign w:val="bottom"/>
            <w:hideMark/>
          </w:tcPr>
          <w:p w14:paraId="2A11247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184.49</w:t>
            </w:r>
          </w:p>
        </w:tc>
        <w:tc>
          <w:tcPr>
            <w:tcW w:w="526" w:type="pct"/>
            <w:tcBorders>
              <w:top w:val="nil"/>
              <w:left w:val="nil"/>
              <w:bottom w:val="single" w:sz="4" w:space="0" w:color="auto"/>
              <w:right w:val="single" w:sz="4" w:space="0" w:color="auto"/>
            </w:tcBorders>
            <w:shd w:val="clear" w:color="auto" w:fill="auto"/>
            <w:noWrap/>
            <w:vAlign w:val="bottom"/>
            <w:hideMark/>
          </w:tcPr>
          <w:p w14:paraId="6EB08F9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110.53</w:t>
            </w:r>
          </w:p>
        </w:tc>
        <w:tc>
          <w:tcPr>
            <w:tcW w:w="526" w:type="pct"/>
            <w:tcBorders>
              <w:top w:val="nil"/>
              <w:left w:val="nil"/>
              <w:bottom w:val="single" w:sz="4" w:space="0" w:color="auto"/>
              <w:right w:val="single" w:sz="4" w:space="0" w:color="auto"/>
            </w:tcBorders>
            <w:shd w:val="clear" w:color="auto" w:fill="auto"/>
            <w:noWrap/>
            <w:vAlign w:val="bottom"/>
            <w:hideMark/>
          </w:tcPr>
          <w:p w14:paraId="0681941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44.1</w:t>
            </w:r>
          </w:p>
        </w:tc>
        <w:tc>
          <w:tcPr>
            <w:tcW w:w="596" w:type="pct"/>
            <w:tcBorders>
              <w:top w:val="nil"/>
              <w:left w:val="nil"/>
              <w:bottom w:val="single" w:sz="4" w:space="0" w:color="auto"/>
              <w:right w:val="single" w:sz="4" w:space="0" w:color="auto"/>
            </w:tcBorders>
            <w:shd w:val="clear" w:color="auto" w:fill="auto"/>
            <w:noWrap/>
            <w:vAlign w:val="bottom"/>
            <w:hideMark/>
          </w:tcPr>
          <w:p w14:paraId="3419D53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129.34</w:t>
            </w:r>
          </w:p>
        </w:tc>
      </w:tr>
      <w:tr w:rsidR="00574BFB" w:rsidRPr="00574BFB" w14:paraId="08959F66"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D0441C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lastRenderedPageBreak/>
              <w:t>Peru</w:t>
            </w:r>
          </w:p>
        </w:tc>
        <w:tc>
          <w:tcPr>
            <w:tcW w:w="1108" w:type="pct"/>
            <w:tcBorders>
              <w:top w:val="nil"/>
              <w:left w:val="nil"/>
              <w:bottom w:val="single" w:sz="4" w:space="0" w:color="auto"/>
              <w:right w:val="single" w:sz="4" w:space="0" w:color="auto"/>
            </w:tcBorders>
            <w:shd w:val="clear" w:color="auto" w:fill="auto"/>
            <w:noWrap/>
            <w:vAlign w:val="bottom"/>
            <w:hideMark/>
          </w:tcPr>
          <w:p w14:paraId="075C882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Malaga</w:t>
            </w:r>
          </w:p>
        </w:tc>
        <w:tc>
          <w:tcPr>
            <w:tcW w:w="530" w:type="pct"/>
            <w:tcBorders>
              <w:top w:val="nil"/>
              <w:left w:val="nil"/>
              <w:bottom w:val="single" w:sz="4" w:space="0" w:color="auto"/>
              <w:right w:val="single" w:sz="4" w:space="0" w:color="auto"/>
            </w:tcBorders>
            <w:shd w:val="clear" w:color="auto" w:fill="auto"/>
            <w:noWrap/>
            <w:vAlign w:val="bottom"/>
            <w:hideMark/>
          </w:tcPr>
          <w:p w14:paraId="03DFE24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3EF7F09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526" w:type="pct"/>
            <w:tcBorders>
              <w:top w:val="nil"/>
              <w:left w:val="nil"/>
              <w:bottom w:val="single" w:sz="4" w:space="0" w:color="auto"/>
              <w:right w:val="single" w:sz="4" w:space="0" w:color="auto"/>
            </w:tcBorders>
            <w:shd w:val="clear" w:color="auto" w:fill="auto"/>
            <w:noWrap/>
            <w:vAlign w:val="bottom"/>
            <w:hideMark/>
          </w:tcPr>
          <w:p w14:paraId="48D6B3C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FBC36C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28E6DC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4D170E8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C21BF32"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F10C8A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71EF464C"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Gaziano</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368CD52"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6699721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526" w:type="pct"/>
            <w:tcBorders>
              <w:top w:val="nil"/>
              <w:left w:val="nil"/>
              <w:bottom w:val="single" w:sz="4" w:space="0" w:color="auto"/>
              <w:right w:val="single" w:sz="4" w:space="0" w:color="auto"/>
            </w:tcBorders>
            <w:shd w:val="clear" w:color="auto" w:fill="auto"/>
            <w:noWrap/>
            <w:vAlign w:val="bottom"/>
            <w:hideMark/>
          </w:tcPr>
          <w:p w14:paraId="27B9E79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200.2</w:t>
            </w:r>
          </w:p>
        </w:tc>
        <w:tc>
          <w:tcPr>
            <w:tcW w:w="526" w:type="pct"/>
            <w:tcBorders>
              <w:top w:val="nil"/>
              <w:left w:val="nil"/>
              <w:bottom w:val="single" w:sz="4" w:space="0" w:color="auto"/>
              <w:right w:val="single" w:sz="4" w:space="0" w:color="auto"/>
            </w:tcBorders>
            <w:shd w:val="clear" w:color="auto" w:fill="auto"/>
            <w:noWrap/>
            <w:vAlign w:val="bottom"/>
            <w:hideMark/>
          </w:tcPr>
          <w:p w14:paraId="21F7726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CEC1F9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79841B8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815333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5B0CC6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3A9DC90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xml:space="preserve">Gonzales </w:t>
            </w:r>
          </w:p>
        </w:tc>
        <w:tc>
          <w:tcPr>
            <w:tcW w:w="530" w:type="pct"/>
            <w:tcBorders>
              <w:top w:val="nil"/>
              <w:left w:val="nil"/>
              <w:bottom w:val="single" w:sz="4" w:space="0" w:color="auto"/>
              <w:right w:val="single" w:sz="4" w:space="0" w:color="auto"/>
            </w:tcBorders>
            <w:shd w:val="clear" w:color="auto" w:fill="auto"/>
            <w:noWrap/>
            <w:vAlign w:val="bottom"/>
            <w:hideMark/>
          </w:tcPr>
          <w:p w14:paraId="5236144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7FB559A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526" w:type="pct"/>
            <w:tcBorders>
              <w:top w:val="nil"/>
              <w:left w:val="nil"/>
              <w:bottom w:val="single" w:sz="4" w:space="0" w:color="auto"/>
              <w:right w:val="single" w:sz="4" w:space="0" w:color="auto"/>
            </w:tcBorders>
            <w:shd w:val="clear" w:color="auto" w:fill="auto"/>
            <w:noWrap/>
            <w:vAlign w:val="bottom"/>
            <w:hideMark/>
          </w:tcPr>
          <w:p w14:paraId="6B3D8F1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170.18</w:t>
            </w:r>
          </w:p>
        </w:tc>
        <w:tc>
          <w:tcPr>
            <w:tcW w:w="526" w:type="pct"/>
            <w:tcBorders>
              <w:top w:val="nil"/>
              <w:left w:val="nil"/>
              <w:bottom w:val="single" w:sz="4" w:space="0" w:color="auto"/>
              <w:right w:val="single" w:sz="4" w:space="0" w:color="auto"/>
            </w:tcBorders>
            <w:shd w:val="clear" w:color="auto" w:fill="auto"/>
            <w:noWrap/>
            <w:vAlign w:val="bottom"/>
            <w:hideMark/>
          </w:tcPr>
          <w:p w14:paraId="33A8734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102.62</w:t>
            </w:r>
          </w:p>
        </w:tc>
        <w:tc>
          <w:tcPr>
            <w:tcW w:w="526" w:type="pct"/>
            <w:tcBorders>
              <w:top w:val="nil"/>
              <w:left w:val="nil"/>
              <w:bottom w:val="single" w:sz="4" w:space="0" w:color="auto"/>
              <w:right w:val="single" w:sz="4" w:space="0" w:color="auto"/>
            </w:tcBorders>
            <w:shd w:val="clear" w:color="auto" w:fill="auto"/>
            <w:noWrap/>
            <w:vAlign w:val="bottom"/>
            <w:hideMark/>
          </w:tcPr>
          <w:p w14:paraId="605C1F1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36.61</w:t>
            </w:r>
          </w:p>
        </w:tc>
        <w:tc>
          <w:tcPr>
            <w:tcW w:w="596" w:type="pct"/>
            <w:tcBorders>
              <w:top w:val="nil"/>
              <w:left w:val="nil"/>
              <w:bottom w:val="single" w:sz="4" w:space="0" w:color="auto"/>
              <w:right w:val="single" w:sz="4" w:space="0" w:color="auto"/>
            </w:tcBorders>
            <w:shd w:val="clear" w:color="auto" w:fill="auto"/>
            <w:noWrap/>
            <w:vAlign w:val="bottom"/>
            <w:hideMark/>
          </w:tcPr>
          <w:p w14:paraId="4922D36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182.63</w:t>
            </w:r>
          </w:p>
        </w:tc>
      </w:tr>
      <w:tr w:rsidR="00574BFB" w:rsidRPr="00574BFB" w14:paraId="0EE8E5EC"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405BB20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Peru</w:t>
            </w:r>
          </w:p>
        </w:tc>
        <w:tc>
          <w:tcPr>
            <w:tcW w:w="1108" w:type="pct"/>
            <w:tcBorders>
              <w:top w:val="nil"/>
              <w:left w:val="nil"/>
              <w:bottom w:val="single" w:sz="4" w:space="0" w:color="auto"/>
              <w:right w:val="single" w:sz="4" w:space="0" w:color="auto"/>
            </w:tcBorders>
            <w:shd w:val="clear" w:color="auto" w:fill="auto"/>
            <w:noWrap/>
            <w:vAlign w:val="bottom"/>
            <w:hideMark/>
          </w:tcPr>
          <w:p w14:paraId="18C9B4F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Cardenas</w:t>
            </w:r>
          </w:p>
        </w:tc>
        <w:tc>
          <w:tcPr>
            <w:tcW w:w="530" w:type="pct"/>
            <w:tcBorders>
              <w:top w:val="nil"/>
              <w:left w:val="nil"/>
              <w:bottom w:val="single" w:sz="4" w:space="0" w:color="auto"/>
              <w:right w:val="single" w:sz="4" w:space="0" w:color="auto"/>
            </w:tcBorders>
            <w:shd w:val="clear" w:color="auto" w:fill="auto"/>
            <w:noWrap/>
            <w:vAlign w:val="bottom"/>
            <w:hideMark/>
          </w:tcPr>
          <w:p w14:paraId="0D2F922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473" w:type="pct"/>
            <w:tcBorders>
              <w:top w:val="nil"/>
              <w:left w:val="nil"/>
              <w:bottom w:val="single" w:sz="4" w:space="0" w:color="auto"/>
              <w:right w:val="single" w:sz="4" w:space="0" w:color="auto"/>
            </w:tcBorders>
            <w:shd w:val="clear" w:color="auto" w:fill="auto"/>
            <w:noWrap/>
            <w:vAlign w:val="bottom"/>
            <w:hideMark/>
          </w:tcPr>
          <w:p w14:paraId="75071E7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526" w:type="pct"/>
            <w:tcBorders>
              <w:top w:val="nil"/>
              <w:left w:val="nil"/>
              <w:bottom w:val="single" w:sz="4" w:space="0" w:color="auto"/>
              <w:right w:val="single" w:sz="4" w:space="0" w:color="auto"/>
            </w:tcBorders>
            <w:shd w:val="clear" w:color="auto" w:fill="auto"/>
            <w:noWrap/>
            <w:vAlign w:val="bottom"/>
            <w:hideMark/>
          </w:tcPr>
          <w:p w14:paraId="2D28807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5D528C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D8A221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74A0D3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021EF4CF"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7C94F6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Puerto Rico</w:t>
            </w:r>
          </w:p>
        </w:tc>
        <w:tc>
          <w:tcPr>
            <w:tcW w:w="1108" w:type="pct"/>
            <w:tcBorders>
              <w:top w:val="nil"/>
              <w:left w:val="nil"/>
              <w:bottom w:val="single" w:sz="4" w:space="0" w:color="auto"/>
              <w:right w:val="single" w:sz="4" w:space="0" w:color="auto"/>
            </w:tcBorders>
            <w:shd w:val="clear" w:color="auto" w:fill="auto"/>
            <w:noWrap/>
            <w:vAlign w:val="bottom"/>
            <w:hideMark/>
          </w:tcPr>
          <w:p w14:paraId="20F7CC8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Garcia Palmieri</w:t>
            </w:r>
          </w:p>
        </w:tc>
        <w:tc>
          <w:tcPr>
            <w:tcW w:w="530" w:type="pct"/>
            <w:tcBorders>
              <w:top w:val="nil"/>
              <w:left w:val="nil"/>
              <w:bottom w:val="single" w:sz="4" w:space="0" w:color="auto"/>
              <w:right w:val="single" w:sz="4" w:space="0" w:color="auto"/>
            </w:tcBorders>
            <w:shd w:val="clear" w:color="auto" w:fill="auto"/>
            <w:noWrap/>
            <w:vAlign w:val="bottom"/>
            <w:hideMark/>
          </w:tcPr>
          <w:p w14:paraId="5D6E340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1972</w:t>
            </w:r>
          </w:p>
        </w:tc>
        <w:tc>
          <w:tcPr>
            <w:tcW w:w="473" w:type="pct"/>
            <w:tcBorders>
              <w:top w:val="nil"/>
              <w:left w:val="nil"/>
              <w:bottom w:val="single" w:sz="4" w:space="0" w:color="auto"/>
              <w:right w:val="single" w:sz="4" w:space="0" w:color="auto"/>
            </w:tcBorders>
            <w:shd w:val="clear" w:color="auto" w:fill="auto"/>
            <w:noWrap/>
            <w:vAlign w:val="bottom"/>
            <w:hideMark/>
          </w:tcPr>
          <w:p w14:paraId="67CEDA5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59B27B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202.63</w:t>
            </w:r>
          </w:p>
        </w:tc>
        <w:tc>
          <w:tcPr>
            <w:tcW w:w="526" w:type="pct"/>
            <w:tcBorders>
              <w:top w:val="nil"/>
              <w:left w:val="nil"/>
              <w:bottom w:val="single" w:sz="4" w:space="0" w:color="auto"/>
              <w:right w:val="single" w:sz="4" w:space="0" w:color="auto"/>
            </w:tcBorders>
            <w:shd w:val="clear" w:color="auto" w:fill="auto"/>
            <w:noWrap/>
            <w:vAlign w:val="bottom"/>
            <w:hideMark/>
          </w:tcPr>
          <w:p w14:paraId="2C4FE88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0987AB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44A8284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149.9</w:t>
            </w:r>
          </w:p>
        </w:tc>
      </w:tr>
      <w:tr w:rsidR="00574BFB" w:rsidRPr="00574BFB" w14:paraId="4A1541DB"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8A24CB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Puerto Rico</w:t>
            </w:r>
          </w:p>
        </w:tc>
        <w:tc>
          <w:tcPr>
            <w:tcW w:w="1108" w:type="pct"/>
            <w:tcBorders>
              <w:top w:val="nil"/>
              <w:left w:val="nil"/>
              <w:bottom w:val="single" w:sz="4" w:space="0" w:color="auto"/>
              <w:right w:val="single" w:sz="4" w:space="0" w:color="auto"/>
            </w:tcBorders>
            <w:shd w:val="clear" w:color="auto" w:fill="auto"/>
            <w:noWrap/>
            <w:vAlign w:val="bottom"/>
            <w:hideMark/>
          </w:tcPr>
          <w:p w14:paraId="0565E61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Perez</w:t>
            </w:r>
          </w:p>
        </w:tc>
        <w:tc>
          <w:tcPr>
            <w:tcW w:w="530" w:type="pct"/>
            <w:tcBorders>
              <w:top w:val="nil"/>
              <w:left w:val="nil"/>
              <w:bottom w:val="single" w:sz="4" w:space="0" w:color="auto"/>
              <w:right w:val="single" w:sz="4" w:space="0" w:color="auto"/>
            </w:tcBorders>
            <w:shd w:val="clear" w:color="auto" w:fill="auto"/>
            <w:noWrap/>
            <w:vAlign w:val="bottom"/>
            <w:hideMark/>
          </w:tcPr>
          <w:p w14:paraId="3138060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473" w:type="pct"/>
            <w:tcBorders>
              <w:top w:val="nil"/>
              <w:left w:val="nil"/>
              <w:bottom w:val="single" w:sz="4" w:space="0" w:color="auto"/>
              <w:right w:val="single" w:sz="4" w:space="0" w:color="auto"/>
            </w:tcBorders>
            <w:shd w:val="clear" w:color="auto" w:fill="auto"/>
            <w:noWrap/>
            <w:vAlign w:val="bottom"/>
            <w:hideMark/>
          </w:tcPr>
          <w:p w14:paraId="4D4AF01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526" w:type="pct"/>
            <w:tcBorders>
              <w:top w:val="nil"/>
              <w:left w:val="nil"/>
              <w:bottom w:val="single" w:sz="4" w:space="0" w:color="auto"/>
              <w:right w:val="single" w:sz="4" w:space="0" w:color="auto"/>
            </w:tcBorders>
            <w:shd w:val="clear" w:color="auto" w:fill="auto"/>
            <w:noWrap/>
            <w:vAlign w:val="bottom"/>
            <w:hideMark/>
          </w:tcPr>
          <w:p w14:paraId="4EE95DC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191.3</w:t>
            </w:r>
          </w:p>
        </w:tc>
        <w:tc>
          <w:tcPr>
            <w:tcW w:w="526" w:type="pct"/>
            <w:tcBorders>
              <w:top w:val="nil"/>
              <w:left w:val="nil"/>
              <w:bottom w:val="single" w:sz="4" w:space="0" w:color="auto"/>
              <w:right w:val="single" w:sz="4" w:space="0" w:color="auto"/>
            </w:tcBorders>
            <w:shd w:val="clear" w:color="auto" w:fill="auto"/>
            <w:noWrap/>
            <w:vAlign w:val="bottom"/>
            <w:hideMark/>
          </w:tcPr>
          <w:p w14:paraId="69BF505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117.5</w:t>
            </w:r>
          </w:p>
        </w:tc>
        <w:tc>
          <w:tcPr>
            <w:tcW w:w="526" w:type="pct"/>
            <w:tcBorders>
              <w:top w:val="nil"/>
              <w:left w:val="nil"/>
              <w:bottom w:val="single" w:sz="4" w:space="0" w:color="auto"/>
              <w:right w:val="single" w:sz="4" w:space="0" w:color="auto"/>
            </w:tcBorders>
            <w:shd w:val="clear" w:color="auto" w:fill="auto"/>
            <w:noWrap/>
            <w:vAlign w:val="bottom"/>
            <w:hideMark/>
          </w:tcPr>
          <w:p w14:paraId="6B7A0A8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49.4</w:t>
            </w:r>
          </w:p>
        </w:tc>
        <w:tc>
          <w:tcPr>
            <w:tcW w:w="596" w:type="pct"/>
            <w:tcBorders>
              <w:top w:val="nil"/>
              <w:left w:val="nil"/>
              <w:bottom w:val="single" w:sz="4" w:space="0" w:color="auto"/>
              <w:right w:val="single" w:sz="4" w:space="0" w:color="auto"/>
            </w:tcBorders>
            <w:shd w:val="clear" w:color="auto" w:fill="auto"/>
            <w:noWrap/>
            <w:vAlign w:val="bottom"/>
            <w:hideMark/>
          </w:tcPr>
          <w:p w14:paraId="43F2864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141.7</w:t>
            </w:r>
          </w:p>
        </w:tc>
      </w:tr>
      <w:tr w:rsidR="00574BFB" w:rsidRPr="00574BFB" w14:paraId="30249ED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C8C4B0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Puerto Rico</w:t>
            </w:r>
          </w:p>
        </w:tc>
        <w:tc>
          <w:tcPr>
            <w:tcW w:w="1108" w:type="pct"/>
            <w:tcBorders>
              <w:top w:val="nil"/>
              <w:left w:val="nil"/>
              <w:bottom w:val="single" w:sz="4" w:space="0" w:color="auto"/>
              <w:right w:val="single" w:sz="4" w:space="0" w:color="auto"/>
            </w:tcBorders>
            <w:shd w:val="clear" w:color="auto" w:fill="auto"/>
            <w:noWrap/>
            <w:vAlign w:val="bottom"/>
            <w:hideMark/>
          </w:tcPr>
          <w:p w14:paraId="1D26DE3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Salas</w:t>
            </w:r>
          </w:p>
        </w:tc>
        <w:tc>
          <w:tcPr>
            <w:tcW w:w="530" w:type="pct"/>
            <w:tcBorders>
              <w:top w:val="nil"/>
              <w:left w:val="nil"/>
              <w:bottom w:val="single" w:sz="4" w:space="0" w:color="auto"/>
              <w:right w:val="single" w:sz="4" w:space="0" w:color="auto"/>
            </w:tcBorders>
            <w:shd w:val="clear" w:color="auto" w:fill="auto"/>
            <w:noWrap/>
            <w:vAlign w:val="bottom"/>
            <w:hideMark/>
          </w:tcPr>
          <w:p w14:paraId="77272D2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34FB4CB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526" w:type="pct"/>
            <w:tcBorders>
              <w:top w:val="nil"/>
              <w:left w:val="nil"/>
              <w:bottom w:val="single" w:sz="4" w:space="0" w:color="auto"/>
              <w:right w:val="single" w:sz="4" w:space="0" w:color="auto"/>
            </w:tcBorders>
            <w:shd w:val="clear" w:color="auto" w:fill="auto"/>
            <w:noWrap/>
            <w:vAlign w:val="bottom"/>
            <w:hideMark/>
          </w:tcPr>
          <w:p w14:paraId="27B9E5F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1B7E90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773A98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B3A8C4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9ED7885"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7EF760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Puerto Rico</w:t>
            </w:r>
          </w:p>
        </w:tc>
        <w:tc>
          <w:tcPr>
            <w:tcW w:w="1108" w:type="pct"/>
            <w:tcBorders>
              <w:top w:val="nil"/>
              <w:left w:val="nil"/>
              <w:bottom w:val="single" w:sz="4" w:space="0" w:color="auto"/>
              <w:right w:val="single" w:sz="4" w:space="0" w:color="auto"/>
            </w:tcBorders>
            <w:shd w:val="clear" w:color="auto" w:fill="auto"/>
            <w:noWrap/>
            <w:vAlign w:val="bottom"/>
            <w:hideMark/>
          </w:tcPr>
          <w:p w14:paraId="088FBA0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Cruz-Vidal</w:t>
            </w:r>
          </w:p>
        </w:tc>
        <w:tc>
          <w:tcPr>
            <w:tcW w:w="530" w:type="pct"/>
            <w:tcBorders>
              <w:top w:val="nil"/>
              <w:left w:val="nil"/>
              <w:bottom w:val="single" w:sz="4" w:space="0" w:color="auto"/>
              <w:right w:val="single" w:sz="4" w:space="0" w:color="auto"/>
            </w:tcBorders>
            <w:shd w:val="clear" w:color="auto" w:fill="auto"/>
            <w:noWrap/>
            <w:vAlign w:val="bottom"/>
            <w:hideMark/>
          </w:tcPr>
          <w:p w14:paraId="0CE1072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1979</w:t>
            </w:r>
          </w:p>
        </w:tc>
        <w:tc>
          <w:tcPr>
            <w:tcW w:w="473" w:type="pct"/>
            <w:tcBorders>
              <w:top w:val="nil"/>
              <w:left w:val="nil"/>
              <w:bottom w:val="single" w:sz="4" w:space="0" w:color="auto"/>
              <w:right w:val="single" w:sz="4" w:space="0" w:color="auto"/>
            </w:tcBorders>
            <w:shd w:val="clear" w:color="auto" w:fill="auto"/>
            <w:noWrap/>
            <w:vAlign w:val="bottom"/>
            <w:hideMark/>
          </w:tcPr>
          <w:p w14:paraId="2FDB02E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1964</w:t>
            </w:r>
          </w:p>
        </w:tc>
        <w:tc>
          <w:tcPr>
            <w:tcW w:w="526" w:type="pct"/>
            <w:tcBorders>
              <w:top w:val="nil"/>
              <w:left w:val="nil"/>
              <w:bottom w:val="single" w:sz="4" w:space="0" w:color="auto"/>
              <w:right w:val="single" w:sz="4" w:space="0" w:color="auto"/>
            </w:tcBorders>
            <w:shd w:val="clear" w:color="auto" w:fill="auto"/>
            <w:noWrap/>
            <w:vAlign w:val="bottom"/>
            <w:hideMark/>
          </w:tcPr>
          <w:p w14:paraId="000B658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201.41</w:t>
            </w:r>
          </w:p>
        </w:tc>
        <w:tc>
          <w:tcPr>
            <w:tcW w:w="526" w:type="pct"/>
            <w:tcBorders>
              <w:top w:val="nil"/>
              <w:left w:val="nil"/>
              <w:bottom w:val="single" w:sz="4" w:space="0" w:color="auto"/>
              <w:right w:val="single" w:sz="4" w:space="0" w:color="auto"/>
            </w:tcBorders>
            <w:shd w:val="clear" w:color="auto" w:fill="auto"/>
            <w:noWrap/>
            <w:vAlign w:val="bottom"/>
            <w:hideMark/>
          </w:tcPr>
          <w:p w14:paraId="5042F7C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428AAA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7274E2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146.06</w:t>
            </w:r>
          </w:p>
        </w:tc>
      </w:tr>
      <w:tr w:rsidR="00574BFB" w:rsidRPr="00574BFB" w14:paraId="7DC92B7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6355E1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Puerto Rico</w:t>
            </w:r>
          </w:p>
        </w:tc>
        <w:tc>
          <w:tcPr>
            <w:tcW w:w="1108" w:type="pct"/>
            <w:tcBorders>
              <w:top w:val="nil"/>
              <w:left w:val="nil"/>
              <w:bottom w:val="single" w:sz="4" w:space="0" w:color="auto"/>
              <w:right w:val="single" w:sz="4" w:space="0" w:color="auto"/>
            </w:tcBorders>
            <w:shd w:val="clear" w:color="auto" w:fill="auto"/>
            <w:noWrap/>
            <w:vAlign w:val="bottom"/>
            <w:hideMark/>
          </w:tcPr>
          <w:p w14:paraId="486633D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Castelli</w:t>
            </w:r>
          </w:p>
        </w:tc>
        <w:tc>
          <w:tcPr>
            <w:tcW w:w="530" w:type="pct"/>
            <w:tcBorders>
              <w:top w:val="nil"/>
              <w:left w:val="nil"/>
              <w:bottom w:val="single" w:sz="4" w:space="0" w:color="auto"/>
              <w:right w:val="single" w:sz="4" w:space="0" w:color="auto"/>
            </w:tcBorders>
            <w:shd w:val="clear" w:color="auto" w:fill="auto"/>
            <w:noWrap/>
            <w:vAlign w:val="bottom"/>
            <w:hideMark/>
          </w:tcPr>
          <w:p w14:paraId="13DEFF5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1977</w:t>
            </w:r>
          </w:p>
        </w:tc>
        <w:tc>
          <w:tcPr>
            <w:tcW w:w="473" w:type="pct"/>
            <w:tcBorders>
              <w:top w:val="nil"/>
              <w:left w:val="nil"/>
              <w:bottom w:val="single" w:sz="4" w:space="0" w:color="auto"/>
              <w:right w:val="single" w:sz="4" w:space="0" w:color="auto"/>
            </w:tcBorders>
            <w:shd w:val="clear" w:color="auto" w:fill="auto"/>
            <w:noWrap/>
            <w:vAlign w:val="bottom"/>
            <w:hideMark/>
          </w:tcPr>
          <w:p w14:paraId="6CF696B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1965</w:t>
            </w:r>
          </w:p>
        </w:tc>
        <w:tc>
          <w:tcPr>
            <w:tcW w:w="526" w:type="pct"/>
            <w:tcBorders>
              <w:top w:val="nil"/>
              <w:left w:val="nil"/>
              <w:bottom w:val="single" w:sz="4" w:space="0" w:color="auto"/>
              <w:right w:val="single" w:sz="4" w:space="0" w:color="auto"/>
            </w:tcBorders>
            <w:shd w:val="clear" w:color="auto" w:fill="auto"/>
            <w:noWrap/>
            <w:vAlign w:val="bottom"/>
            <w:hideMark/>
          </w:tcPr>
          <w:p w14:paraId="4B00590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188.78</w:t>
            </w:r>
          </w:p>
        </w:tc>
        <w:tc>
          <w:tcPr>
            <w:tcW w:w="526" w:type="pct"/>
            <w:tcBorders>
              <w:top w:val="nil"/>
              <w:left w:val="nil"/>
              <w:bottom w:val="single" w:sz="4" w:space="0" w:color="auto"/>
              <w:right w:val="single" w:sz="4" w:space="0" w:color="auto"/>
            </w:tcBorders>
            <w:shd w:val="clear" w:color="auto" w:fill="auto"/>
            <w:noWrap/>
            <w:vAlign w:val="bottom"/>
            <w:hideMark/>
          </w:tcPr>
          <w:p w14:paraId="676408B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03AFC7B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098CE8B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155.19</w:t>
            </w:r>
          </w:p>
        </w:tc>
      </w:tr>
      <w:tr w:rsidR="00574BFB" w:rsidRPr="00574BFB" w14:paraId="511DE064"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994824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Puerto Rico</w:t>
            </w:r>
          </w:p>
        </w:tc>
        <w:tc>
          <w:tcPr>
            <w:tcW w:w="1108" w:type="pct"/>
            <w:tcBorders>
              <w:top w:val="nil"/>
              <w:left w:val="nil"/>
              <w:bottom w:val="single" w:sz="4" w:space="0" w:color="auto"/>
              <w:right w:val="single" w:sz="4" w:space="0" w:color="auto"/>
            </w:tcBorders>
            <w:shd w:val="clear" w:color="auto" w:fill="auto"/>
            <w:noWrap/>
            <w:vAlign w:val="bottom"/>
            <w:hideMark/>
          </w:tcPr>
          <w:p w14:paraId="41563A0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Costas</w:t>
            </w:r>
          </w:p>
        </w:tc>
        <w:tc>
          <w:tcPr>
            <w:tcW w:w="530" w:type="pct"/>
            <w:tcBorders>
              <w:top w:val="nil"/>
              <w:left w:val="nil"/>
              <w:bottom w:val="single" w:sz="4" w:space="0" w:color="auto"/>
              <w:right w:val="single" w:sz="4" w:space="0" w:color="auto"/>
            </w:tcBorders>
            <w:shd w:val="clear" w:color="auto" w:fill="auto"/>
            <w:noWrap/>
            <w:vAlign w:val="bottom"/>
            <w:hideMark/>
          </w:tcPr>
          <w:p w14:paraId="23FDEC4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1978</w:t>
            </w:r>
          </w:p>
        </w:tc>
        <w:tc>
          <w:tcPr>
            <w:tcW w:w="473" w:type="pct"/>
            <w:tcBorders>
              <w:top w:val="nil"/>
              <w:left w:val="nil"/>
              <w:bottom w:val="single" w:sz="4" w:space="0" w:color="auto"/>
              <w:right w:val="single" w:sz="4" w:space="0" w:color="auto"/>
            </w:tcBorders>
            <w:shd w:val="clear" w:color="auto" w:fill="auto"/>
            <w:noWrap/>
            <w:vAlign w:val="bottom"/>
            <w:hideMark/>
          </w:tcPr>
          <w:p w14:paraId="5F5E145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1965</w:t>
            </w:r>
          </w:p>
        </w:tc>
        <w:tc>
          <w:tcPr>
            <w:tcW w:w="526" w:type="pct"/>
            <w:tcBorders>
              <w:top w:val="nil"/>
              <w:left w:val="nil"/>
              <w:bottom w:val="single" w:sz="4" w:space="0" w:color="auto"/>
              <w:right w:val="single" w:sz="4" w:space="0" w:color="auto"/>
            </w:tcBorders>
            <w:shd w:val="clear" w:color="auto" w:fill="auto"/>
            <w:noWrap/>
            <w:vAlign w:val="bottom"/>
            <w:hideMark/>
          </w:tcPr>
          <w:p w14:paraId="373E4DE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191</w:t>
            </w:r>
          </w:p>
        </w:tc>
        <w:tc>
          <w:tcPr>
            <w:tcW w:w="526" w:type="pct"/>
            <w:tcBorders>
              <w:top w:val="nil"/>
              <w:left w:val="nil"/>
              <w:bottom w:val="single" w:sz="4" w:space="0" w:color="auto"/>
              <w:right w:val="single" w:sz="4" w:space="0" w:color="auto"/>
            </w:tcBorders>
            <w:shd w:val="clear" w:color="auto" w:fill="auto"/>
            <w:noWrap/>
            <w:vAlign w:val="bottom"/>
            <w:hideMark/>
          </w:tcPr>
          <w:p w14:paraId="6C40698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E1CE6C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35CE945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164</w:t>
            </w:r>
          </w:p>
        </w:tc>
      </w:tr>
      <w:tr w:rsidR="00574BFB" w:rsidRPr="00574BFB" w14:paraId="0C40B9BB"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2362FC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Surinam</w:t>
            </w:r>
          </w:p>
        </w:tc>
        <w:tc>
          <w:tcPr>
            <w:tcW w:w="1108" w:type="pct"/>
            <w:tcBorders>
              <w:top w:val="nil"/>
              <w:left w:val="nil"/>
              <w:bottom w:val="single" w:sz="4" w:space="0" w:color="auto"/>
              <w:right w:val="single" w:sz="4" w:space="0" w:color="auto"/>
            </w:tcBorders>
            <w:shd w:val="clear" w:color="auto" w:fill="auto"/>
            <w:noWrap/>
            <w:vAlign w:val="bottom"/>
            <w:hideMark/>
          </w:tcPr>
          <w:p w14:paraId="73D48C48"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Krishnadath</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3C16AAE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4CA8584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526" w:type="pct"/>
            <w:tcBorders>
              <w:top w:val="nil"/>
              <w:left w:val="nil"/>
              <w:bottom w:val="single" w:sz="4" w:space="0" w:color="auto"/>
              <w:right w:val="single" w:sz="4" w:space="0" w:color="auto"/>
            </w:tcBorders>
            <w:shd w:val="clear" w:color="auto" w:fill="auto"/>
            <w:noWrap/>
            <w:vAlign w:val="bottom"/>
            <w:hideMark/>
          </w:tcPr>
          <w:p w14:paraId="714FAA9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170.14</w:t>
            </w:r>
          </w:p>
        </w:tc>
        <w:tc>
          <w:tcPr>
            <w:tcW w:w="526" w:type="pct"/>
            <w:tcBorders>
              <w:top w:val="nil"/>
              <w:left w:val="nil"/>
              <w:bottom w:val="single" w:sz="4" w:space="0" w:color="auto"/>
              <w:right w:val="single" w:sz="4" w:space="0" w:color="auto"/>
            </w:tcBorders>
            <w:shd w:val="clear" w:color="auto" w:fill="auto"/>
            <w:noWrap/>
            <w:vAlign w:val="bottom"/>
            <w:hideMark/>
          </w:tcPr>
          <w:p w14:paraId="1850DE1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116.1</w:t>
            </w:r>
          </w:p>
        </w:tc>
        <w:tc>
          <w:tcPr>
            <w:tcW w:w="526" w:type="pct"/>
            <w:tcBorders>
              <w:top w:val="nil"/>
              <w:left w:val="nil"/>
              <w:bottom w:val="single" w:sz="4" w:space="0" w:color="auto"/>
              <w:right w:val="single" w:sz="4" w:space="0" w:color="auto"/>
            </w:tcBorders>
            <w:shd w:val="clear" w:color="auto" w:fill="auto"/>
            <w:noWrap/>
            <w:vAlign w:val="bottom"/>
            <w:hideMark/>
          </w:tcPr>
          <w:p w14:paraId="7164F3D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46.4</w:t>
            </w:r>
          </w:p>
        </w:tc>
        <w:tc>
          <w:tcPr>
            <w:tcW w:w="596" w:type="pct"/>
            <w:tcBorders>
              <w:top w:val="nil"/>
              <w:left w:val="nil"/>
              <w:bottom w:val="single" w:sz="4" w:space="0" w:color="auto"/>
              <w:right w:val="single" w:sz="4" w:space="0" w:color="auto"/>
            </w:tcBorders>
            <w:shd w:val="clear" w:color="auto" w:fill="auto"/>
            <w:noWrap/>
            <w:vAlign w:val="bottom"/>
            <w:hideMark/>
          </w:tcPr>
          <w:p w14:paraId="48EB76F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115.15</w:t>
            </w:r>
          </w:p>
        </w:tc>
      </w:tr>
      <w:tr w:rsidR="00574BFB" w:rsidRPr="00574BFB" w14:paraId="57591CF0"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A21EB0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Trinidad and Tobago</w:t>
            </w:r>
          </w:p>
        </w:tc>
        <w:tc>
          <w:tcPr>
            <w:tcW w:w="1108" w:type="pct"/>
            <w:tcBorders>
              <w:top w:val="nil"/>
              <w:left w:val="nil"/>
              <w:bottom w:val="single" w:sz="4" w:space="0" w:color="auto"/>
              <w:right w:val="single" w:sz="4" w:space="0" w:color="auto"/>
            </w:tcBorders>
            <w:shd w:val="clear" w:color="auto" w:fill="auto"/>
            <w:noWrap/>
            <w:vAlign w:val="bottom"/>
            <w:hideMark/>
          </w:tcPr>
          <w:p w14:paraId="7242A9A2"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Miljkovic-Gacic</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272A53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473" w:type="pct"/>
            <w:tcBorders>
              <w:top w:val="nil"/>
              <w:left w:val="nil"/>
              <w:bottom w:val="single" w:sz="4" w:space="0" w:color="auto"/>
              <w:right w:val="single" w:sz="4" w:space="0" w:color="auto"/>
            </w:tcBorders>
            <w:shd w:val="clear" w:color="auto" w:fill="auto"/>
            <w:noWrap/>
            <w:vAlign w:val="bottom"/>
            <w:hideMark/>
          </w:tcPr>
          <w:p w14:paraId="0339D28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C4E55D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179.2</w:t>
            </w:r>
          </w:p>
        </w:tc>
        <w:tc>
          <w:tcPr>
            <w:tcW w:w="526" w:type="pct"/>
            <w:tcBorders>
              <w:top w:val="nil"/>
              <w:left w:val="nil"/>
              <w:bottom w:val="single" w:sz="4" w:space="0" w:color="auto"/>
              <w:right w:val="single" w:sz="4" w:space="0" w:color="auto"/>
            </w:tcBorders>
            <w:shd w:val="clear" w:color="auto" w:fill="auto"/>
            <w:noWrap/>
            <w:vAlign w:val="bottom"/>
            <w:hideMark/>
          </w:tcPr>
          <w:p w14:paraId="443F1C6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113.7</w:t>
            </w:r>
          </w:p>
        </w:tc>
        <w:tc>
          <w:tcPr>
            <w:tcW w:w="526" w:type="pct"/>
            <w:tcBorders>
              <w:top w:val="nil"/>
              <w:left w:val="nil"/>
              <w:bottom w:val="single" w:sz="4" w:space="0" w:color="auto"/>
              <w:right w:val="single" w:sz="4" w:space="0" w:color="auto"/>
            </w:tcBorders>
            <w:shd w:val="clear" w:color="auto" w:fill="auto"/>
            <w:noWrap/>
            <w:vAlign w:val="bottom"/>
            <w:hideMark/>
          </w:tcPr>
          <w:p w14:paraId="443223D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49.9</w:t>
            </w:r>
          </w:p>
        </w:tc>
        <w:tc>
          <w:tcPr>
            <w:tcW w:w="596" w:type="pct"/>
            <w:tcBorders>
              <w:top w:val="nil"/>
              <w:left w:val="nil"/>
              <w:bottom w:val="single" w:sz="4" w:space="0" w:color="auto"/>
              <w:right w:val="single" w:sz="4" w:space="0" w:color="auto"/>
            </w:tcBorders>
            <w:shd w:val="clear" w:color="auto" w:fill="auto"/>
            <w:noWrap/>
            <w:vAlign w:val="bottom"/>
            <w:hideMark/>
          </w:tcPr>
          <w:p w14:paraId="5295C95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78.7</w:t>
            </w:r>
          </w:p>
        </w:tc>
      </w:tr>
      <w:tr w:rsidR="00574BFB" w:rsidRPr="00574BFB" w14:paraId="31DA464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0B80E5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Trinidad and Tobago</w:t>
            </w:r>
          </w:p>
        </w:tc>
        <w:tc>
          <w:tcPr>
            <w:tcW w:w="1108" w:type="pct"/>
            <w:tcBorders>
              <w:top w:val="nil"/>
              <w:left w:val="nil"/>
              <w:bottom w:val="single" w:sz="4" w:space="0" w:color="auto"/>
              <w:right w:val="single" w:sz="4" w:space="0" w:color="auto"/>
            </w:tcBorders>
            <w:shd w:val="clear" w:color="auto" w:fill="auto"/>
            <w:noWrap/>
            <w:vAlign w:val="bottom"/>
            <w:hideMark/>
          </w:tcPr>
          <w:p w14:paraId="000AC95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Miller</w:t>
            </w:r>
          </w:p>
        </w:tc>
        <w:tc>
          <w:tcPr>
            <w:tcW w:w="530" w:type="pct"/>
            <w:tcBorders>
              <w:top w:val="nil"/>
              <w:left w:val="nil"/>
              <w:bottom w:val="single" w:sz="4" w:space="0" w:color="auto"/>
              <w:right w:val="single" w:sz="4" w:space="0" w:color="auto"/>
            </w:tcBorders>
            <w:shd w:val="clear" w:color="auto" w:fill="auto"/>
            <w:noWrap/>
            <w:vAlign w:val="bottom"/>
            <w:hideMark/>
          </w:tcPr>
          <w:p w14:paraId="38DAEF1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1989</w:t>
            </w:r>
          </w:p>
        </w:tc>
        <w:tc>
          <w:tcPr>
            <w:tcW w:w="473" w:type="pct"/>
            <w:tcBorders>
              <w:top w:val="nil"/>
              <w:left w:val="nil"/>
              <w:bottom w:val="single" w:sz="4" w:space="0" w:color="auto"/>
              <w:right w:val="single" w:sz="4" w:space="0" w:color="auto"/>
            </w:tcBorders>
            <w:shd w:val="clear" w:color="auto" w:fill="auto"/>
            <w:noWrap/>
            <w:vAlign w:val="bottom"/>
            <w:hideMark/>
          </w:tcPr>
          <w:p w14:paraId="4214039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1979</w:t>
            </w:r>
          </w:p>
        </w:tc>
        <w:tc>
          <w:tcPr>
            <w:tcW w:w="526" w:type="pct"/>
            <w:tcBorders>
              <w:top w:val="nil"/>
              <w:left w:val="nil"/>
              <w:bottom w:val="single" w:sz="4" w:space="0" w:color="auto"/>
              <w:right w:val="single" w:sz="4" w:space="0" w:color="auto"/>
            </w:tcBorders>
            <w:shd w:val="clear" w:color="auto" w:fill="auto"/>
            <w:noWrap/>
            <w:vAlign w:val="bottom"/>
            <w:hideMark/>
          </w:tcPr>
          <w:p w14:paraId="14DA164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228.93</w:t>
            </w:r>
          </w:p>
        </w:tc>
        <w:tc>
          <w:tcPr>
            <w:tcW w:w="526" w:type="pct"/>
            <w:tcBorders>
              <w:top w:val="nil"/>
              <w:left w:val="nil"/>
              <w:bottom w:val="single" w:sz="4" w:space="0" w:color="auto"/>
              <w:right w:val="single" w:sz="4" w:space="0" w:color="auto"/>
            </w:tcBorders>
            <w:shd w:val="clear" w:color="auto" w:fill="auto"/>
            <w:noWrap/>
            <w:vAlign w:val="bottom"/>
            <w:hideMark/>
          </w:tcPr>
          <w:p w14:paraId="0D95E05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162.41</w:t>
            </w:r>
          </w:p>
        </w:tc>
        <w:tc>
          <w:tcPr>
            <w:tcW w:w="526" w:type="pct"/>
            <w:tcBorders>
              <w:top w:val="nil"/>
              <w:left w:val="nil"/>
              <w:bottom w:val="single" w:sz="4" w:space="0" w:color="auto"/>
              <w:right w:val="single" w:sz="4" w:space="0" w:color="auto"/>
            </w:tcBorders>
            <w:shd w:val="clear" w:color="auto" w:fill="auto"/>
            <w:noWrap/>
            <w:vAlign w:val="bottom"/>
            <w:hideMark/>
          </w:tcPr>
          <w:p w14:paraId="49CC19B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42.54</w:t>
            </w:r>
          </w:p>
        </w:tc>
        <w:tc>
          <w:tcPr>
            <w:tcW w:w="596" w:type="pct"/>
            <w:tcBorders>
              <w:top w:val="nil"/>
              <w:left w:val="nil"/>
              <w:bottom w:val="single" w:sz="4" w:space="0" w:color="auto"/>
              <w:right w:val="single" w:sz="4" w:space="0" w:color="auto"/>
            </w:tcBorders>
            <w:shd w:val="clear" w:color="auto" w:fill="auto"/>
            <w:noWrap/>
            <w:vAlign w:val="bottom"/>
            <w:hideMark/>
          </w:tcPr>
          <w:p w14:paraId="3603261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44D2597"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DC71BE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Uruguay</w:t>
            </w:r>
          </w:p>
        </w:tc>
        <w:tc>
          <w:tcPr>
            <w:tcW w:w="1108" w:type="pct"/>
            <w:tcBorders>
              <w:top w:val="nil"/>
              <w:left w:val="nil"/>
              <w:bottom w:val="single" w:sz="4" w:space="0" w:color="auto"/>
              <w:right w:val="single" w:sz="4" w:space="0" w:color="auto"/>
            </w:tcBorders>
            <w:shd w:val="clear" w:color="auto" w:fill="auto"/>
            <w:noWrap/>
            <w:vAlign w:val="bottom"/>
            <w:hideMark/>
          </w:tcPr>
          <w:p w14:paraId="7A85A43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Rubinstein</w:t>
            </w:r>
          </w:p>
        </w:tc>
        <w:tc>
          <w:tcPr>
            <w:tcW w:w="530" w:type="pct"/>
            <w:tcBorders>
              <w:top w:val="nil"/>
              <w:left w:val="nil"/>
              <w:bottom w:val="single" w:sz="4" w:space="0" w:color="auto"/>
              <w:right w:val="single" w:sz="4" w:space="0" w:color="auto"/>
            </w:tcBorders>
            <w:shd w:val="clear" w:color="auto" w:fill="auto"/>
            <w:noWrap/>
            <w:vAlign w:val="bottom"/>
            <w:hideMark/>
          </w:tcPr>
          <w:p w14:paraId="73FA8AA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6DA6286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2011</w:t>
            </w:r>
          </w:p>
        </w:tc>
        <w:tc>
          <w:tcPr>
            <w:tcW w:w="526" w:type="pct"/>
            <w:tcBorders>
              <w:top w:val="nil"/>
              <w:left w:val="nil"/>
              <w:bottom w:val="single" w:sz="4" w:space="0" w:color="auto"/>
              <w:right w:val="single" w:sz="4" w:space="0" w:color="auto"/>
            </w:tcBorders>
            <w:shd w:val="clear" w:color="auto" w:fill="auto"/>
            <w:noWrap/>
            <w:vAlign w:val="bottom"/>
            <w:hideMark/>
          </w:tcPr>
          <w:p w14:paraId="1A69858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208.3</w:t>
            </w:r>
          </w:p>
        </w:tc>
        <w:tc>
          <w:tcPr>
            <w:tcW w:w="526" w:type="pct"/>
            <w:tcBorders>
              <w:top w:val="nil"/>
              <w:left w:val="nil"/>
              <w:bottom w:val="single" w:sz="4" w:space="0" w:color="auto"/>
              <w:right w:val="single" w:sz="4" w:space="0" w:color="auto"/>
            </w:tcBorders>
            <w:shd w:val="clear" w:color="auto" w:fill="auto"/>
            <w:noWrap/>
            <w:vAlign w:val="bottom"/>
            <w:hideMark/>
          </w:tcPr>
          <w:p w14:paraId="5D34AB9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133</w:t>
            </w:r>
          </w:p>
        </w:tc>
        <w:tc>
          <w:tcPr>
            <w:tcW w:w="526" w:type="pct"/>
            <w:tcBorders>
              <w:top w:val="nil"/>
              <w:left w:val="nil"/>
              <w:bottom w:val="single" w:sz="4" w:space="0" w:color="auto"/>
              <w:right w:val="single" w:sz="4" w:space="0" w:color="auto"/>
            </w:tcBorders>
            <w:shd w:val="clear" w:color="auto" w:fill="auto"/>
            <w:noWrap/>
            <w:vAlign w:val="bottom"/>
            <w:hideMark/>
          </w:tcPr>
          <w:p w14:paraId="48A6A88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48.2</w:t>
            </w:r>
          </w:p>
        </w:tc>
        <w:tc>
          <w:tcPr>
            <w:tcW w:w="596" w:type="pct"/>
            <w:tcBorders>
              <w:top w:val="nil"/>
              <w:left w:val="nil"/>
              <w:bottom w:val="single" w:sz="4" w:space="0" w:color="auto"/>
              <w:right w:val="single" w:sz="4" w:space="0" w:color="auto"/>
            </w:tcBorders>
            <w:shd w:val="clear" w:color="auto" w:fill="auto"/>
            <w:noWrap/>
            <w:vAlign w:val="bottom"/>
            <w:hideMark/>
          </w:tcPr>
          <w:p w14:paraId="3C9B13A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140.3</w:t>
            </w:r>
          </w:p>
        </w:tc>
      </w:tr>
      <w:tr w:rsidR="00574BFB" w:rsidRPr="00574BFB" w14:paraId="096F6F39"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3EA7CF5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US Virgin Islands</w:t>
            </w:r>
          </w:p>
        </w:tc>
        <w:tc>
          <w:tcPr>
            <w:tcW w:w="1108" w:type="pct"/>
            <w:tcBorders>
              <w:top w:val="nil"/>
              <w:left w:val="nil"/>
              <w:bottom w:val="single" w:sz="4" w:space="0" w:color="auto"/>
              <w:right w:val="single" w:sz="4" w:space="0" w:color="auto"/>
            </w:tcBorders>
            <w:shd w:val="clear" w:color="auto" w:fill="auto"/>
            <w:noWrap/>
            <w:vAlign w:val="bottom"/>
            <w:hideMark/>
          </w:tcPr>
          <w:p w14:paraId="46CB4E39"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Tull</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0084AAF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473" w:type="pct"/>
            <w:tcBorders>
              <w:top w:val="nil"/>
              <w:left w:val="nil"/>
              <w:bottom w:val="single" w:sz="4" w:space="0" w:color="auto"/>
              <w:right w:val="single" w:sz="4" w:space="0" w:color="auto"/>
            </w:tcBorders>
            <w:shd w:val="clear" w:color="auto" w:fill="auto"/>
            <w:noWrap/>
            <w:vAlign w:val="bottom"/>
            <w:hideMark/>
          </w:tcPr>
          <w:p w14:paraId="7C9F796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1998</w:t>
            </w:r>
          </w:p>
        </w:tc>
        <w:tc>
          <w:tcPr>
            <w:tcW w:w="526" w:type="pct"/>
            <w:tcBorders>
              <w:top w:val="nil"/>
              <w:left w:val="nil"/>
              <w:bottom w:val="single" w:sz="4" w:space="0" w:color="auto"/>
              <w:right w:val="single" w:sz="4" w:space="0" w:color="auto"/>
            </w:tcBorders>
            <w:shd w:val="clear" w:color="auto" w:fill="auto"/>
            <w:noWrap/>
            <w:vAlign w:val="bottom"/>
            <w:hideMark/>
          </w:tcPr>
          <w:p w14:paraId="0D02578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DE521C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4A4D7E3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19EF392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5574B0B8"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30A951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US Virgin Islands</w:t>
            </w:r>
          </w:p>
        </w:tc>
        <w:tc>
          <w:tcPr>
            <w:tcW w:w="1108" w:type="pct"/>
            <w:tcBorders>
              <w:top w:val="nil"/>
              <w:left w:val="nil"/>
              <w:bottom w:val="single" w:sz="4" w:space="0" w:color="auto"/>
              <w:right w:val="single" w:sz="4" w:space="0" w:color="auto"/>
            </w:tcBorders>
            <w:shd w:val="clear" w:color="auto" w:fill="auto"/>
            <w:noWrap/>
            <w:vAlign w:val="bottom"/>
            <w:hideMark/>
          </w:tcPr>
          <w:p w14:paraId="18060306"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Tull</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39AEC01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000C141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1998</w:t>
            </w:r>
          </w:p>
        </w:tc>
        <w:tc>
          <w:tcPr>
            <w:tcW w:w="526" w:type="pct"/>
            <w:tcBorders>
              <w:top w:val="nil"/>
              <w:left w:val="nil"/>
              <w:bottom w:val="single" w:sz="4" w:space="0" w:color="auto"/>
              <w:right w:val="single" w:sz="4" w:space="0" w:color="auto"/>
            </w:tcBorders>
            <w:shd w:val="clear" w:color="auto" w:fill="auto"/>
            <w:noWrap/>
            <w:vAlign w:val="bottom"/>
            <w:hideMark/>
          </w:tcPr>
          <w:p w14:paraId="6A6A7E4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127A78A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F737B8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48.72</w:t>
            </w:r>
          </w:p>
        </w:tc>
        <w:tc>
          <w:tcPr>
            <w:tcW w:w="596" w:type="pct"/>
            <w:tcBorders>
              <w:top w:val="nil"/>
              <w:left w:val="nil"/>
              <w:bottom w:val="single" w:sz="4" w:space="0" w:color="auto"/>
              <w:right w:val="single" w:sz="4" w:space="0" w:color="auto"/>
            </w:tcBorders>
            <w:shd w:val="clear" w:color="auto" w:fill="auto"/>
            <w:noWrap/>
            <w:vAlign w:val="bottom"/>
            <w:hideMark/>
          </w:tcPr>
          <w:p w14:paraId="0C55DFB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220.54</w:t>
            </w:r>
          </w:p>
        </w:tc>
      </w:tr>
      <w:tr w:rsidR="00574BFB" w:rsidRPr="00574BFB" w14:paraId="24B5E1E2"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8AC6DF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Venezuela</w:t>
            </w:r>
          </w:p>
        </w:tc>
        <w:tc>
          <w:tcPr>
            <w:tcW w:w="1108" w:type="pct"/>
            <w:tcBorders>
              <w:top w:val="nil"/>
              <w:left w:val="nil"/>
              <w:bottom w:val="single" w:sz="4" w:space="0" w:color="auto"/>
              <w:right w:val="single" w:sz="4" w:space="0" w:color="auto"/>
            </w:tcBorders>
            <w:shd w:val="clear" w:color="auto" w:fill="auto"/>
            <w:noWrap/>
            <w:vAlign w:val="bottom"/>
            <w:hideMark/>
          </w:tcPr>
          <w:p w14:paraId="0A047960"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Uzcategui</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68B1121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2015</w:t>
            </w:r>
          </w:p>
        </w:tc>
        <w:tc>
          <w:tcPr>
            <w:tcW w:w="473" w:type="pct"/>
            <w:tcBorders>
              <w:top w:val="nil"/>
              <w:left w:val="nil"/>
              <w:bottom w:val="single" w:sz="4" w:space="0" w:color="auto"/>
              <w:right w:val="single" w:sz="4" w:space="0" w:color="auto"/>
            </w:tcBorders>
            <w:shd w:val="clear" w:color="auto" w:fill="auto"/>
            <w:noWrap/>
            <w:vAlign w:val="bottom"/>
            <w:hideMark/>
          </w:tcPr>
          <w:p w14:paraId="6C1001B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526" w:type="pct"/>
            <w:tcBorders>
              <w:top w:val="nil"/>
              <w:left w:val="nil"/>
              <w:bottom w:val="single" w:sz="4" w:space="0" w:color="auto"/>
              <w:right w:val="single" w:sz="4" w:space="0" w:color="auto"/>
            </w:tcBorders>
            <w:shd w:val="clear" w:color="auto" w:fill="auto"/>
            <w:noWrap/>
            <w:vAlign w:val="bottom"/>
            <w:hideMark/>
          </w:tcPr>
          <w:p w14:paraId="3D1F22B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E82F6A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13E604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40FF7EF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CBD2A2E"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0A7580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Venezuela</w:t>
            </w:r>
          </w:p>
        </w:tc>
        <w:tc>
          <w:tcPr>
            <w:tcW w:w="1108" w:type="pct"/>
            <w:tcBorders>
              <w:top w:val="nil"/>
              <w:left w:val="nil"/>
              <w:bottom w:val="single" w:sz="4" w:space="0" w:color="auto"/>
              <w:right w:val="single" w:sz="4" w:space="0" w:color="auto"/>
            </w:tcBorders>
            <w:shd w:val="clear" w:color="auto" w:fill="auto"/>
            <w:noWrap/>
            <w:vAlign w:val="bottom"/>
            <w:hideMark/>
          </w:tcPr>
          <w:p w14:paraId="5EE8852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Salazar</w:t>
            </w:r>
          </w:p>
        </w:tc>
        <w:tc>
          <w:tcPr>
            <w:tcW w:w="530" w:type="pct"/>
            <w:tcBorders>
              <w:top w:val="nil"/>
              <w:left w:val="nil"/>
              <w:bottom w:val="single" w:sz="4" w:space="0" w:color="auto"/>
              <w:right w:val="single" w:sz="4" w:space="0" w:color="auto"/>
            </w:tcBorders>
            <w:shd w:val="clear" w:color="auto" w:fill="auto"/>
            <w:noWrap/>
            <w:vAlign w:val="bottom"/>
            <w:hideMark/>
          </w:tcPr>
          <w:p w14:paraId="1948A14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2018</w:t>
            </w:r>
          </w:p>
        </w:tc>
        <w:tc>
          <w:tcPr>
            <w:tcW w:w="473" w:type="pct"/>
            <w:tcBorders>
              <w:top w:val="nil"/>
              <w:left w:val="nil"/>
              <w:bottom w:val="single" w:sz="4" w:space="0" w:color="auto"/>
              <w:right w:val="single" w:sz="4" w:space="0" w:color="auto"/>
            </w:tcBorders>
            <w:shd w:val="clear" w:color="auto" w:fill="auto"/>
            <w:noWrap/>
            <w:vAlign w:val="bottom"/>
            <w:hideMark/>
          </w:tcPr>
          <w:p w14:paraId="1260DE0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526" w:type="pct"/>
            <w:tcBorders>
              <w:top w:val="nil"/>
              <w:left w:val="nil"/>
              <w:bottom w:val="single" w:sz="4" w:space="0" w:color="auto"/>
              <w:right w:val="single" w:sz="4" w:space="0" w:color="auto"/>
            </w:tcBorders>
            <w:shd w:val="clear" w:color="auto" w:fill="auto"/>
            <w:noWrap/>
            <w:vAlign w:val="bottom"/>
            <w:hideMark/>
          </w:tcPr>
          <w:p w14:paraId="2933020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4E1523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31C882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8A067D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02CC74CC"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007F695"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Venezuela</w:t>
            </w:r>
          </w:p>
        </w:tc>
        <w:tc>
          <w:tcPr>
            <w:tcW w:w="1108" w:type="pct"/>
            <w:tcBorders>
              <w:top w:val="nil"/>
              <w:left w:val="nil"/>
              <w:bottom w:val="single" w:sz="4" w:space="0" w:color="auto"/>
              <w:right w:val="single" w:sz="4" w:space="0" w:color="auto"/>
            </w:tcBorders>
            <w:shd w:val="clear" w:color="auto" w:fill="auto"/>
            <w:noWrap/>
            <w:vAlign w:val="bottom"/>
            <w:hideMark/>
          </w:tcPr>
          <w:p w14:paraId="7C8BA41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Bermudez</w:t>
            </w:r>
          </w:p>
        </w:tc>
        <w:tc>
          <w:tcPr>
            <w:tcW w:w="530" w:type="pct"/>
            <w:tcBorders>
              <w:top w:val="nil"/>
              <w:left w:val="nil"/>
              <w:bottom w:val="single" w:sz="4" w:space="0" w:color="auto"/>
              <w:right w:val="single" w:sz="4" w:space="0" w:color="auto"/>
            </w:tcBorders>
            <w:shd w:val="clear" w:color="auto" w:fill="auto"/>
            <w:noWrap/>
            <w:vAlign w:val="bottom"/>
            <w:hideMark/>
          </w:tcPr>
          <w:p w14:paraId="1423113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2017</w:t>
            </w:r>
          </w:p>
        </w:tc>
        <w:tc>
          <w:tcPr>
            <w:tcW w:w="473" w:type="pct"/>
            <w:tcBorders>
              <w:top w:val="nil"/>
              <w:left w:val="nil"/>
              <w:bottom w:val="single" w:sz="4" w:space="0" w:color="auto"/>
              <w:right w:val="single" w:sz="4" w:space="0" w:color="auto"/>
            </w:tcBorders>
            <w:shd w:val="clear" w:color="auto" w:fill="auto"/>
            <w:noWrap/>
            <w:vAlign w:val="bottom"/>
            <w:hideMark/>
          </w:tcPr>
          <w:p w14:paraId="20579B5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2014</w:t>
            </w:r>
          </w:p>
        </w:tc>
        <w:tc>
          <w:tcPr>
            <w:tcW w:w="526" w:type="pct"/>
            <w:tcBorders>
              <w:top w:val="nil"/>
              <w:left w:val="nil"/>
              <w:bottom w:val="single" w:sz="4" w:space="0" w:color="auto"/>
              <w:right w:val="single" w:sz="4" w:space="0" w:color="auto"/>
            </w:tcBorders>
            <w:shd w:val="clear" w:color="auto" w:fill="auto"/>
            <w:noWrap/>
            <w:vAlign w:val="bottom"/>
            <w:hideMark/>
          </w:tcPr>
          <w:p w14:paraId="5BEEE27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673FB1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5A73F90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2E25FFA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4FD16945"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78A95726"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Venezuela</w:t>
            </w:r>
          </w:p>
        </w:tc>
        <w:tc>
          <w:tcPr>
            <w:tcW w:w="1108" w:type="pct"/>
            <w:tcBorders>
              <w:top w:val="nil"/>
              <w:left w:val="nil"/>
              <w:bottom w:val="single" w:sz="4" w:space="0" w:color="auto"/>
              <w:right w:val="single" w:sz="4" w:space="0" w:color="auto"/>
            </w:tcBorders>
            <w:shd w:val="clear" w:color="auto" w:fill="auto"/>
            <w:noWrap/>
            <w:vAlign w:val="bottom"/>
            <w:hideMark/>
          </w:tcPr>
          <w:p w14:paraId="138150FC"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Fernandez</w:t>
            </w:r>
          </w:p>
        </w:tc>
        <w:tc>
          <w:tcPr>
            <w:tcW w:w="530" w:type="pct"/>
            <w:tcBorders>
              <w:top w:val="nil"/>
              <w:left w:val="nil"/>
              <w:bottom w:val="single" w:sz="4" w:space="0" w:color="auto"/>
              <w:right w:val="single" w:sz="4" w:space="0" w:color="auto"/>
            </w:tcBorders>
            <w:shd w:val="clear" w:color="auto" w:fill="auto"/>
            <w:noWrap/>
            <w:vAlign w:val="bottom"/>
            <w:hideMark/>
          </w:tcPr>
          <w:p w14:paraId="630C879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473" w:type="pct"/>
            <w:tcBorders>
              <w:top w:val="nil"/>
              <w:left w:val="nil"/>
              <w:bottom w:val="single" w:sz="4" w:space="0" w:color="auto"/>
              <w:right w:val="single" w:sz="4" w:space="0" w:color="auto"/>
            </w:tcBorders>
            <w:shd w:val="clear" w:color="auto" w:fill="auto"/>
            <w:noWrap/>
            <w:vAlign w:val="bottom"/>
            <w:hideMark/>
          </w:tcPr>
          <w:p w14:paraId="72BBC1D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8074DB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178.29</w:t>
            </w:r>
          </w:p>
        </w:tc>
        <w:tc>
          <w:tcPr>
            <w:tcW w:w="526" w:type="pct"/>
            <w:tcBorders>
              <w:top w:val="nil"/>
              <w:left w:val="nil"/>
              <w:bottom w:val="single" w:sz="4" w:space="0" w:color="auto"/>
              <w:right w:val="single" w:sz="4" w:space="0" w:color="auto"/>
            </w:tcBorders>
            <w:shd w:val="clear" w:color="auto" w:fill="auto"/>
            <w:noWrap/>
            <w:vAlign w:val="bottom"/>
            <w:hideMark/>
          </w:tcPr>
          <w:p w14:paraId="3B3D106A"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30AB8F6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44.4</w:t>
            </w:r>
          </w:p>
        </w:tc>
        <w:tc>
          <w:tcPr>
            <w:tcW w:w="596" w:type="pct"/>
            <w:tcBorders>
              <w:top w:val="nil"/>
              <w:left w:val="nil"/>
              <w:bottom w:val="single" w:sz="4" w:space="0" w:color="auto"/>
              <w:right w:val="single" w:sz="4" w:space="0" w:color="auto"/>
            </w:tcBorders>
            <w:shd w:val="clear" w:color="auto" w:fill="auto"/>
            <w:noWrap/>
            <w:vAlign w:val="bottom"/>
            <w:hideMark/>
          </w:tcPr>
          <w:p w14:paraId="40A9DEB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157.17</w:t>
            </w:r>
          </w:p>
        </w:tc>
      </w:tr>
      <w:tr w:rsidR="00574BFB" w:rsidRPr="00574BFB" w14:paraId="730AFC0B"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FC059A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Venezuela</w:t>
            </w:r>
          </w:p>
        </w:tc>
        <w:tc>
          <w:tcPr>
            <w:tcW w:w="1108" w:type="pct"/>
            <w:tcBorders>
              <w:top w:val="nil"/>
              <w:left w:val="nil"/>
              <w:bottom w:val="single" w:sz="4" w:space="0" w:color="auto"/>
              <w:right w:val="single" w:sz="4" w:space="0" w:color="auto"/>
            </w:tcBorders>
            <w:shd w:val="clear" w:color="auto" w:fill="auto"/>
            <w:noWrap/>
            <w:vAlign w:val="bottom"/>
            <w:hideMark/>
          </w:tcPr>
          <w:p w14:paraId="013C307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xml:space="preserve">Florez </w:t>
            </w:r>
          </w:p>
        </w:tc>
        <w:tc>
          <w:tcPr>
            <w:tcW w:w="530" w:type="pct"/>
            <w:tcBorders>
              <w:top w:val="nil"/>
              <w:left w:val="nil"/>
              <w:bottom w:val="single" w:sz="4" w:space="0" w:color="auto"/>
              <w:right w:val="single" w:sz="4" w:space="0" w:color="auto"/>
            </w:tcBorders>
            <w:shd w:val="clear" w:color="auto" w:fill="auto"/>
            <w:noWrap/>
            <w:vAlign w:val="bottom"/>
            <w:hideMark/>
          </w:tcPr>
          <w:p w14:paraId="7D1CF68F"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2005</w:t>
            </w:r>
          </w:p>
        </w:tc>
        <w:tc>
          <w:tcPr>
            <w:tcW w:w="473" w:type="pct"/>
            <w:tcBorders>
              <w:top w:val="nil"/>
              <w:left w:val="nil"/>
              <w:bottom w:val="single" w:sz="4" w:space="0" w:color="auto"/>
              <w:right w:val="single" w:sz="4" w:space="0" w:color="auto"/>
            </w:tcBorders>
            <w:shd w:val="clear" w:color="auto" w:fill="auto"/>
            <w:noWrap/>
            <w:vAlign w:val="bottom"/>
            <w:hideMark/>
          </w:tcPr>
          <w:p w14:paraId="5B2BD34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2000</w:t>
            </w:r>
          </w:p>
        </w:tc>
        <w:tc>
          <w:tcPr>
            <w:tcW w:w="526" w:type="pct"/>
            <w:tcBorders>
              <w:top w:val="nil"/>
              <w:left w:val="nil"/>
              <w:bottom w:val="single" w:sz="4" w:space="0" w:color="auto"/>
              <w:right w:val="single" w:sz="4" w:space="0" w:color="auto"/>
            </w:tcBorders>
            <w:shd w:val="clear" w:color="auto" w:fill="auto"/>
            <w:noWrap/>
            <w:vAlign w:val="bottom"/>
            <w:hideMark/>
          </w:tcPr>
          <w:p w14:paraId="3B54E51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170.74</w:t>
            </w:r>
          </w:p>
        </w:tc>
        <w:tc>
          <w:tcPr>
            <w:tcW w:w="526" w:type="pct"/>
            <w:tcBorders>
              <w:top w:val="nil"/>
              <w:left w:val="nil"/>
              <w:bottom w:val="single" w:sz="4" w:space="0" w:color="auto"/>
              <w:right w:val="single" w:sz="4" w:space="0" w:color="auto"/>
            </w:tcBorders>
            <w:shd w:val="clear" w:color="auto" w:fill="auto"/>
            <w:noWrap/>
            <w:vAlign w:val="bottom"/>
            <w:hideMark/>
          </w:tcPr>
          <w:p w14:paraId="42E59A31"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D5926C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43.42</w:t>
            </w:r>
          </w:p>
        </w:tc>
        <w:tc>
          <w:tcPr>
            <w:tcW w:w="596" w:type="pct"/>
            <w:tcBorders>
              <w:top w:val="nil"/>
              <w:left w:val="nil"/>
              <w:bottom w:val="single" w:sz="4" w:space="0" w:color="auto"/>
              <w:right w:val="single" w:sz="4" w:space="0" w:color="auto"/>
            </w:tcBorders>
            <w:shd w:val="clear" w:color="auto" w:fill="auto"/>
            <w:noWrap/>
            <w:vAlign w:val="bottom"/>
            <w:hideMark/>
          </w:tcPr>
          <w:p w14:paraId="6031D6D1"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135.7</w:t>
            </w:r>
          </w:p>
        </w:tc>
      </w:tr>
      <w:tr w:rsidR="00574BFB" w:rsidRPr="00574BFB" w14:paraId="1B49173A"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07743653"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Venezuela</w:t>
            </w:r>
          </w:p>
        </w:tc>
        <w:tc>
          <w:tcPr>
            <w:tcW w:w="1108" w:type="pct"/>
            <w:tcBorders>
              <w:top w:val="nil"/>
              <w:left w:val="nil"/>
              <w:bottom w:val="single" w:sz="4" w:space="0" w:color="auto"/>
              <w:right w:val="single" w:sz="4" w:space="0" w:color="auto"/>
            </w:tcBorders>
            <w:shd w:val="clear" w:color="auto" w:fill="auto"/>
            <w:noWrap/>
            <w:vAlign w:val="bottom"/>
            <w:hideMark/>
          </w:tcPr>
          <w:p w14:paraId="1054B93D"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xml:space="preserve">Gonzales-Rivas </w:t>
            </w:r>
          </w:p>
        </w:tc>
        <w:tc>
          <w:tcPr>
            <w:tcW w:w="530" w:type="pct"/>
            <w:tcBorders>
              <w:top w:val="nil"/>
              <w:left w:val="nil"/>
              <w:bottom w:val="single" w:sz="4" w:space="0" w:color="auto"/>
              <w:right w:val="single" w:sz="4" w:space="0" w:color="auto"/>
            </w:tcBorders>
            <w:shd w:val="clear" w:color="auto" w:fill="auto"/>
            <w:noWrap/>
            <w:vAlign w:val="bottom"/>
            <w:hideMark/>
          </w:tcPr>
          <w:p w14:paraId="1D531DA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18A51D8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2008</w:t>
            </w:r>
          </w:p>
        </w:tc>
        <w:tc>
          <w:tcPr>
            <w:tcW w:w="526" w:type="pct"/>
            <w:tcBorders>
              <w:top w:val="nil"/>
              <w:left w:val="nil"/>
              <w:bottom w:val="single" w:sz="4" w:space="0" w:color="auto"/>
              <w:right w:val="single" w:sz="4" w:space="0" w:color="auto"/>
            </w:tcBorders>
            <w:shd w:val="clear" w:color="auto" w:fill="auto"/>
            <w:noWrap/>
            <w:vAlign w:val="bottom"/>
            <w:hideMark/>
          </w:tcPr>
          <w:p w14:paraId="116AB50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206.92</w:t>
            </w:r>
          </w:p>
        </w:tc>
        <w:tc>
          <w:tcPr>
            <w:tcW w:w="526" w:type="pct"/>
            <w:tcBorders>
              <w:top w:val="nil"/>
              <w:left w:val="nil"/>
              <w:bottom w:val="single" w:sz="4" w:space="0" w:color="auto"/>
              <w:right w:val="single" w:sz="4" w:space="0" w:color="auto"/>
            </w:tcBorders>
            <w:shd w:val="clear" w:color="auto" w:fill="auto"/>
            <w:noWrap/>
            <w:vAlign w:val="bottom"/>
            <w:hideMark/>
          </w:tcPr>
          <w:p w14:paraId="45AFF0D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131.18</w:t>
            </w:r>
          </w:p>
        </w:tc>
        <w:tc>
          <w:tcPr>
            <w:tcW w:w="526" w:type="pct"/>
            <w:tcBorders>
              <w:top w:val="nil"/>
              <w:left w:val="nil"/>
              <w:bottom w:val="single" w:sz="4" w:space="0" w:color="auto"/>
              <w:right w:val="single" w:sz="4" w:space="0" w:color="auto"/>
            </w:tcBorders>
            <w:shd w:val="clear" w:color="auto" w:fill="auto"/>
            <w:noWrap/>
            <w:vAlign w:val="bottom"/>
            <w:hideMark/>
          </w:tcPr>
          <w:p w14:paraId="09B62D8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45.88</w:t>
            </w:r>
          </w:p>
        </w:tc>
        <w:tc>
          <w:tcPr>
            <w:tcW w:w="596" w:type="pct"/>
            <w:tcBorders>
              <w:top w:val="nil"/>
              <w:left w:val="nil"/>
              <w:bottom w:val="single" w:sz="4" w:space="0" w:color="auto"/>
              <w:right w:val="single" w:sz="4" w:space="0" w:color="auto"/>
            </w:tcBorders>
            <w:shd w:val="clear" w:color="auto" w:fill="auto"/>
            <w:noWrap/>
            <w:vAlign w:val="bottom"/>
            <w:hideMark/>
          </w:tcPr>
          <w:p w14:paraId="2CFDAFAC"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154.19</w:t>
            </w:r>
          </w:p>
        </w:tc>
      </w:tr>
      <w:tr w:rsidR="00574BFB" w:rsidRPr="00574BFB" w14:paraId="06436F33"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5E0CD952"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Venezuela</w:t>
            </w:r>
          </w:p>
        </w:tc>
        <w:tc>
          <w:tcPr>
            <w:tcW w:w="1108" w:type="pct"/>
            <w:tcBorders>
              <w:top w:val="nil"/>
              <w:left w:val="nil"/>
              <w:bottom w:val="single" w:sz="4" w:space="0" w:color="auto"/>
              <w:right w:val="single" w:sz="4" w:space="0" w:color="auto"/>
            </w:tcBorders>
            <w:shd w:val="clear" w:color="auto" w:fill="auto"/>
            <w:noWrap/>
            <w:vAlign w:val="bottom"/>
            <w:hideMark/>
          </w:tcPr>
          <w:p w14:paraId="2DFA030B"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Becerra</w:t>
            </w:r>
          </w:p>
        </w:tc>
        <w:tc>
          <w:tcPr>
            <w:tcW w:w="530" w:type="pct"/>
            <w:tcBorders>
              <w:top w:val="nil"/>
              <w:left w:val="nil"/>
              <w:bottom w:val="single" w:sz="4" w:space="0" w:color="auto"/>
              <w:right w:val="single" w:sz="4" w:space="0" w:color="auto"/>
            </w:tcBorders>
            <w:shd w:val="clear" w:color="auto" w:fill="auto"/>
            <w:noWrap/>
            <w:vAlign w:val="bottom"/>
            <w:hideMark/>
          </w:tcPr>
          <w:p w14:paraId="6B53982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2009</w:t>
            </w:r>
          </w:p>
        </w:tc>
        <w:tc>
          <w:tcPr>
            <w:tcW w:w="473" w:type="pct"/>
            <w:tcBorders>
              <w:top w:val="nil"/>
              <w:left w:val="nil"/>
              <w:bottom w:val="single" w:sz="4" w:space="0" w:color="auto"/>
              <w:right w:val="single" w:sz="4" w:space="0" w:color="auto"/>
            </w:tcBorders>
            <w:shd w:val="clear" w:color="auto" w:fill="auto"/>
            <w:noWrap/>
            <w:vAlign w:val="bottom"/>
            <w:hideMark/>
          </w:tcPr>
          <w:p w14:paraId="01021F1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2007</w:t>
            </w:r>
          </w:p>
        </w:tc>
        <w:tc>
          <w:tcPr>
            <w:tcW w:w="526" w:type="pct"/>
            <w:tcBorders>
              <w:top w:val="nil"/>
              <w:left w:val="nil"/>
              <w:bottom w:val="single" w:sz="4" w:space="0" w:color="auto"/>
              <w:right w:val="single" w:sz="4" w:space="0" w:color="auto"/>
            </w:tcBorders>
            <w:shd w:val="clear" w:color="auto" w:fill="auto"/>
            <w:noWrap/>
            <w:vAlign w:val="bottom"/>
            <w:hideMark/>
          </w:tcPr>
          <w:p w14:paraId="496F6AE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185</w:t>
            </w:r>
          </w:p>
        </w:tc>
        <w:tc>
          <w:tcPr>
            <w:tcW w:w="526" w:type="pct"/>
            <w:tcBorders>
              <w:top w:val="nil"/>
              <w:left w:val="nil"/>
              <w:bottom w:val="single" w:sz="4" w:space="0" w:color="auto"/>
              <w:right w:val="single" w:sz="4" w:space="0" w:color="auto"/>
            </w:tcBorders>
            <w:shd w:val="clear" w:color="auto" w:fill="auto"/>
            <w:noWrap/>
            <w:vAlign w:val="bottom"/>
            <w:hideMark/>
          </w:tcPr>
          <w:p w14:paraId="5266016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2E51BD84"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41</w:t>
            </w:r>
          </w:p>
        </w:tc>
        <w:tc>
          <w:tcPr>
            <w:tcW w:w="596" w:type="pct"/>
            <w:tcBorders>
              <w:top w:val="nil"/>
              <w:left w:val="nil"/>
              <w:bottom w:val="single" w:sz="4" w:space="0" w:color="auto"/>
              <w:right w:val="single" w:sz="4" w:space="0" w:color="auto"/>
            </w:tcBorders>
            <w:shd w:val="clear" w:color="auto" w:fill="auto"/>
            <w:noWrap/>
            <w:vAlign w:val="bottom"/>
            <w:hideMark/>
          </w:tcPr>
          <w:p w14:paraId="10E041A7"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184</w:t>
            </w:r>
          </w:p>
        </w:tc>
      </w:tr>
      <w:tr w:rsidR="00574BFB" w:rsidRPr="00574BFB" w14:paraId="4F16814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640DAE9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Venezuela</w:t>
            </w:r>
          </w:p>
        </w:tc>
        <w:tc>
          <w:tcPr>
            <w:tcW w:w="1108" w:type="pct"/>
            <w:tcBorders>
              <w:top w:val="nil"/>
              <w:left w:val="nil"/>
              <w:bottom w:val="single" w:sz="4" w:space="0" w:color="auto"/>
              <w:right w:val="single" w:sz="4" w:space="0" w:color="auto"/>
            </w:tcBorders>
            <w:shd w:val="clear" w:color="auto" w:fill="auto"/>
            <w:noWrap/>
            <w:vAlign w:val="bottom"/>
            <w:hideMark/>
          </w:tcPr>
          <w:p w14:paraId="7BF010D3" w14:textId="77777777" w:rsidR="00574BFB" w:rsidRPr="00574BFB" w:rsidRDefault="00574BFB" w:rsidP="00574BFB">
            <w:pPr>
              <w:spacing w:after="0" w:line="240" w:lineRule="auto"/>
              <w:rPr>
                <w:rFonts w:ascii="Arial" w:eastAsia="Times New Roman" w:hAnsi="Arial" w:cs="Arial"/>
                <w:color w:val="000000"/>
                <w:sz w:val="16"/>
                <w:szCs w:val="16"/>
                <w:lang w:eastAsia="en-GB"/>
              </w:rPr>
            </w:pPr>
            <w:proofErr w:type="spellStart"/>
            <w:r w:rsidRPr="00574BFB">
              <w:rPr>
                <w:rFonts w:ascii="Arial" w:eastAsia="Times New Roman" w:hAnsi="Arial" w:cs="Arial"/>
                <w:color w:val="000000"/>
                <w:sz w:val="16"/>
                <w:szCs w:val="16"/>
                <w:lang w:eastAsia="en-GB"/>
              </w:rPr>
              <w:t>Vinueza</w:t>
            </w:r>
            <w:proofErr w:type="spellEnd"/>
          </w:p>
        </w:tc>
        <w:tc>
          <w:tcPr>
            <w:tcW w:w="530" w:type="pct"/>
            <w:tcBorders>
              <w:top w:val="nil"/>
              <w:left w:val="nil"/>
              <w:bottom w:val="single" w:sz="4" w:space="0" w:color="auto"/>
              <w:right w:val="single" w:sz="4" w:space="0" w:color="auto"/>
            </w:tcBorders>
            <w:shd w:val="clear" w:color="auto" w:fill="auto"/>
            <w:noWrap/>
            <w:vAlign w:val="bottom"/>
            <w:hideMark/>
          </w:tcPr>
          <w:p w14:paraId="43C26869"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2010</w:t>
            </w:r>
          </w:p>
        </w:tc>
        <w:tc>
          <w:tcPr>
            <w:tcW w:w="473" w:type="pct"/>
            <w:tcBorders>
              <w:top w:val="nil"/>
              <w:left w:val="nil"/>
              <w:bottom w:val="single" w:sz="4" w:space="0" w:color="auto"/>
              <w:right w:val="single" w:sz="4" w:space="0" w:color="auto"/>
            </w:tcBorders>
            <w:shd w:val="clear" w:color="auto" w:fill="auto"/>
            <w:noWrap/>
            <w:vAlign w:val="bottom"/>
            <w:hideMark/>
          </w:tcPr>
          <w:p w14:paraId="142C646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2004</w:t>
            </w:r>
          </w:p>
        </w:tc>
        <w:tc>
          <w:tcPr>
            <w:tcW w:w="526" w:type="pct"/>
            <w:tcBorders>
              <w:top w:val="nil"/>
              <w:left w:val="nil"/>
              <w:bottom w:val="single" w:sz="4" w:space="0" w:color="auto"/>
              <w:right w:val="single" w:sz="4" w:space="0" w:color="auto"/>
            </w:tcBorders>
            <w:shd w:val="clear" w:color="auto" w:fill="auto"/>
            <w:noWrap/>
            <w:vAlign w:val="bottom"/>
            <w:hideMark/>
          </w:tcPr>
          <w:p w14:paraId="0615931A"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174.2</w:t>
            </w:r>
          </w:p>
        </w:tc>
        <w:tc>
          <w:tcPr>
            <w:tcW w:w="526" w:type="pct"/>
            <w:tcBorders>
              <w:top w:val="nil"/>
              <w:left w:val="nil"/>
              <w:bottom w:val="single" w:sz="4" w:space="0" w:color="auto"/>
              <w:right w:val="single" w:sz="4" w:space="0" w:color="auto"/>
            </w:tcBorders>
            <w:shd w:val="clear" w:color="auto" w:fill="auto"/>
            <w:noWrap/>
            <w:vAlign w:val="bottom"/>
            <w:hideMark/>
          </w:tcPr>
          <w:p w14:paraId="04B8F65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104.6</w:t>
            </w:r>
          </w:p>
        </w:tc>
        <w:tc>
          <w:tcPr>
            <w:tcW w:w="526" w:type="pct"/>
            <w:tcBorders>
              <w:top w:val="nil"/>
              <w:left w:val="nil"/>
              <w:bottom w:val="single" w:sz="4" w:space="0" w:color="auto"/>
              <w:right w:val="single" w:sz="4" w:space="0" w:color="auto"/>
            </w:tcBorders>
            <w:shd w:val="clear" w:color="auto" w:fill="auto"/>
            <w:noWrap/>
            <w:vAlign w:val="bottom"/>
            <w:hideMark/>
          </w:tcPr>
          <w:p w14:paraId="46CEE2F6"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40.1</w:t>
            </w:r>
          </w:p>
        </w:tc>
        <w:tc>
          <w:tcPr>
            <w:tcW w:w="596" w:type="pct"/>
            <w:tcBorders>
              <w:top w:val="nil"/>
              <w:left w:val="nil"/>
              <w:bottom w:val="single" w:sz="4" w:space="0" w:color="auto"/>
              <w:right w:val="single" w:sz="4" w:space="0" w:color="auto"/>
            </w:tcBorders>
            <w:shd w:val="clear" w:color="auto" w:fill="auto"/>
            <w:noWrap/>
            <w:vAlign w:val="bottom"/>
            <w:hideMark/>
          </w:tcPr>
          <w:p w14:paraId="09E5C72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150.7</w:t>
            </w:r>
          </w:p>
        </w:tc>
      </w:tr>
      <w:tr w:rsidR="00574BFB" w:rsidRPr="00574BFB" w14:paraId="2712D1C1"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2D698324"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Venezuela</w:t>
            </w:r>
          </w:p>
        </w:tc>
        <w:tc>
          <w:tcPr>
            <w:tcW w:w="1108" w:type="pct"/>
            <w:tcBorders>
              <w:top w:val="nil"/>
              <w:left w:val="nil"/>
              <w:bottom w:val="single" w:sz="4" w:space="0" w:color="auto"/>
              <w:right w:val="single" w:sz="4" w:space="0" w:color="auto"/>
            </w:tcBorders>
            <w:shd w:val="clear" w:color="auto" w:fill="auto"/>
            <w:noWrap/>
            <w:vAlign w:val="bottom"/>
            <w:hideMark/>
          </w:tcPr>
          <w:p w14:paraId="43D8BE77"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Salas</w:t>
            </w:r>
          </w:p>
        </w:tc>
        <w:tc>
          <w:tcPr>
            <w:tcW w:w="530" w:type="pct"/>
            <w:tcBorders>
              <w:top w:val="nil"/>
              <w:left w:val="nil"/>
              <w:bottom w:val="single" w:sz="4" w:space="0" w:color="auto"/>
              <w:right w:val="single" w:sz="4" w:space="0" w:color="auto"/>
            </w:tcBorders>
            <w:shd w:val="clear" w:color="auto" w:fill="auto"/>
            <w:noWrap/>
            <w:vAlign w:val="bottom"/>
            <w:hideMark/>
          </w:tcPr>
          <w:p w14:paraId="6D0FB285"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2016</w:t>
            </w:r>
          </w:p>
        </w:tc>
        <w:tc>
          <w:tcPr>
            <w:tcW w:w="473" w:type="pct"/>
            <w:tcBorders>
              <w:top w:val="nil"/>
              <w:left w:val="nil"/>
              <w:bottom w:val="single" w:sz="4" w:space="0" w:color="auto"/>
              <w:right w:val="single" w:sz="4" w:space="0" w:color="auto"/>
            </w:tcBorders>
            <w:shd w:val="clear" w:color="auto" w:fill="auto"/>
            <w:noWrap/>
            <w:vAlign w:val="bottom"/>
            <w:hideMark/>
          </w:tcPr>
          <w:p w14:paraId="0E40899D"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2006</w:t>
            </w:r>
          </w:p>
        </w:tc>
        <w:tc>
          <w:tcPr>
            <w:tcW w:w="526" w:type="pct"/>
            <w:tcBorders>
              <w:top w:val="nil"/>
              <w:left w:val="nil"/>
              <w:bottom w:val="single" w:sz="4" w:space="0" w:color="auto"/>
              <w:right w:val="single" w:sz="4" w:space="0" w:color="auto"/>
            </w:tcBorders>
            <w:shd w:val="clear" w:color="auto" w:fill="auto"/>
            <w:noWrap/>
            <w:vAlign w:val="bottom"/>
            <w:hideMark/>
          </w:tcPr>
          <w:p w14:paraId="5CEBF1B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62A52E0E"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26" w:type="pct"/>
            <w:tcBorders>
              <w:top w:val="nil"/>
              <w:left w:val="nil"/>
              <w:bottom w:val="single" w:sz="4" w:space="0" w:color="auto"/>
              <w:right w:val="single" w:sz="4" w:space="0" w:color="auto"/>
            </w:tcBorders>
            <w:shd w:val="clear" w:color="auto" w:fill="auto"/>
            <w:noWrap/>
            <w:vAlign w:val="bottom"/>
            <w:hideMark/>
          </w:tcPr>
          <w:p w14:paraId="75E4C5D8"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c>
          <w:tcPr>
            <w:tcW w:w="596" w:type="pct"/>
            <w:tcBorders>
              <w:top w:val="nil"/>
              <w:left w:val="nil"/>
              <w:bottom w:val="single" w:sz="4" w:space="0" w:color="auto"/>
              <w:right w:val="single" w:sz="4" w:space="0" w:color="auto"/>
            </w:tcBorders>
            <w:shd w:val="clear" w:color="auto" w:fill="auto"/>
            <w:noWrap/>
            <w:vAlign w:val="bottom"/>
            <w:hideMark/>
          </w:tcPr>
          <w:p w14:paraId="6486EBD9"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 </w:t>
            </w:r>
          </w:p>
        </w:tc>
      </w:tr>
      <w:tr w:rsidR="00574BFB" w:rsidRPr="00574BFB" w14:paraId="20612113" w14:textId="77777777" w:rsidTr="00574BFB">
        <w:trPr>
          <w:trHeight w:val="300"/>
          <w:jc w:val="center"/>
        </w:trPr>
        <w:tc>
          <w:tcPr>
            <w:tcW w:w="715" w:type="pct"/>
            <w:tcBorders>
              <w:top w:val="nil"/>
              <w:left w:val="single" w:sz="4" w:space="0" w:color="auto"/>
              <w:bottom w:val="single" w:sz="4" w:space="0" w:color="auto"/>
              <w:right w:val="single" w:sz="4" w:space="0" w:color="auto"/>
            </w:tcBorders>
            <w:shd w:val="clear" w:color="auto" w:fill="auto"/>
            <w:noWrap/>
            <w:vAlign w:val="bottom"/>
            <w:hideMark/>
          </w:tcPr>
          <w:p w14:paraId="18059E80"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Venezuela</w:t>
            </w:r>
          </w:p>
        </w:tc>
        <w:tc>
          <w:tcPr>
            <w:tcW w:w="1108" w:type="pct"/>
            <w:tcBorders>
              <w:top w:val="nil"/>
              <w:left w:val="nil"/>
              <w:bottom w:val="single" w:sz="4" w:space="0" w:color="auto"/>
              <w:right w:val="single" w:sz="4" w:space="0" w:color="auto"/>
            </w:tcBorders>
            <w:shd w:val="clear" w:color="auto" w:fill="auto"/>
            <w:noWrap/>
            <w:vAlign w:val="bottom"/>
            <w:hideMark/>
          </w:tcPr>
          <w:p w14:paraId="2A9E4F9F" w14:textId="77777777" w:rsidR="00574BFB" w:rsidRPr="00574BFB" w:rsidRDefault="00574BFB" w:rsidP="00574BFB">
            <w:pPr>
              <w:spacing w:after="0" w:line="240" w:lineRule="auto"/>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Bermudez</w:t>
            </w:r>
          </w:p>
        </w:tc>
        <w:tc>
          <w:tcPr>
            <w:tcW w:w="530" w:type="pct"/>
            <w:tcBorders>
              <w:top w:val="nil"/>
              <w:left w:val="nil"/>
              <w:bottom w:val="single" w:sz="4" w:space="0" w:color="auto"/>
              <w:right w:val="single" w:sz="4" w:space="0" w:color="auto"/>
            </w:tcBorders>
            <w:shd w:val="clear" w:color="auto" w:fill="auto"/>
            <w:noWrap/>
            <w:vAlign w:val="bottom"/>
            <w:hideMark/>
          </w:tcPr>
          <w:p w14:paraId="1661464E"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473" w:type="pct"/>
            <w:tcBorders>
              <w:top w:val="nil"/>
              <w:left w:val="nil"/>
              <w:bottom w:val="single" w:sz="4" w:space="0" w:color="auto"/>
              <w:right w:val="single" w:sz="4" w:space="0" w:color="auto"/>
            </w:tcBorders>
            <w:shd w:val="clear" w:color="auto" w:fill="auto"/>
            <w:noWrap/>
            <w:vAlign w:val="bottom"/>
            <w:hideMark/>
          </w:tcPr>
          <w:p w14:paraId="2CD2D303"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2013</w:t>
            </w:r>
          </w:p>
        </w:tc>
        <w:tc>
          <w:tcPr>
            <w:tcW w:w="526" w:type="pct"/>
            <w:tcBorders>
              <w:top w:val="nil"/>
              <w:left w:val="nil"/>
              <w:bottom w:val="single" w:sz="4" w:space="0" w:color="auto"/>
              <w:right w:val="single" w:sz="4" w:space="0" w:color="auto"/>
            </w:tcBorders>
            <w:shd w:val="clear" w:color="auto" w:fill="auto"/>
            <w:noWrap/>
            <w:vAlign w:val="bottom"/>
            <w:hideMark/>
          </w:tcPr>
          <w:p w14:paraId="2EF5E82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189.27</w:t>
            </w:r>
          </w:p>
        </w:tc>
        <w:tc>
          <w:tcPr>
            <w:tcW w:w="526" w:type="pct"/>
            <w:tcBorders>
              <w:top w:val="nil"/>
              <w:left w:val="nil"/>
              <w:bottom w:val="single" w:sz="4" w:space="0" w:color="auto"/>
              <w:right w:val="single" w:sz="4" w:space="0" w:color="auto"/>
            </w:tcBorders>
            <w:shd w:val="clear" w:color="auto" w:fill="auto"/>
            <w:noWrap/>
            <w:vAlign w:val="bottom"/>
            <w:hideMark/>
          </w:tcPr>
          <w:p w14:paraId="2AD87770"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119.86</w:t>
            </w:r>
          </w:p>
        </w:tc>
        <w:tc>
          <w:tcPr>
            <w:tcW w:w="526" w:type="pct"/>
            <w:tcBorders>
              <w:top w:val="nil"/>
              <w:left w:val="nil"/>
              <w:bottom w:val="single" w:sz="4" w:space="0" w:color="auto"/>
              <w:right w:val="single" w:sz="4" w:space="0" w:color="auto"/>
            </w:tcBorders>
            <w:shd w:val="clear" w:color="auto" w:fill="auto"/>
            <w:noWrap/>
            <w:vAlign w:val="bottom"/>
            <w:hideMark/>
          </w:tcPr>
          <w:p w14:paraId="4D6AD7E8"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44.35</w:t>
            </w:r>
          </w:p>
        </w:tc>
        <w:tc>
          <w:tcPr>
            <w:tcW w:w="596" w:type="pct"/>
            <w:tcBorders>
              <w:top w:val="nil"/>
              <w:left w:val="nil"/>
              <w:bottom w:val="single" w:sz="4" w:space="0" w:color="auto"/>
              <w:right w:val="single" w:sz="4" w:space="0" w:color="auto"/>
            </w:tcBorders>
            <w:shd w:val="clear" w:color="auto" w:fill="auto"/>
            <w:noWrap/>
            <w:vAlign w:val="bottom"/>
            <w:hideMark/>
          </w:tcPr>
          <w:p w14:paraId="16E9BF6B" w14:textId="77777777" w:rsidR="00574BFB" w:rsidRPr="00574BFB" w:rsidRDefault="00574BFB" w:rsidP="00574BFB">
            <w:pPr>
              <w:spacing w:after="0" w:line="240" w:lineRule="auto"/>
              <w:jc w:val="right"/>
              <w:rPr>
                <w:rFonts w:ascii="Arial" w:eastAsia="Times New Roman" w:hAnsi="Arial" w:cs="Arial"/>
                <w:color w:val="000000"/>
                <w:sz w:val="16"/>
                <w:szCs w:val="16"/>
                <w:lang w:eastAsia="en-GB"/>
              </w:rPr>
            </w:pPr>
            <w:r w:rsidRPr="00574BFB">
              <w:rPr>
                <w:rFonts w:ascii="Arial" w:eastAsia="Times New Roman" w:hAnsi="Arial" w:cs="Arial"/>
                <w:color w:val="000000"/>
                <w:sz w:val="16"/>
                <w:szCs w:val="16"/>
                <w:lang w:eastAsia="en-GB"/>
              </w:rPr>
              <w:t>127.53</w:t>
            </w:r>
          </w:p>
        </w:tc>
      </w:tr>
    </w:tbl>
    <w:p w14:paraId="44C2F4F3" w14:textId="77777777" w:rsidR="00882474" w:rsidRPr="00BA00CD" w:rsidRDefault="00882474" w:rsidP="00BA00CD">
      <w:pPr>
        <w:pStyle w:val="NoSpacing"/>
        <w:rPr>
          <w:lang w:val="en-GB"/>
        </w:rPr>
      </w:pPr>
    </w:p>
    <w:p w14:paraId="78DEDB1F" w14:textId="77777777" w:rsidR="00BA00CD" w:rsidRPr="00BA00CD" w:rsidRDefault="00BA00CD" w:rsidP="00BA00CD">
      <w:pPr>
        <w:pStyle w:val="NoSpacing"/>
        <w:rPr>
          <w:lang w:val="en-GB"/>
        </w:rPr>
      </w:pPr>
    </w:p>
    <w:p w14:paraId="6FEC6547" w14:textId="4E476474" w:rsidR="00565C67" w:rsidRPr="00BA00CD" w:rsidRDefault="00565C67">
      <w:r>
        <w:br w:type="page"/>
      </w:r>
    </w:p>
    <w:p w14:paraId="4E27DA29" w14:textId="0700C4A0" w:rsidR="00E572E4" w:rsidRPr="00876478" w:rsidRDefault="00565C67" w:rsidP="00565C67">
      <w:pPr>
        <w:pStyle w:val="Heading1"/>
        <w:rPr>
          <w:rFonts w:ascii="Arial" w:hAnsi="Arial" w:cs="Arial"/>
          <w:sz w:val="24"/>
          <w:szCs w:val="24"/>
          <w:lang w:val="en-GB"/>
        </w:rPr>
      </w:pPr>
      <w:bookmarkStart w:id="9" w:name="_Toc42494724"/>
      <w:r w:rsidRPr="00876478">
        <w:rPr>
          <w:rFonts w:ascii="Arial" w:hAnsi="Arial" w:cs="Arial"/>
          <w:color w:val="auto"/>
          <w:sz w:val="20"/>
          <w:szCs w:val="20"/>
          <w:lang w:val="en-GB"/>
        </w:rPr>
        <w:lastRenderedPageBreak/>
        <w:t>Supplementary Table 3: prevalence estimates of selected lipid biomarkers (19</w:t>
      </w:r>
      <w:r w:rsidR="0062442A">
        <w:rPr>
          <w:rFonts w:ascii="Arial" w:hAnsi="Arial" w:cs="Arial"/>
          <w:color w:val="auto"/>
          <w:sz w:val="20"/>
          <w:szCs w:val="20"/>
          <w:lang w:val="en-GB"/>
        </w:rPr>
        <w:t>7</w:t>
      </w:r>
      <w:r w:rsidRPr="00876478">
        <w:rPr>
          <w:rFonts w:ascii="Arial" w:hAnsi="Arial" w:cs="Arial"/>
          <w:color w:val="auto"/>
          <w:sz w:val="20"/>
          <w:szCs w:val="20"/>
          <w:lang w:val="en-GB"/>
        </w:rPr>
        <w:t xml:space="preserve"> studies)</w:t>
      </w:r>
      <w:bookmarkEnd w:id="9"/>
    </w:p>
    <w:p w14:paraId="55C0AA3B" w14:textId="77777777" w:rsidR="00565C67" w:rsidRDefault="00565C67" w:rsidP="00565C67">
      <w:pPr>
        <w:pStyle w:val="NoSpacing"/>
        <w:jc w:val="both"/>
        <w:rPr>
          <w:lang w:val="en-GB"/>
        </w:rPr>
      </w:pPr>
    </w:p>
    <w:tbl>
      <w:tblPr>
        <w:tblW w:w="14425" w:type="dxa"/>
        <w:jc w:val="center"/>
        <w:tblLook w:val="04A0" w:firstRow="1" w:lastRow="0" w:firstColumn="1" w:lastColumn="0" w:noHBand="0" w:noVBand="1"/>
      </w:tblPr>
      <w:tblGrid>
        <w:gridCol w:w="1693"/>
        <w:gridCol w:w="2520"/>
        <w:gridCol w:w="1452"/>
        <w:gridCol w:w="1728"/>
        <w:gridCol w:w="617"/>
        <w:gridCol w:w="2769"/>
        <w:gridCol w:w="643"/>
        <w:gridCol w:w="910"/>
        <w:gridCol w:w="617"/>
        <w:gridCol w:w="1314"/>
        <w:gridCol w:w="617"/>
        <w:gridCol w:w="866"/>
      </w:tblGrid>
      <w:tr w:rsidR="00665066" w:rsidRPr="00665066" w14:paraId="4843BAFA" w14:textId="77777777" w:rsidTr="00665066">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BA20131" w14:textId="77777777" w:rsidR="00665066" w:rsidRPr="00665066" w:rsidRDefault="00665066" w:rsidP="00665066">
            <w:pPr>
              <w:spacing w:after="0" w:line="240" w:lineRule="auto"/>
              <w:jc w:val="center"/>
              <w:rPr>
                <w:rFonts w:ascii="Arial" w:eastAsia="Times New Roman" w:hAnsi="Arial" w:cs="Arial"/>
                <w:b/>
                <w:bCs/>
                <w:color w:val="000000"/>
                <w:sz w:val="16"/>
                <w:szCs w:val="16"/>
                <w:lang w:eastAsia="en-GB"/>
              </w:rPr>
            </w:pPr>
            <w:r w:rsidRPr="00665066">
              <w:rPr>
                <w:rFonts w:ascii="Arial" w:eastAsia="Times New Roman" w:hAnsi="Arial" w:cs="Arial"/>
                <w:b/>
                <w:bCs/>
                <w:color w:val="000000"/>
                <w:sz w:val="16"/>
                <w:szCs w:val="16"/>
                <w:lang w:eastAsia="en-GB"/>
              </w:rPr>
              <w:t>Country</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31147CBC" w14:textId="77777777" w:rsidR="00665066" w:rsidRPr="00665066" w:rsidRDefault="00665066" w:rsidP="00665066">
            <w:pPr>
              <w:spacing w:after="0" w:line="240" w:lineRule="auto"/>
              <w:jc w:val="center"/>
              <w:rPr>
                <w:rFonts w:ascii="Arial" w:eastAsia="Times New Roman" w:hAnsi="Arial" w:cs="Arial"/>
                <w:b/>
                <w:bCs/>
                <w:color w:val="000000"/>
                <w:sz w:val="16"/>
                <w:szCs w:val="16"/>
                <w:lang w:eastAsia="en-GB"/>
              </w:rPr>
            </w:pPr>
            <w:r w:rsidRPr="00665066">
              <w:rPr>
                <w:rFonts w:ascii="Arial" w:eastAsia="Times New Roman" w:hAnsi="Arial" w:cs="Arial"/>
                <w:b/>
                <w:bCs/>
                <w:color w:val="000000"/>
                <w:sz w:val="16"/>
                <w:szCs w:val="16"/>
                <w:lang w:eastAsia="en-GB"/>
              </w:rPr>
              <w:t>1st author</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7A01FA28" w14:textId="77777777" w:rsidR="00665066" w:rsidRPr="00665066" w:rsidRDefault="00665066" w:rsidP="00665066">
            <w:pPr>
              <w:spacing w:after="0" w:line="240" w:lineRule="auto"/>
              <w:jc w:val="center"/>
              <w:rPr>
                <w:rFonts w:ascii="Arial" w:eastAsia="Times New Roman" w:hAnsi="Arial" w:cs="Arial"/>
                <w:b/>
                <w:bCs/>
                <w:color w:val="000000"/>
                <w:sz w:val="16"/>
                <w:szCs w:val="16"/>
                <w:lang w:eastAsia="en-GB"/>
              </w:rPr>
            </w:pPr>
            <w:r w:rsidRPr="00665066">
              <w:rPr>
                <w:rFonts w:ascii="Arial" w:eastAsia="Times New Roman" w:hAnsi="Arial" w:cs="Arial"/>
                <w:b/>
                <w:bCs/>
                <w:color w:val="000000"/>
                <w:sz w:val="16"/>
                <w:szCs w:val="16"/>
                <w:lang w:eastAsia="en-GB"/>
              </w:rPr>
              <w:t>Publication year</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38E6C3C6" w14:textId="77777777" w:rsidR="00665066" w:rsidRPr="00665066" w:rsidRDefault="00665066" w:rsidP="00665066">
            <w:pPr>
              <w:spacing w:after="0" w:line="240" w:lineRule="auto"/>
              <w:jc w:val="center"/>
              <w:rPr>
                <w:rFonts w:ascii="Arial" w:eastAsia="Times New Roman" w:hAnsi="Arial" w:cs="Arial"/>
                <w:b/>
                <w:bCs/>
                <w:color w:val="000000"/>
                <w:sz w:val="16"/>
                <w:szCs w:val="16"/>
                <w:lang w:eastAsia="en-GB"/>
              </w:rPr>
            </w:pPr>
            <w:r w:rsidRPr="00665066">
              <w:rPr>
                <w:rFonts w:ascii="Arial" w:eastAsia="Times New Roman" w:hAnsi="Arial" w:cs="Arial"/>
                <w:b/>
                <w:bCs/>
                <w:color w:val="000000"/>
                <w:sz w:val="16"/>
                <w:szCs w:val="16"/>
                <w:lang w:eastAsia="en-GB"/>
              </w:rPr>
              <w:t>Data collection year</w:t>
            </w:r>
          </w:p>
        </w:tc>
        <w:tc>
          <w:tcPr>
            <w:tcW w:w="0" w:type="auto"/>
            <w:gridSpan w:val="2"/>
            <w:tcBorders>
              <w:top w:val="single" w:sz="4" w:space="0" w:color="auto"/>
              <w:left w:val="nil"/>
              <w:bottom w:val="single" w:sz="4" w:space="0" w:color="auto"/>
              <w:right w:val="single" w:sz="4" w:space="0" w:color="000000"/>
            </w:tcBorders>
            <w:shd w:val="clear" w:color="000000" w:fill="BFBFBF"/>
            <w:noWrap/>
            <w:vAlign w:val="bottom"/>
            <w:hideMark/>
          </w:tcPr>
          <w:p w14:paraId="07F1447F" w14:textId="77777777" w:rsidR="00665066" w:rsidRPr="00665066" w:rsidRDefault="00665066" w:rsidP="00665066">
            <w:pPr>
              <w:spacing w:after="0" w:line="240" w:lineRule="auto"/>
              <w:jc w:val="center"/>
              <w:rPr>
                <w:rFonts w:ascii="Arial" w:eastAsia="Times New Roman" w:hAnsi="Arial" w:cs="Arial"/>
                <w:b/>
                <w:bCs/>
                <w:color w:val="000000"/>
                <w:sz w:val="16"/>
                <w:szCs w:val="16"/>
                <w:lang w:eastAsia="en-GB"/>
              </w:rPr>
            </w:pPr>
            <w:r w:rsidRPr="00665066">
              <w:rPr>
                <w:rFonts w:ascii="Arial" w:eastAsia="Times New Roman" w:hAnsi="Arial" w:cs="Arial"/>
                <w:b/>
                <w:bCs/>
                <w:color w:val="000000"/>
                <w:sz w:val="16"/>
                <w:szCs w:val="16"/>
                <w:lang w:eastAsia="en-GB"/>
              </w:rPr>
              <w:t>Total cholesterol</w:t>
            </w:r>
          </w:p>
        </w:tc>
        <w:tc>
          <w:tcPr>
            <w:tcW w:w="0" w:type="auto"/>
            <w:gridSpan w:val="2"/>
            <w:tcBorders>
              <w:top w:val="single" w:sz="4" w:space="0" w:color="auto"/>
              <w:left w:val="nil"/>
              <w:bottom w:val="single" w:sz="4" w:space="0" w:color="auto"/>
              <w:right w:val="single" w:sz="4" w:space="0" w:color="000000"/>
            </w:tcBorders>
            <w:shd w:val="clear" w:color="000000" w:fill="BFBFBF"/>
            <w:noWrap/>
            <w:vAlign w:val="bottom"/>
            <w:hideMark/>
          </w:tcPr>
          <w:p w14:paraId="4DDD6D24" w14:textId="77777777" w:rsidR="00665066" w:rsidRPr="00665066" w:rsidRDefault="00665066" w:rsidP="00665066">
            <w:pPr>
              <w:spacing w:after="0" w:line="240" w:lineRule="auto"/>
              <w:jc w:val="center"/>
              <w:rPr>
                <w:rFonts w:ascii="Arial" w:eastAsia="Times New Roman" w:hAnsi="Arial" w:cs="Arial"/>
                <w:b/>
                <w:bCs/>
                <w:color w:val="000000"/>
                <w:sz w:val="16"/>
                <w:szCs w:val="16"/>
                <w:lang w:eastAsia="en-GB"/>
              </w:rPr>
            </w:pPr>
            <w:r w:rsidRPr="00665066">
              <w:rPr>
                <w:rFonts w:ascii="Arial" w:eastAsia="Times New Roman" w:hAnsi="Arial" w:cs="Arial"/>
                <w:b/>
                <w:bCs/>
                <w:color w:val="000000"/>
                <w:sz w:val="16"/>
                <w:szCs w:val="16"/>
                <w:lang w:eastAsia="en-GB"/>
              </w:rPr>
              <w:t>LDL-cholesterol</w:t>
            </w:r>
          </w:p>
        </w:tc>
        <w:tc>
          <w:tcPr>
            <w:tcW w:w="1882" w:type="dxa"/>
            <w:gridSpan w:val="2"/>
            <w:tcBorders>
              <w:top w:val="single" w:sz="4" w:space="0" w:color="auto"/>
              <w:left w:val="nil"/>
              <w:bottom w:val="single" w:sz="4" w:space="0" w:color="auto"/>
              <w:right w:val="single" w:sz="4" w:space="0" w:color="000000"/>
            </w:tcBorders>
            <w:shd w:val="clear" w:color="000000" w:fill="BFBFBF"/>
            <w:noWrap/>
            <w:vAlign w:val="bottom"/>
            <w:hideMark/>
          </w:tcPr>
          <w:p w14:paraId="42B0CFFA" w14:textId="77777777" w:rsidR="00665066" w:rsidRPr="00665066" w:rsidRDefault="00665066" w:rsidP="00665066">
            <w:pPr>
              <w:spacing w:after="0" w:line="240" w:lineRule="auto"/>
              <w:jc w:val="center"/>
              <w:rPr>
                <w:rFonts w:ascii="Arial" w:eastAsia="Times New Roman" w:hAnsi="Arial" w:cs="Arial"/>
                <w:b/>
                <w:bCs/>
                <w:color w:val="000000"/>
                <w:sz w:val="16"/>
                <w:szCs w:val="16"/>
                <w:lang w:eastAsia="en-GB"/>
              </w:rPr>
            </w:pPr>
            <w:r w:rsidRPr="00665066">
              <w:rPr>
                <w:rFonts w:ascii="Arial" w:eastAsia="Times New Roman" w:hAnsi="Arial" w:cs="Arial"/>
                <w:b/>
                <w:bCs/>
                <w:color w:val="000000"/>
                <w:sz w:val="16"/>
                <w:szCs w:val="16"/>
                <w:lang w:eastAsia="en-GB"/>
              </w:rPr>
              <w:t>HDL-cholesterol</w:t>
            </w:r>
          </w:p>
        </w:tc>
        <w:tc>
          <w:tcPr>
            <w:tcW w:w="1456" w:type="dxa"/>
            <w:gridSpan w:val="2"/>
            <w:tcBorders>
              <w:top w:val="single" w:sz="4" w:space="0" w:color="auto"/>
              <w:left w:val="nil"/>
              <w:bottom w:val="single" w:sz="4" w:space="0" w:color="auto"/>
              <w:right w:val="single" w:sz="4" w:space="0" w:color="000000"/>
            </w:tcBorders>
            <w:shd w:val="clear" w:color="000000" w:fill="BFBFBF"/>
            <w:noWrap/>
            <w:vAlign w:val="bottom"/>
            <w:hideMark/>
          </w:tcPr>
          <w:p w14:paraId="142771C1" w14:textId="77777777" w:rsidR="00665066" w:rsidRPr="00665066" w:rsidRDefault="00665066" w:rsidP="00665066">
            <w:pPr>
              <w:spacing w:after="0" w:line="240" w:lineRule="auto"/>
              <w:jc w:val="center"/>
              <w:rPr>
                <w:rFonts w:ascii="Arial" w:eastAsia="Times New Roman" w:hAnsi="Arial" w:cs="Arial"/>
                <w:b/>
                <w:bCs/>
                <w:color w:val="000000"/>
                <w:sz w:val="16"/>
                <w:szCs w:val="16"/>
                <w:lang w:eastAsia="en-GB"/>
              </w:rPr>
            </w:pPr>
            <w:r w:rsidRPr="00665066">
              <w:rPr>
                <w:rFonts w:ascii="Arial" w:eastAsia="Times New Roman" w:hAnsi="Arial" w:cs="Arial"/>
                <w:b/>
                <w:bCs/>
                <w:color w:val="000000"/>
                <w:sz w:val="16"/>
                <w:szCs w:val="16"/>
                <w:lang w:eastAsia="en-GB"/>
              </w:rPr>
              <w:t>Triglycerides</w:t>
            </w:r>
          </w:p>
        </w:tc>
      </w:tr>
      <w:tr w:rsidR="00665066" w:rsidRPr="00665066" w14:paraId="07DF46C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8D5B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Argentina</w:t>
            </w:r>
          </w:p>
        </w:tc>
        <w:tc>
          <w:tcPr>
            <w:tcW w:w="0" w:type="auto"/>
            <w:tcBorders>
              <w:top w:val="nil"/>
              <w:left w:val="nil"/>
              <w:bottom w:val="single" w:sz="4" w:space="0" w:color="auto"/>
              <w:right w:val="single" w:sz="4" w:space="0" w:color="auto"/>
            </w:tcBorders>
            <w:shd w:val="clear" w:color="auto" w:fill="auto"/>
            <w:noWrap/>
            <w:vAlign w:val="bottom"/>
            <w:hideMark/>
          </w:tcPr>
          <w:p w14:paraId="75DAF570"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Vinueza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C06B97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59067DD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6915CEE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18.7</w:t>
            </w:r>
          </w:p>
        </w:tc>
        <w:tc>
          <w:tcPr>
            <w:tcW w:w="0" w:type="auto"/>
            <w:tcBorders>
              <w:top w:val="nil"/>
              <w:left w:val="nil"/>
              <w:bottom w:val="single" w:sz="4" w:space="0" w:color="auto"/>
              <w:right w:val="single" w:sz="4" w:space="0" w:color="auto"/>
            </w:tcBorders>
            <w:shd w:val="clear" w:color="auto" w:fill="auto"/>
            <w:noWrap/>
            <w:vAlign w:val="bottom"/>
            <w:hideMark/>
          </w:tcPr>
          <w:p w14:paraId="04AF908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5E4809E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24.7</w:t>
            </w:r>
          </w:p>
        </w:tc>
        <w:tc>
          <w:tcPr>
            <w:tcW w:w="825" w:type="dxa"/>
            <w:tcBorders>
              <w:top w:val="nil"/>
              <w:left w:val="nil"/>
              <w:bottom w:val="single" w:sz="4" w:space="0" w:color="auto"/>
              <w:right w:val="single" w:sz="4" w:space="0" w:color="auto"/>
            </w:tcBorders>
            <w:shd w:val="clear" w:color="auto" w:fill="auto"/>
            <w:noWrap/>
            <w:vAlign w:val="bottom"/>
            <w:hideMark/>
          </w:tcPr>
          <w:p w14:paraId="0CB160C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mixed with Fr</w:t>
            </w:r>
          </w:p>
        </w:tc>
        <w:tc>
          <w:tcPr>
            <w:tcW w:w="0" w:type="auto"/>
            <w:tcBorders>
              <w:top w:val="nil"/>
              <w:left w:val="nil"/>
              <w:bottom w:val="single" w:sz="4" w:space="0" w:color="auto"/>
              <w:right w:val="single" w:sz="4" w:space="0" w:color="auto"/>
            </w:tcBorders>
            <w:shd w:val="clear" w:color="auto" w:fill="auto"/>
            <w:noWrap/>
            <w:vAlign w:val="bottom"/>
            <w:hideMark/>
          </w:tcPr>
          <w:p w14:paraId="0BDA750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16.9</w:t>
            </w:r>
          </w:p>
        </w:tc>
        <w:tc>
          <w:tcPr>
            <w:tcW w:w="1314" w:type="dxa"/>
            <w:tcBorders>
              <w:top w:val="nil"/>
              <w:left w:val="nil"/>
              <w:bottom w:val="single" w:sz="4" w:space="0" w:color="auto"/>
              <w:right w:val="single" w:sz="4" w:space="0" w:color="auto"/>
            </w:tcBorders>
            <w:shd w:val="clear" w:color="auto" w:fill="auto"/>
            <w:noWrap/>
            <w:vAlign w:val="bottom"/>
            <w:hideMark/>
          </w:tcPr>
          <w:p w14:paraId="56C96DD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0888474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9.8</w:t>
            </w:r>
          </w:p>
        </w:tc>
        <w:tc>
          <w:tcPr>
            <w:tcW w:w="866" w:type="dxa"/>
            <w:tcBorders>
              <w:top w:val="nil"/>
              <w:left w:val="nil"/>
              <w:bottom w:val="single" w:sz="4" w:space="0" w:color="auto"/>
              <w:right w:val="single" w:sz="4" w:space="0" w:color="auto"/>
            </w:tcBorders>
            <w:shd w:val="clear" w:color="auto" w:fill="auto"/>
            <w:noWrap/>
            <w:vAlign w:val="bottom"/>
            <w:hideMark/>
          </w:tcPr>
          <w:p w14:paraId="6F2209C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463A2F9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AC296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Argentina</w:t>
            </w:r>
          </w:p>
        </w:tc>
        <w:tc>
          <w:tcPr>
            <w:tcW w:w="0" w:type="auto"/>
            <w:tcBorders>
              <w:top w:val="nil"/>
              <w:left w:val="nil"/>
              <w:bottom w:val="single" w:sz="4" w:space="0" w:color="auto"/>
              <w:right w:val="single" w:sz="4" w:space="0" w:color="auto"/>
            </w:tcBorders>
            <w:shd w:val="clear" w:color="auto" w:fill="auto"/>
            <w:noWrap/>
            <w:vAlign w:val="bottom"/>
            <w:hideMark/>
          </w:tcPr>
          <w:p w14:paraId="36BC07D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Salazar</w:t>
            </w:r>
          </w:p>
        </w:tc>
        <w:tc>
          <w:tcPr>
            <w:tcW w:w="0" w:type="auto"/>
            <w:tcBorders>
              <w:top w:val="nil"/>
              <w:left w:val="nil"/>
              <w:bottom w:val="single" w:sz="4" w:space="0" w:color="auto"/>
              <w:right w:val="single" w:sz="4" w:space="0" w:color="auto"/>
            </w:tcBorders>
            <w:shd w:val="clear" w:color="auto" w:fill="auto"/>
            <w:noWrap/>
            <w:vAlign w:val="bottom"/>
            <w:hideMark/>
          </w:tcPr>
          <w:p w14:paraId="668687C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52136C4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2003</w:t>
            </w:r>
          </w:p>
        </w:tc>
        <w:tc>
          <w:tcPr>
            <w:tcW w:w="0" w:type="auto"/>
            <w:tcBorders>
              <w:top w:val="nil"/>
              <w:left w:val="nil"/>
              <w:bottom w:val="single" w:sz="4" w:space="0" w:color="auto"/>
              <w:right w:val="single" w:sz="4" w:space="0" w:color="auto"/>
            </w:tcBorders>
            <w:shd w:val="clear" w:color="auto" w:fill="auto"/>
            <w:noWrap/>
            <w:vAlign w:val="bottom"/>
            <w:hideMark/>
          </w:tcPr>
          <w:p w14:paraId="4E2DC63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D1A37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1DB64B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8B30DD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265FF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33BC74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47585B5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3B3DD3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71B1D9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409EE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Argentina</w:t>
            </w:r>
          </w:p>
        </w:tc>
        <w:tc>
          <w:tcPr>
            <w:tcW w:w="0" w:type="auto"/>
            <w:tcBorders>
              <w:top w:val="nil"/>
              <w:left w:val="nil"/>
              <w:bottom w:val="single" w:sz="4" w:space="0" w:color="auto"/>
              <w:right w:val="single" w:sz="4" w:space="0" w:color="auto"/>
            </w:tcBorders>
            <w:shd w:val="clear" w:color="auto" w:fill="auto"/>
            <w:noWrap/>
            <w:vAlign w:val="bottom"/>
            <w:hideMark/>
          </w:tcPr>
          <w:p w14:paraId="671DD99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Rubinstein</w:t>
            </w:r>
          </w:p>
        </w:tc>
        <w:tc>
          <w:tcPr>
            <w:tcW w:w="0" w:type="auto"/>
            <w:tcBorders>
              <w:top w:val="nil"/>
              <w:left w:val="nil"/>
              <w:bottom w:val="single" w:sz="4" w:space="0" w:color="auto"/>
              <w:right w:val="single" w:sz="4" w:space="0" w:color="auto"/>
            </w:tcBorders>
            <w:shd w:val="clear" w:color="auto" w:fill="auto"/>
            <w:noWrap/>
            <w:vAlign w:val="bottom"/>
            <w:hideMark/>
          </w:tcPr>
          <w:p w14:paraId="7F315A7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23691EB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12CC1A0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21.75</w:t>
            </w:r>
          </w:p>
        </w:tc>
        <w:tc>
          <w:tcPr>
            <w:tcW w:w="0" w:type="auto"/>
            <w:tcBorders>
              <w:top w:val="nil"/>
              <w:left w:val="nil"/>
              <w:bottom w:val="single" w:sz="4" w:space="0" w:color="auto"/>
              <w:right w:val="single" w:sz="4" w:space="0" w:color="auto"/>
            </w:tcBorders>
            <w:shd w:val="clear" w:color="auto" w:fill="auto"/>
            <w:noWrap/>
            <w:vAlign w:val="bottom"/>
            <w:hideMark/>
          </w:tcPr>
          <w:p w14:paraId="3B0FB7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64ECF5E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20.35</w:t>
            </w:r>
          </w:p>
        </w:tc>
        <w:tc>
          <w:tcPr>
            <w:tcW w:w="825" w:type="dxa"/>
            <w:tcBorders>
              <w:top w:val="nil"/>
              <w:left w:val="nil"/>
              <w:bottom w:val="single" w:sz="4" w:space="0" w:color="auto"/>
              <w:right w:val="single" w:sz="4" w:space="0" w:color="auto"/>
            </w:tcBorders>
            <w:shd w:val="clear" w:color="auto" w:fill="auto"/>
            <w:noWrap/>
            <w:vAlign w:val="bottom"/>
            <w:hideMark/>
          </w:tcPr>
          <w:p w14:paraId="71A3B7B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30CC359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35.49</w:t>
            </w:r>
          </w:p>
        </w:tc>
        <w:tc>
          <w:tcPr>
            <w:tcW w:w="1314" w:type="dxa"/>
            <w:tcBorders>
              <w:top w:val="nil"/>
              <w:left w:val="nil"/>
              <w:bottom w:val="single" w:sz="4" w:space="0" w:color="auto"/>
              <w:right w:val="single" w:sz="4" w:space="0" w:color="auto"/>
            </w:tcBorders>
            <w:shd w:val="clear" w:color="auto" w:fill="auto"/>
            <w:noWrap/>
            <w:vAlign w:val="bottom"/>
            <w:hideMark/>
          </w:tcPr>
          <w:p w14:paraId="25316FD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749BB66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21.25</w:t>
            </w:r>
          </w:p>
        </w:tc>
        <w:tc>
          <w:tcPr>
            <w:tcW w:w="866" w:type="dxa"/>
            <w:tcBorders>
              <w:top w:val="nil"/>
              <w:left w:val="nil"/>
              <w:bottom w:val="single" w:sz="4" w:space="0" w:color="auto"/>
              <w:right w:val="single" w:sz="4" w:space="0" w:color="auto"/>
            </w:tcBorders>
            <w:shd w:val="clear" w:color="auto" w:fill="auto"/>
            <w:noWrap/>
            <w:vAlign w:val="bottom"/>
            <w:hideMark/>
          </w:tcPr>
          <w:p w14:paraId="14B2B6C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53EA685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4B7BF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Argentina</w:t>
            </w:r>
          </w:p>
        </w:tc>
        <w:tc>
          <w:tcPr>
            <w:tcW w:w="0" w:type="auto"/>
            <w:tcBorders>
              <w:top w:val="nil"/>
              <w:left w:val="nil"/>
              <w:bottom w:val="single" w:sz="4" w:space="0" w:color="auto"/>
              <w:right w:val="single" w:sz="4" w:space="0" w:color="auto"/>
            </w:tcBorders>
            <w:shd w:val="clear" w:color="auto" w:fill="auto"/>
            <w:noWrap/>
            <w:vAlign w:val="bottom"/>
            <w:hideMark/>
          </w:tcPr>
          <w:p w14:paraId="28DF25C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Salazar</w:t>
            </w:r>
          </w:p>
        </w:tc>
        <w:tc>
          <w:tcPr>
            <w:tcW w:w="0" w:type="auto"/>
            <w:tcBorders>
              <w:top w:val="nil"/>
              <w:left w:val="nil"/>
              <w:bottom w:val="single" w:sz="4" w:space="0" w:color="auto"/>
              <w:right w:val="single" w:sz="4" w:space="0" w:color="auto"/>
            </w:tcBorders>
            <w:shd w:val="clear" w:color="auto" w:fill="auto"/>
            <w:noWrap/>
            <w:vAlign w:val="bottom"/>
            <w:hideMark/>
          </w:tcPr>
          <w:p w14:paraId="13B8C02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1B0338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4FB5344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5A291A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8B9BC8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8828EB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AAC0B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8AF7D4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F65D60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0CF833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0E0601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B1BFC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Argentina</w:t>
            </w:r>
          </w:p>
        </w:tc>
        <w:tc>
          <w:tcPr>
            <w:tcW w:w="0" w:type="auto"/>
            <w:tcBorders>
              <w:top w:val="nil"/>
              <w:left w:val="nil"/>
              <w:bottom w:val="single" w:sz="4" w:space="0" w:color="auto"/>
              <w:right w:val="single" w:sz="4" w:space="0" w:color="auto"/>
            </w:tcBorders>
            <w:shd w:val="clear" w:color="auto" w:fill="auto"/>
            <w:noWrap/>
            <w:vAlign w:val="bottom"/>
            <w:hideMark/>
          </w:tcPr>
          <w:p w14:paraId="5816030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Carbajal</w:t>
            </w:r>
          </w:p>
        </w:tc>
        <w:tc>
          <w:tcPr>
            <w:tcW w:w="0" w:type="auto"/>
            <w:tcBorders>
              <w:top w:val="nil"/>
              <w:left w:val="nil"/>
              <w:bottom w:val="single" w:sz="4" w:space="0" w:color="auto"/>
              <w:right w:val="single" w:sz="4" w:space="0" w:color="auto"/>
            </w:tcBorders>
            <w:shd w:val="clear" w:color="auto" w:fill="auto"/>
            <w:noWrap/>
            <w:vAlign w:val="bottom"/>
            <w:hideMark/>
          </w:tcPr>
          <w:p w14:paraId="5F7F6BC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36558BC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AE021C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18.58</w:t>
            </w:r>
          </w:p>
        </w:tc>
        <w:tc>
          <w:tcPr>
            <w:tcW w:w="0" w:type="auto"/>
            <w:tcBorders>
              <w:top w:val="nil"/>
              <w:left w:val="nil"/>
              <w:bottom w:val="single" w:sz="4" w:space="0" w:color="auto"/>
              <w:right w:val="single" w:sz="4" w:space="0" w:color="auto"/>
            </w:tcBorders>
            <w:shd w:val="clear" w:color="auto" w:fill="auto"/>
            <w:noWrap/>
            <w:vAlign w:val="bottom"/>
            <w:hideMark/>
          </w:tcPr>
          <w:p w14:paraId="537C393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&gt;=5.18</w:t>
            </w:r>
          </w:p>
        </w:tc>
        <w:tc>
          <w:tcPr>
            <w:tcW w:w="643" w:type="dxa"/>
            <w:tcBorders>
              <w:top w:val="nil"/>
              <w:left w:val="nil"/>
              <w:bottom w:val="single" w:sz="4" w:space="0" w:color="auto"/>
              <w:right w:val="single" w:sz="4" w:space="0" w:color="auto"/>
            </w:tcBorders>
            <w:shd w:val="clear" w:color="auto" w:fill="auto"/>
            <w:noWrap/>
            <w:vAlign w:val="bottom"/>
            <w:hideMark/>
          </w:tcPr>
          <w:p w14:paraId="5FAAD03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70379E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B690A5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7BE302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464B0B4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7FBC5C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16619E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D2BCD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Argentina</w:t>
            </w:r>
          </w:p>
        </w:tc>
        <w:tc>
          <w:tcPr>
            <w:tcW w:w="0" w:type="auto"/>
            <w:tcBorders>
              <w:top w:val="nil"/>
              <w:left w:val="nil"/>
              <w:bottom w:val="single" w:sz="4" w:space="0" w:color="auto"/>
              <w:right w:val="single" w:sz="4" w:space="0" w:color="auto"/>
            </w:tcBorders>
            <w:shd w:val="clear" w:color="auto" w:fill="auto"/>
            <w:noWrap/>
            <w:vAlign w:val="bottom"/>
            <w:hideMark/>
          </w:tcPr>
          <w:p w14:paraId="61A3CC0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Schneider</w:t>
            </w:r>
          </w:p>
        </w:tc>
        <w:tc>
          <w:tcPr>
            <w:tcW w:w="0" w:type="auto"/>
            <w:tcBorders>
              <w:top w:val="nil"/>
              <w:left w:val="nil"/>
              <w:bottom w:val="single" w:sz="4" w:space="0" w:color="auto"/>
              <w:right w:val="single" w:sz="4" w:space="0" w:color="auto"/>
            </w:tcBorders>
            <w:shd w:val="clear" w:color="auto" w:fill="auto"/>
            <w:noWrap/>
            <w:vAlign w:val="bottom"/>
            <w:hideMark/>
          </w:tcPr>
          <w:p w14:paraId="63D6809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37109B4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13215B3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B438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9E1939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DE877C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47EF6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74B706C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C8CA08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9F7C5A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ABDBFF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FD111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Argentina</w:t>
            </w:r>
          </w:p>
        </w:tc>
        <w:tc>
          <w:tcPr>
            <w:tcW w:w="0" w:type="auto"/>
            <w:tcBorders>
              <w:top w:val="nil"/>
              <w:left w:val="nil"/>
              <w:bottom w:val="single" w:sz="4" w:space="0" w:color="auto"/>
              <w:right w:val="single" w:sz="4" w:space="0" w:color="auto"/>
            </w:tcBorders>
            <w:shd w:val="clear" w:color="auto" w:fill="auto"/>
            <w:noWrap/>
            <w:vAlign w:val="bottom"/>
            <w:hideMark/>
          </w:tcPr>
          <w:p w14:paraId="5B851B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Ferrante</w:t>
            </w:r>
          </w:p>
        </w:tc>
        <w:tc>
          <w:tcPr>
            <w:tcW w:w="0" w:type="auto"/>
            <w:tcBorders>
              <w:top w:val="nil"/>
              <w:left w:val="nil"/>
              <w:bottom w:val="single" w:sz="4" w:space="0" w:color="auto"/>
              <w:right w:val="single" w:sz="4" w:space="0" w:color="auto"/>
            </w:tcBorders>
            <w:shd w:val="clear" w:color="auto" w:fill="auto"/>
            <w:noWrap/>
            <w:vAlign w:val="bottom"/>
            <w:hideMark/>
          </w:tcPr>
          <w:p w14:paraId="1C86C61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796AD17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11F2FCB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27.8</w:t>
            </w:r>
          </w:p>
        </w:tc>
        <w:tc>
          <w:tcPr>
            <w:tcW w:w="0" w:type="auto"/>
            <w:tcBorders>
              <w:top w:val="nil"/>
              <w:left w:val="nil"/>
              <w:bottom w:val="single" w:sz="4" w:space="0" w:color="auto"/>
              <w:right w:val="single" w:sz="4" w:space="0" w:color="auto"/>
            </w:tcBorders>
            <w:shd w:val="clear" w:color="auto" w:fill="auto"/>
            <w:noWrap/>
            <w:vAlign w:val="bottom"/>
            <w:hideMark/>
          </w:tcPr>
          <w:p w14:paraId="31D6497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4CCD7D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180E76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3A899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5BDA65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7A3702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412A7D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08AEE2C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795C6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Argentina</w:t>
            </w:r>
          </w:p>
        </w:tc>
        <w:tc>
          <w:tcPr>
            <w:tcW w:w="0" w:type="auto"/>
            <w:tcBorders>
              <w:top w:val="nil"/>
              <w:left w:val="nil"/>
              <w:bottom w:val="single" w:sz="4" w:space="0" w:color="auto"/>
              <w:right w:val="single" w:sz="4" w:space="0" w:color="auto"/>
            </w:tcBorders>
            <w:shd w:val="clear" w:color="auto" w:fill="auto"/>
            <w:noWrap/>
            <w:vAlign w:val="bottom"/>
            <w:hideMark/>
          </w:tcPr>
          <w:p w14:paraId="26DB1C83"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Redruello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E1847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6CA2950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343C0D4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D7223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E481FE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FFD847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BCF9A0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7653EAD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0C65D33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965926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054ABD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3D84F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Argentina</w:t>
            </w:r>
          </w:p>
        </w:tc>
        <w:tc>
          <w:tcPr>
            <w:tcW w:w="0" w:type="auto"/>
            <w:tcBorders>
              <w:top w:val="nil"/>
              <w:left w:val="nil"/>
              <w:bottom w:val="single" w:sz="4" w:space="0" w:color="auto"/>
              <w:right w:val="single" w:sz="4" w:space="0" w:color="auto"/>
            </w:tcBorders>
            <w:shd w:val="clear" w:color="auto" w:fill="auto"/>
            <w:noWrap/>
            <w:vAlign w:val="bottom"/>
            <w:hideMark/>
          </w:tcPr>
          <w:p w14:paraId="2B23C25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Ferrante</w:t>
            </w:r>
          </w:p>
        </w:tc>
        <w:tc>
          <w:tcPr>
            <w:tcW w:w="0" w:type="auto"/>
            <w:tcBorders>
              <w:top w:val="nil"/>
              <w:left w:val="nil"/>
              <w:bottom w:val="single" w:sz="4" w:space="0" w:color="auto"/>
              <w:right w:val="single" w:sz="4" w:space="0" w:color="auto"/>
            </w:tcBorders>
            <w:shd w:val="clear" w:color="auto" w:fill="auto"/>
            <w:noWrap/>
            <w:vAlign w:val="bottom"/>
            <w:hideMark/>
          </w:tcPr>
          <w:p w14:paraId="15E2603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890E53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59B5FEF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29.1</w:t>
            </w:r>
          </w:p>
        </w:tc>
        <w:tc>
          <w:tcPr>
            <w:tcW w:w="0" w:type="auto"/>
            <w:tcBorders>
              <w:top w:val="nil"/>
              <w:left w:val="nil"/>
              <w:bottom w:val="single" w:sz="4" w:space="0" w:color="auto"/>
              <w:right w:val="single" w:sz="4" w:space="0" w:color="auto"/>
            </w:tcBorders>
            <w:shd w:val="clear" w:color="auto" w:fill="auto"/>
            <w:noWrap/>
            <w:vAlign w:val="bottom"/>
            <w:hideMark/>
          </w:tcPr>
          <w:p w14:paraId="3602317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D30EB9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8C9CFC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134BE5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F75E5A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8F8AC7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6FCEE7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F8908C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51067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Barbados</w:t>
            </w:r>
          </w:p>
        </w:tc>
        <w:tc>
          <w:tcPr>
            <w:tcW w:w="0" w:type="auto"/>
            <w:tcBorders>
              <w:top w:val="nil"/>
              <w:left w:val="nil"/>
              <w:bottom w:val="single" w:sz="4" w:space="0" w:color="auto"/>
              <w:right w:val="single" w:sz="4" w:space="0" w:color="auto"/>
            </w:tcBorders>
            <w:shd w:val="clear" w:color="auto" w:fill="auto"/>
            <w:noWrap/>
            <w:vAlign w:val="bottom"/>
            <w:hideMark/>
          </w:tcPr>
          <w:p w14:paraId="0E71AEE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Howitt</w:t>
            </w:r>
          </w:p>
        </w:tc>
        <w:tc>
          <w:tcPr>
            <w:tcW w:w="0" w:type="auto"/>
            <w:tcBorders>
              <w:top w:val="nil"/>
              <w:left w:val="nil"/>
              <w:bottom w:val="single" w:sz="4" w:space="0" w:color="auto"/>
              <w:right w:val="single" w:sz="4" w:space="0" w:color="auto"/>
            </w:tcBorders>
            <w:shd w:val="clear" w:color="auto" w:fill="auto"/>
            <w:noWrap/>
            <w:vAlign w:val="bottom"/>
            <w:hideMark/>
          </w:tcPr>
          <w:p w14:paraId="3A501CE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2E709D5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3151A00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21.2</w:t>
            </w:r>
          </w:p>
        </w:tc>
        <w:tc>
          <w:tcPr>
            <w:tcW w:w="0" w:type="auto"/>
            <w:tcBorders>
              <w:top w:val="nil"/>
              <w:left w:val="nil"/>
              <w:bottom w:val="single" w:sz="4" w:space="0" w:color="auto"/>
              <w:right w:val="single" w:sz="4" w:space="0" w:color="auto"/>
            </w:tcBorders>
            <w:shd w:val="clear" w:color="auto" w:fill="auto"/>
            <w:noWrap/>
            <w:vAlign w:val="bottom"/>
            <w:hideMark/>
          </w:tcPr>
          <w:p w14:paraId="2375CD1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&gt;=194</w:t>
            </w:r>
          </w:p>
        </w:tc>
        <w:tc>
          <w:tcPr>
            <w:tcW w:w="643" w:type="dxa"/>
            <w:tcBorders>
              <w:top w:val="nil"/>
              <w:left w:val="nil"/>
              <w:bottom w:val="single" w:sz="4" w:space="0" w:color="auto"/>
              <w:right w:val="single" w:sz="4" w:space="0" w:color="auto"/>
            </w:tcBorders>
            <w:shd w:val="clear" w:color="auto" w:fill="auto"/>
            <w:noWrap/>
            <w:vAlign w:val="bottom"/>
            <w:hideMark/>
          </w:tcPr>
          <w:p w14:paraId="7949D84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0FBDFD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C7C5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7FE9E9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4BA25B8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E9D31B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6FE802A"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21B4B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Belize</w:t>
            </w:r>
          </w:p>
        </w:tc>
        <w:tc>
          <w:tcPr>
            <w:tcW w:w="0" w:type="auto"/>
            <w:tcBorders>
              <w:top w:val="nil"/>
              <w:left w:val="nil"/>
              <w:bottom w:val="single" w:sz="4" w:space="0" w:color="auto"/>
              <w:right w:val="single" w:sz="4" w:space="0" w:color="auto"/>
            </w:tcBorders>
            <w:shd w:val="clear" w:color="auto" w:fill="auto"/>
            <w:noWrap/>
            <w:vAlign w:val="bottom"/>
            <w:hideMark/>
          </w:tcPr>
          <w:p w14:paraId="531DEFA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Wong-McClure</w:t>
            </w:r>
          </w:p>
        </w:tc>
        <w:tc>
          <w:tcPr>
            <w:tcW w:w="0" w:type="auto"/>
            <w:tcBorders>
              <w:top w:val="nil"/>
              <w:left w:val="nil"/>
              <w:bottom w:val="single" w:sz="4" w:space="0" w:color="auto"/>
              <w:right w:val="single" w:sz="4" w:space="0" w:color="auto"/>
            </w:tcBorders>
            <w:shd w:val="clear" w:color="auto" w:fill="auto"/>
            <w:noWrap/>
            <w:vAlign w:val="bottom"/>
            <w:hideMark/>
          </w:tcPr>
          <w:p w14:paraId="3E807F9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62AC739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0CDC361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714B57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082D2F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65E4899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7EB4A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51</w:t>
            </w:r>
          </w:p>
        </w:tc>
        <w:tc>
          <w:tcPr>
            <w:tcW w:w="1314" w:type="dxa"/>
            <w:tcBorders>
              <w:top w:val="nil"/>
              <w:left w:val="nil"/>
              <w:bottom w:val="single" w:sz="4" w:space="0" w:color="auto"/>
              <w:right w:val="single" w:sz="4" w:space="0" w:color="auto"/>
            </w:tcBorders>
            <w:shd w:val="clear" w:color="auto" w:fill="auto"/>
            <w:noWrap/>
            <w:vAlign w:val="bottom"/>
            <w:hideMark/>
          </w:tcPr>
          <w:p w14:paraId="16E4515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5012448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38</w:t>
            </w:r>
          </w:p>
        </w:tc>
        <w:tc>
          <w:tcPr>
            <w:tcW w:w="866" w:type="dxa"/>
            <w:tcBorders>
              <w:top w:val="nil"/>
              <w:left w:val="nil"/>
              <w:bottom w:val="single" w:sz="4" w:space="0" w:color="auto"/>
              <w:right w:val="single" w:sz="4" w:space="0" w:color="auto"/>
            </w:tcBorders>
            <w:shd w:val="clear" w:color="auto" w:fill="auto"/>
            <w:noWrap/>
            <w:vAlign w:val="bottom"/>
            <w:hideMark/>
          </w:tcPr>
          <w:p w14:paraId="67DD11B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7395FA5C"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87927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4809C1F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Velasquez-Melendez</w:t>
            </w:r>
          </w:p>
        </w:tc>
        <w:tc>
          <w:tcPr>
            <w:tcW w:w="0" w:type="auto"/>
            <w:tcBorders>
              <w:top w:val="nil"/>
              <w:left w:val="nil"/>
              <w:bottom w:val="single" w:sz="4" w:space="0" w:color="auto"/>
              <w:right w:val="single" w:sz="4" w:space="0" w:color="auto"/>
            </w:tcBorders>
            <w:shd w:val="clear" w:color="auto" w:fill="auto"/>
            <w:noWrap/>
            <w:vAlign w:val="bottom"/>
            <w:hideMark/>
          </w:tcPr>
          <w:p w14:paraId="3962A3B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1999</w:t>
            </w:r>
          </w:p>
        </w:tc>
        <w:tc>
          <w:tcPr>
            <w:tcW w:w="0" w:type="auto"/>
            <w:tcBorders>
              <w:top w:val="nil"/>
              <w:left w:val="nil"/>
              <w:bottom w:val="single" w:sz="4" w:space="0" w:color="auto"/>
              <w:right w:val="single" w:sz="4" w:space="0" w:color="auto"/>
            </w:tcBorders>
            <w:shd w:val="clear" w:color="auto" w:fill="auto"/>
            <w:noWrap/>
            <w:vAlign w:val="bottom"/>
            <w:hideMark/>
          </w:tcPr>
          <w:p w14:paraId="182FFA9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1991</w:t>
            </w:r>
          </w:p>
        </w:tc>
        <w:tc>
          <w:tcPr>
            <w:tcW w:w="0" w:type="auto"/>
            <w:tcBorders>
              <w:top w:val="nil"/>
              <w:left w:val="nil"/>
              <w:bottom w:val="single" w:sz="4" w:space="0" w:color="auto"/>
              <w:right w:val="single" w:sz="4" w:space="0" w:color="auto"/>
            </w:tcBorders>
            <w:shd w:val="clear" w:color="auto" w:fill="auto"/>
            <w:noWrap/>
            <w:vAlign w:val="bottom"/>
            <w:hideMark/>
          </w:tcPr>
          <w:p w14:paraId="03ADAC3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B5157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604913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8443D9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FC2D7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7169E78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06E32AA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3E782E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4E23044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B293D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6CDE285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Pereira</w:t>
            </w:r>
          </w:p>
        </w:tc>
        <w:tc>
          <w:tcPr>
            <w:tcW w:w="0" w:type="auto"/>
            <w:tcBorders>
              <w:top w:val="nil"/>
              <w:left w:val="nil"/>
              <w:bottom w:val="single" w:sz="4" w:space="0" w:color="auto"/>
              <w:right w:val="single" w:sz="4" w:space="0" w:color="auto"/>
            </w:tcBorders>
            <w:shd w:val="clear" w:color="auto" w:fill="auto"/>
            <w:noWrap/>
            <w:vAlign w:val="bottom"/>
            <w:hideMark/>
          </w:tcPr>
          <w:p w14:paraId="21BDB8B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06651AA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2000</w:t>
            </w:r>
          </w:p>
        </w:tc>
        <w:tc>
          <w:tcPr>
            <w:tcW w:w="0" w:type="auto"/>
            <w:tcBorders>
              <w:top w:val="nil"/>
              <w:left w:val="nil"/>
              <w:bottom w:val="single" w:sz="4" w:space="0" w:color="auto"/>
              <w:right w:val="single" w:sz="4" w:space="0" w:color="auto"/>
            </w:tcBorders>
            <w:shd w:val="clear" w:color="auto" w:fill="auto"/>
            <w:noWrap/>
            <w:vAlign w:val="bottom"/>
            <w:hideMark/>
          </w:tcPr>
          <w:p w14:paraId="6FBD4DE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62050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67670E3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798604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B2E5B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922F6B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D60B46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1F4F9E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99ED64E"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67117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7D152877"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Poletto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FBE463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1992</w:t>
            </w:r>
          </w:p>
        </w:tc>
        <w:tc>
          <w:tcPr>
            <w:tcW w:w="0" w:type="auto"/>
            <w:tcBorders>
              <w:top w:val="nil"/>
              <w:left w:val="nil"/>
              <w:bottom w:val="single" w:sz="4" w:space="0" w:color="auto"/>
              <w:right w:val="single" w:sz="4" w:space="0" w:color="auto"/>
            </w:tcBorders>
            <w:shd w:val="clear" w:color="auto" w:fill="auto"/>
            <w:noWrap/>
            <w:vAlign w:val="bottom"/>
            <w:hideMark/>
          </w:tcPr>
          <w:p w14:paraId="3198252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1989</w:t>
            </w:r>
          </w:p>
        </w:tc>
        <w:tc>
          <w:tcPr>
            <w:tcW w:w="0" w:type="auto"/>
            <w:tcBorders>
              <w:top w:val="nil"/>
              <w:left w:val="nil"/>
              <w:bottom w:val="single" w:sz="4" w:space="0" w:color="auto"/>
              <w:right w:val="single" w:sz="4" w:space="0" w:color="auto"/>
            </w:tcBorders>
            <w:shd w:val="clear" w:color="auto" w:fill="auto"/>
            <w:noWrap/>
            <w:vAlign w:val="bottom"/>
            <w:hideMark/>
          </w:tcPr>
          <w:p w14:paraId="34D681C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3E11C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C3DC32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6873CB2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D44EB3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7FF526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90800B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310768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06D20B9"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9044F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32B2349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Rigo</w:t>
            </w:r>
          </w:p>
        </w:tc>
        <w:tc>
          <w:tcPr>
            <w:tcW w:w="0" w:type="auto"/>
            <w:tcBorders>
              <w:top w:val="nil"/>
              <w:left w:val="nil"/>
              <w:bottom w:val="single" w:sz="4" w:space="0" w:color="auto"/>
              <w:right w:val="single" w:sz="4" w:space="0" w:color="auto"/>
            </w:tcBorders>
            <w:shd w:val="clear" w:color="auto" w:fill="auto"/>
            <w:noWrap/>
            <w:vAlign w:val="bottom"/>
            <w:hideMark/>
          </w:tcPr>
          <w:p w14:paraId="7998203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5C18503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2BC957D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63ADBF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B159A4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6CC5FD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84E6C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A97862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201DEF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CD41D1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C8B78FC"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D2E8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643FACCA"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Sesso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9D4ABD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6ED1CEA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1992</w:t>
            </w:r>
          </w:p>
        </w:tc>
        <w:tc>
          <w:tcPr>
            <w:tcW w:w="0" w:type="auto"/>
            <w:tcBorders>
              <w:top w:val="nil"/>
              <w:left w:val="nil"/>
              <w:bottom w:val="single" w:sz="4" w:space="0" w:color="auto"/>
              <w:right w:val="single" w:sz="4" w:space="0" w:color="auto"/>
            </w:tcBorders>
            <w:shd w:val="clear" w:color="auto" w:fill="auto"/>
            <w:noWrap/>
            <w:vAlign w:val="bottom"/>
            <w:hideMark/>
          </w:tcPr>
          <w:p w14:paraId="01F2555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C158C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C789B0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9E00AE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0EEB9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E7148E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B06136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323B96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7125848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AD1E9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757C0FF3"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Pimenta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37CCFF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564420B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0EA7AD0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A4AC6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5767EE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DEF201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AEC05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44.1</w:t>
            </w:r>
          </w:p>
        </w:tc>
        <w:tc>
          <w:tcPr>
            <w:tcW w:w="1314" w:type="dxa"/>
            <w:tcBorders>
              <w:top w:val="nil"/>
              <w:left w:val="nil"/>
              <w:bottom w:val="single" w:sz="4" w:space="0" w:color="auto"/>
              <w:right w:val="single" w:sz="4" w:space="0" w:color="auto"/>
            </w:tcBorders>
            <w:shd w:val="clear" w:color="auto" w:fill="auto"/>
            <w:noWrap/>
            <w:vAlign w:val="bottom"/>
            <w:hideMark/>
          </w:tcPr>
          <w:p w14:paraId="4016777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38F2F02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15.2</w:t>
            </w:r>
          </w:p>
        </w:tc>
        <w:tc>
          <w:tcPr>
            <w:tcW w:w="866" w:type="dxa"/>
            <w:tcBorders>
              <w:top w:val="nil"/>
              <w:left w:val="nil"/>
              <w:bottom w:val="single" w:sz="4" w:space="0" w:color="auto"/>
              <w:right w:val="single" w:sz="4" w:space="0" w:color="auto"/>
            </w:tcBorders>
            <w:shd w:val="clear" w:color="auto" w:fill="auto"/>
            <w:noWrap/>
            <w:vAlign w:val="bottom"/>
            <w:hideMark/>
          </w:tcPr>
          <w:p w14:paraId="5AF481D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18E605F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5AC33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0000764B"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Quintino</w:t>
            </w:r>
            <w:proofErr w:type="spellEnd"/>
            <w:r w:rsidRPr="00665066">
              <w:rPr>
                <w:rFonts w:ascii="Arial" w:eastAsia="Times New Roman" w:hAnsi="Arial" w:cs="Arial"/>
                <w:color w:val="000000"/>
                <w:sz w:val="16"/>
                <w:szCs w:val="16"/>
                <w:lang w:eastAsia="en-GB"/>
              </w:rPr>
              <w:t>-Santos</w:t>
            </w:r>
          </w:p>
        </w:tc>
        <w:tc>
          <w:tcPr>
            <w:tcW w:w="0" w:type="auto"/>
            <w:tcBorders>
              <w:top w:val="nil"/>
              <w:left w:val="nil"/>
              <w:bottom w:val="single" w:sz="4" w:space="0" w:color="auto"/>
              <w:right w:val="single" w:sz="4" w:space="0" w:color="auto"/>
            </w:tcBorders>
            <w:shd w:val="clear" w:color="auto" w:fill="auto"/>
            <w:noWrap/>
            <w:vAlign w:val="bottom"/>
            <w:hideMark/>
          </w:tcPr>
          <w:p w14:paraId="2CC6D62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6311F41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1996</w:t>
            </w:r>
          </w:p>
        </w:tc>
        <w:tc>
          <w:tcPr>
            <w:tcW w:w="0" w:type="auto"/>
            <w:tcBorders>
              <w:top w:val="nil"/>
              <w:left w:val="nil"/>
              <w:bottom w:val="single" w:sz="4" w:space="0" w:color="auto"/>
              <w:right w:val="single" w:sz="4" w:space="0" w:color="auto"/>
            </w:tcBorders>
            <w:shd w:val="clear" w:color="auto" w:fill="auto"/>
            <w:noWrap/>
            <w:vAlign w:val="bottom"/>
            <w:hideMark/>
          </w:tcPr>
          <w:p w14:paraId="42CD721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E9EB97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A3EE8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A5CB7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F1A38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E1A2FC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DA6D92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4E67A1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3360ACD6"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7EBCA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58172A4E"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Togeiro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BBEC68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30D415B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53520F6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E25E14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E4001C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8906CA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7A63D0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7F8126D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8BCD1E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ECCD6F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1B46AC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D34A1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2ACD03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Ota</w:t>
            </w:r>
          </w:p>
        </w:tc>
        <w:tc>
          <w:tcPr>
            <w:tcW w:w="0" w:type="auto"/>
            <w:tcBorders>
              <w:top w:val="nil"/>
              <w:left w:val="nil"/>
              <w:bottom w:val="single" w:sz="4" w:space="0" w:color="auto"/>
              <w:right w:val="single" w:sz="4" w:space="0" w:color="auto"/>
            </w:tcBorders>
            <w:shd w:val="clear" w:color="auto" w:fill="auto"/>
            <w:noWrap/>
            <w:vAlign w:val="bottom"/>
            <w:hideMark/>
          </w:tcPr>
          <w:p w14:paraId="1615E8F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6196399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5B2D5AF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074CC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11A78F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F9E840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F3AD4A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4EFD170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E6889B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B78BB4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1B194DE"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7231A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24E8E00A"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Pimenta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4E7B4D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1810F0A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5CECDCA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47.45</w:t>
            </w:r>
          </w:p>
        </w:tc>
        <w:tc>
          <w:tcPr>
            <w:tcW w:w="0" w:type="auto"/>
            <w:tcBorders>
              <w:top w:val="nil"/>
              <w:left w:val="nil"/>
              <w:bottom w:val="single" w:sz="4" w:space="0" w:color="auto"/>
              <w:right w:val="single" w:sz="4" w:space="0" w:color="auto"/>
            </w:tcBorders>
            <w:shd w:val="clear" w:color="auto" w:fill="auto"/>
            <w:noWrap/>
            <w:vAlign w:val="bottom"/>
            <w:hideMark/>
          </w:tcPr>
          <w:p w14:paraId="05D9F66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15CE409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43.14</w:t>
            </w:r>
          </w:p>
        </w:tc>
        <w:tc>
          <w:tcPr>
            <w:tcW w:w="825" w:type="dxa"/>
            <w:tcBorders>
              <w:top w:val="nil"/>
              <w:left w:val="nil"/>
              <w:bottom w:val="single" w:sz="4" w:space="0" w:color="auto"/>
              <w:right w:val="single" w:sz="4" w:space="0" w:color="auto"/>
            </w:tcBorders>
            <w:shd w:val="clear" w:color="auto" w:fill="auto"/>
            <w:noWrap/>
            <w:vAlign w:val="bottom"/>
            <w:hideMark/>
          </w:tcPr>
          <w:p w14:paraId="249151D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&gt;=130</w:t>
            </w:r>
          </w:p>
        </w:tc>
        <w:tc>
          <w:tcPr>
            <w:tcW w:w="0" w:type="auto"/>
            <w:tcBorders>
              <w:top w:val="nil"/>
              <w:left w:val="nil"/>
              <w:bottom w:val="single" w:sz="4" w:space="0" w:color="auto"/>
              <w:right w:val="single" w:sz="4" w:space="0" w:color="auto"/>
            </w:tcBorders>
            <w:shd w:val="clear" w:color="auto" w:fill="auto"/>
            <w:noWrap/>
            <w:vAlign w:val="bottom"/>
            <w:hideMark/>
          </w:tcPr>
          <w:p w14:paraId="75FCEB7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20.63</w:t>
            </w:r>
          </w:p>
        </w:tc>
        <w:tc>
          <w:tcPr>
            <w:tcW w:w="1314" w:type="dxa"/>
            <w:tcBorders>
              <w:top w:val="nil"/>
              <w:left w:val="nil"/>
              <w:bottom w:val="single" w:sz="4" w:space="0" w:color="auto"/>
              <w:right w:val="single" w:sz="4" w:space="0" w:color="auto"/>
            </w:tcBorders>
            <w:shd w:val="clear" w:color="auto" w:fill="auto"/>
            <w:noWrap/>
            <w:vAlign w:val="bottom"/>
            <w:hideMark/>
          </w:tcPr>
          <w:p w14:paraId="02E2DA1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53D5DA3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8.17</w:t>
            </w:r>
          </w:p>
        </w:tc>
        <w:tc>
          <w:tcPr>
            <w:tcW w:w="866" w:type="dxa"/>
            <w:tcBorders>
              <w:top w:val="nil"/>
              <w:left w:val="nil"/>
              <w:bottom w:val="single" w:sz="4" w:space="0" w:color="auto"/>
              <w:right w:val="single" w:sz="4" w:space="0" w:color="auto"/>
            </w:tcBorders>
            <w:shd w:val="clear" w:color="auto" w:fill="auto"/>
            <w:noWrap/>
            <w:vAlign w:val="bottom"/>
            <w:hideMark/>
          </w:tcPr>
          <w:p w14:paraId="4E20F70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6E76E53D"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A8F3D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10A0891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Souza</w:t>
            </w:r>
          </w:p>
        </w:tc>
        <w:tc>
          <w:tcPr>
            <w:tcW w:w="0" w:type="auto"/>
            <w:tcBorders>
              <w:top w:val="nil"/>
              <w:left w:val="nil"/>
              <w:bottom w:val="single" w:sz="4" w:space="0" w:color="auto"/>
              <w:right w:val="single" w:sz="4" w:space="0" w:color="auto"/>
            </w:tcBorders>
            <w:shd w:val="clear" w:color="auto" w:fill="auto"/>
            <w:noWrap/>
            <w:vAlign w:val="bottom"/>
            <w:hideMark/>
          </w:tcPr>
          <w:p w14:paraId="79B7A0C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2003</w:t>
            </w:r>
          </w:p>
        </w:tc>
        <w:tc>
          <w:tcPr>
            <w:tcW w:w="0" w:type="auto"/>
            <w:tcBorders>
              <w:top w:val="nil"/>
              <w:left w:val="nil"/>
              <w:bottom w:val="single" w:sz="4" w:space="0" w:color="auto"/>
              <w:right w:val="single" w:sz="4" w:space="0" w:color="auto"/>
            </w:tcBorders>
            <w:shd w:val="clear" w:color="auto" w:fill="auto"/>
            <w:noWrap/>
            <w:vAlign w:val="bottom"/>
            <w:hideMark/>
          </w:tcPr>
          <w:p w14:paraId="14A0BED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75C5834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4.2</w:t>
            </w:r>
          </w:p>
        </w:tc>
        <w:tc>
          <w:tcPr>
            <w:tcW w:w="0" w:type="auto"/>
            <w:tcBorders>
              <w:top w:val="nil"/>
              <w:left w:val="nil"/>
              <w:bottom w:val="single" w:sz="4" w:space="0" w:color="auto"/>
              <w:right w:val="single" w:sz="4" w:space="0" w:color="auto"/>
            </w:tcBorders>
            <w:shd w:val="clear" w:color="auto" w:fill="auto"/>
            <w:noWrap/>
            <w:vAlign w:val="bottom"/>
            <w:hideMark/>
          </w:tcPr>
          <w:p w14:paraId="354A712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03E45CF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13.1</w:t>
            </w:r>
          </w:p>
        </w:tc>
        <w:tc>
          <w:tcPr>
            <w:tcW w:w="825" w:type="dxa"/>
            <w:tcBorders>
              <w:top w:val="nil"/>
              <w:left w:val="nil"/>
              <w:bottom w:val="single" w:sz="4" w:space="0" w:color="auto"/>
              <w:right w:val="single" w:sz="4" w:space="0" w:color="auto"/>
            </w:tcBorders>
            <w:shd w:val="clear" w:color="auto" w:fill="auto"/>
            <w:noWrap/>
            <w:vAlign w:val="bottom"/>
            <w:hideMark/>
          </w:tcPr>
          <w:p w14:paraId="6ACEF0C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&gt;=130</w:t>
            </w:r>
          </w:p>
        </w:tc>
        <w:tc>
          <w:tcPr>
            <w:tcW w:w="0" w:type="auto"/>
            <w:tcBorders>
              <w:top w:val="nil"/>
              <w:left w:val="nil"/>
              <w:bottom w:val="single" w:sz="4" w:space="0" w:color="auto"/>
              <w:right w:val="single" w:sz="4" w:space="0" w:color="auto"/>
            </w:tcBorders>
            <w:shd w:val="clear" w:color="auto" w:fill="auto"/>
            <w:noWrap/>
            <w:vAlign w:val="bottom"/>
            <w:hideMark/>
          </w:tcPr>
          <w:p w14:paraId="1FF7F0F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14.3</w:t>
            </w:r>
          </w:p>
        </w:tc>
        <w:tc>
          <w:tcPr>
            <w:tcW w:w="1314" w:type="dxa"/>
            <w:tcBorders>
              <w:top w:val="nil"/>
              <w:left w:val="nil"/>
              <w:bottom w:val="single" w:sz="4" w:space="0" w:color="auto"/>
              <w:right w:val="single" w:sz="4" w:space="0" w:color="auto"/>
            </w:tcBorders>
            <w:shd w:val="clear" w:color="auto" w:fill="auto"/>
            <w:noWrap/>
            <w:vAlign w:val="bottom"/>
            <w:hideMark/>
          </w:tcPr>
          <w:p w14:paraId="05E3F2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14CD5B0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28.2</w:t>
            </w:r>
          </w:p>
        </w:tc>
        <w:tc>
          <w:tcPr>
            <w:tcW w:w="866" w:type="dxa"/>
            <w:tcBorders>
              <w:top w:val="nil"/>
              <w:left w:val="nil"/>
              <w:bottom w:val="single" w:sz="4" w:space="0" w:color="auto"/>
              <w:right w:val="single" w:sz="4" w:space="0" w:color="auto"/>
            </w:tcBorders>
            <w:shd w:val="clear" w:color="auto" w:fill="auto"/>
            <w:noWrap/>
            <w:vAlign w:val="bottom"/>
            <w:hideMark/>
          </w:tcPr>
          <w:p w14:paraId="252A9A8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2829CF5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4537D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147C157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Yokota</w:t>
            </w:r>
          </w:p>
        </w:tc>
        <w:tc>
          <w:tcPr>
            <w:tcW w:w="0" w:type="auto"/>
            <w:tcBorders>
              <w:top w:val="nil"/>
              <w:left w:val="nil"/>
              <w:bottom w:val="single" w:sz="4" w:space="0" w:color="auto"/>
              <w:right w:val="single" w:sz="4" w:space="0" w:color="auto"/>
            </w:tcBorders>
            <w:shd w:val="clear" w:color="auto" w:fill="auto"/>
            <w:noWrap/>
            <w:vAlign w:val="bottom"/>
            <w:hideMark/>
          </w:tcPr>
          <w:p w14:paraId="775122D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EB2886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2228438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49.2</w:t>
            </w:r>
          </w:p>
        </w:tc>
        <w:tc>
          <w:tcPr>
            <w:tcW w:w="0" w:type="auto"/>
            <w:tcBorders>
              <w:top w:val="nil"/>
              <w:left w:val="nil"/>
              <w:bottom w:val="single" w:sz="4" w:space="0" w:color="auto"/>
              <w:right w:val="single" w:sz="4" w:space="0" w:color="auto"/>
            </w:tcBorders>
            <w:shd w:val="clear" w:color="auto" w:fill="auto"/>
            <w:noWrap/>
            <w:vAlign w:val="bottom"/>
            <w:hideMark/>
          </w:tcPr>
          <w:p w14:paraId="7DB3064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5804BE2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48.4</w:t>
            </w:r>
          </w:p>
        </w:tc>
        <w:tc>
          <w:tcPr>
            <w:tcW w:w="825" w:type="dxa"/>
            <w:tcBorders>
              <w:top w:val="nil"/>
              <w:left w:val="nil"/>
              <w:bottom w:val="single" w:sz="4" w:space="0" w:color="auto"/>
              <w:right w:val="single" w:sz="4" w:space="0" w:color="auto"/>
            </w:tcBorders>
            <w:shd w:val="clear" w:color="auto" w:fill="auto"/>
            <w:noWrap/>
            <w:vAlign w:val="bottom"/>
            <w:hideMark/>
          </w:tcPr>
          <w:p w14:paraId="48FF37B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0" w:type="auto"/>
            <w:tcBorders>
              <w:top w:val="nil"/>
              <w:left w:val="nil"/>
              <w:bottom w:val="single" w:sz="4" w:space="0" w:color="auto"/>
              <w:right w:val="single" w:sz="4" w:space="0" w:color="auto"/>
            </w:tcBorders>
            <w:shd w:val="clear" w:color="auto" w:fill="auto"/>
            <w:noWrap/>
            <w:vAlign w:val="bottom"/>
            <w:hideMark/>
          </w:tcPr>
          <w:p w14:paraId="0209D3C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36.9</w:t>
            </w:r>
          </w:p>
        </w:tc>
        <w:tc>
          <w:tcPr>
            <w:tcW w:w="1314" w:type="dxa"/>
            <w:tcBorders>
              <w:top w:val="nil"/>
              <w:left w:val="nil"/>
              <w:bottom w:val="single" w:sz="4" w:space="0" w:color="auto"/>
              <w:right w:val="single" w:sz="4" w:space="0" w:color="auto"/>
            </w:tcBorders>
            <w:shd w:val="clear" w:color="auto" w:fill="auto"/>
            <w:noWrap/>
            <w:vAlign w:val="bottom"/>
            <w:hideMark/>
          </w:tcPr>
          <w:p w14:paraId="4E0F5BA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3E3B088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10</w:t>
            </w:r>
          </w:p>
        </w:tc>
        <w:tc>
          <w:tcPr>
            <w:tcW w:w="866" w:type="dxa"/>
            <w:tcBorders>
              <w:top w:val="nil"/>
              <w:left w:val="nil"/>
              <w:bottom w:val="single" w:sz="4" w:space="0" w:color="auto"/>
              <w:right w:val="single" w:sz="4" w:space="0" w:color="auto"/>
            </w:tcBorders>
            <w:shd w:val="clear" w:color="auto" w:fill="auto"/>
            <w:noWrap/>
            <w:vAlign w:val="bottom"/>
            <w:hideMark/>
          </w:tcPr>
          <w:p w14:paraId="79C2259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4AD9E543"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03948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0F658557"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Petris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B917F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0BD97C3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317FB5E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18.6</w:t>
            </w:r>
          </w:p>
        </w:tc>
        <w:tc>
          <w:tcPr>
            <w:tcW w:w="0" w:type="auto"/>
            <w:tcBorders>
              <w:top w:val="nil"/>
              <w:left w:val="nil"/>
              <w:bottom w:val="single" w:sz="4" w:space="0" w:color="auto"/>
              <w:right w:val="single" w:sz="4" w:space="0" w:color="auto"/>
            </w:tcBorders>
            <w:shd w:val="clear" w:color="auto" w:fill="auto"/>
            <w:noWrap/>
            <w:vAlign w:val="bottom"/>
            <w:hideMark/>
          </w:tcPr>
          <w:p w14:paraId="0B7344C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60224D8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17.31</w:t>
            </w:r>
          </w:p>
        </w:tc>
        <w:tc>
          <w:tcPr>
            <w:tcW w:w="825" w:type="dxa"/>
            <w:tcBorders>
              <w:top w:val="nil"/>
              <w:left w:val="nil"/>
              <w:bottom w:val="single" w:sz="4" w:space="0" w:color="auto"/>
              <w:right w:val="single" w:sz="4" w:space="0" w:color="auto"/>
            </w:tcBorders>
            <w:shd w:val="clear" w:color="auto" w:fill="auto"/>
            <w:noWrap/>
            <w:vAlign w:val="bottom"/>
            <w:hideMark/>
          </w:tcPr>
          <w:p w14:paraId="1F05EA1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40F28CA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31.3</w:t>
            </w:r>
          </w:p>
        </w:tc>
        <w:tc>
          <w:tcPr>
            <w:tcW w:w="1314" w:type="dxa"/>
            <w:tcBorders>
              <w:top w:val="nil"/>
              <w:left w:val="nil"/>
              <w:bottom w:val="single" w:sz="4" w:space="0" w:color="auto"/>
              <w:right w:val="single" w:sz="4" w:space="0" w:color="auto"/>
            </w:tcBorders>
            <w:shd w:val="clear" w:color="auto" w:fill="auto"/>
            <w:noWrap/>
            <w:vAlign w:val="bottom"/>
            <w:hideMark/>
          </w:tcPr>
          <w:p w14:paraId="340BF9F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4A81D4F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866" w:type="dxa"/>
            <w:tcBorders>
              <w:top w:val="nil"/>
              <w:left w:val="nil"/>
              <w:bottom w:val="single" w:sz="4" w:space="0" w:color="auto"/>
              <w:right w:val="single" w:sz="4" w:space="0" w:color="auto"/>
            </w:tcBorders>
            <w:shd w:val="clear" w:color="auto" w:fill="auto"/>
            <w:noWrap/>
            <w:vAlign w:val="bottom"/>
            <w:hideMark/>
          </w:tcPr>
          <w:p w14:paraId="71D31BA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6CBC8D4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3D095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549C2BD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Pirkle</w:t>
            </w:r>
          </w:p>
        </w:tc>
        <w:tc>
          <w:tcPr>
            <w:tcW w:w="0" w:type="auto"/>
            <w:tcBorders>
              <w:top w:val="nil"/>
              <w:left w:val="nil"/>
              <w:bottom w:val="single" w:sz="4" w:space="0" w:color="auto"/>
              <w:right w:val="single" w:sz="4" w:space="0" w:color="auto"/>
            </w:tcBorders>
            <w:shd w:val="clear" w:color="auto" w:fill="auto"/>
            <w:noWrap/>
            <w:vAlign w:val="bottom"/>
            <w:hideMark/>
          </w:tcPr>
          <w:p w14:paraId="0649C94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57BB157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3F332EF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9D0D6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916E15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DCF62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7FC124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C56C90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86AB5B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0CABCD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886F97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83D31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lastRenderedPageBreak/>
              <w:t>Brazil</w:t>
            </w:r>
          </w:p>
        </w:tc>
        <w:tc>
          <w:tcPr>
            <w:tcW w:w="0" w:type="auto"/>
            <w:tcBorders>
              <w:top w:val="nil"/>
              <w:left w:val="nil"/>
              <w:bottom w:val="single" w:sz="4" w:space="0" w:color="auto"/>
              <w:right w:val="single" w:sz="4" w:space="0" w:color="auto"/>
            </w:tcBorders>
            <w:shd w:val="clear" w:color="auto" w:fill="auto"/>
            <w:noWrap/>
            <w:vAlign w:val="bottom"/>
            <w:hideMark/>
          </w:tcPr>
          <w:p w14:paraId="14455F70"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Werle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6B15D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5B32B8B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1994</w:t>
            </w:r>
          </w:p>
        </w:tc>
        <w:tc>
          <w:tcPr>
            <w:tcW w:w="0" w:type="auto"/>
            <w:tcBorders>
              <w:top w:val="nil"/>
              <w:left w:val="nil"/>
              <w:bottom w:val="single" w:sz="4" w:space="0" w:color="auto"/>
              <w:right w:val="single" w:sz="4" w:space="0" w:color="auto"/>
            </w:tcBorders>
            <w:shd w:val="clear" w:color="auto" w:fill="auto"/>
            <w:noWrap/>
            <w:vAlign w:val="bottom"/>
            <w:hideMark/>
          </w:tcPr>
          <w:p w14:paraId="43E63BB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28DF4D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AF76EC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16237B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FFF41E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7E8F91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4C74B0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C976EE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720DEF9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1E6BF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3320624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Oliveira</w:t>
            </w:r>
          </w:p>
        </w:tc>
        <w:tc>
          <w:tcPr>
            <w:tcW w:w="0" w:type="auto"/>
            <w:tcBorders>
              <w:top w:val="nil"/>
              <w:left w:val="nil"/>
              <w:bottom w:val="single" w:sz="4" w:space="0" w:color="auto"/>
              <w:right w:val="single" w:sz="4" w:space="0" w:color="auto"/>
            </w:tcBorders>
            <w:shd w:val="clear" w:color="auto" w:fill="auto"/>
            <w:noWrap/>
            <w:vAlign w:val="bottom"/>
            <w:hideMark/>
          </w:tcPr>
          <w:p w14:paraId="7C673A8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1F3DF74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2743761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13</w:t>
            </w:r>
          </w:p>
        </w:tc>
        <w:tc>
          <w:tcPr>
            <w:tcW w:w="0" w:type="auto"/>
            <w:tcBorders>
              <w:top w:val="nil"/>
              <w:left w:val="nil"/>
              <w:bottom w:val="single" w:sz="4" w:space="0" w:color="auto"/>
              <w:right w:val="single" w:sz="4" w:space="0" w:color="auto"/>
            </w:tcBorders>
            <w:shd w:val="clear" w:color="auto" w:fill="auto"/>
            <w:noWrap/>
            <w:vAlign w:val="bottom"/>
            <w:hideMark/>
          </w:tcPr>
          <w:p w14:paraId="6217404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3108D1E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A69986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07BF0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4438E1D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53D9F1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39.7</w:t>
            </w:r>
          </w:p>
        </w:tc>
        <w:tc>
          <w:tcPr>
            <w:tcW w:w="866" w:type="dxa"/>
            <w:tcBorders>
              <w:top w:val="nil"/>
              <w:left w:val="nil"/>
              <w:bottom w:val="single" w:sz="4" w:space="0" w:color="auto"/>
              <w:right w:val="single" w:sz="4" w:space="0" w:color="auto"/>
            </w:tcBorders>
            <w:shd w:val="clear" w:color="auto" w:fill="auto"/>
            <w:noWrap/>
            <w:vAlign w:val="bottom"/>
            <w:hideMark/>
          </w:tcPr>
          <w:p w14:paraId="380D51F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4F92176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ADF1B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7B1EBC3D"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Venturini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5286A4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5A829C1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5FAAAD7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56.94</w:t>
            </w:r>
          </w:p>
        </w:tc>
        <w:tc>
          <w:tcPr>
            <w:tcW w:w="0" w:type="auto"/>
            <w:tcBorders>
              <w:top w:val="nil"/>
              <w:left w:val="nil"/>
              <w:bottom w:val="single" w:sz="4" w:space="0" w:color="auto"/>
              <w:right w:val="single" w:sz="4" w:space="0" w:color="auto"/>
            </w:tcBorders>
            <w:shd w:val="clear" w:color="auto" w:fill="auto"/>
            <w:noWrap/>
            <w:vAlign w:val="bottom"/>
            <w:hideMark/>
          </w:tcPr>
          <w:p w14:paraId="31CE88C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5B61F12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21.56</w:t>
            </w:r>
          </w:p>
        </w:tc>
        <w:tc>
          <w:tcPr>
            <w:tcW w:w="825" w:type="dxa"/>
            <w:tcBorders>
              <w:top w:val="nil"/>
              <w:left w:val="nil"/>
              <w:bottom w:val="single" w:sz="4" w:space="0" w:color="auto"/>
              <w:right w:val="single" w:sz="4" w:space="0" w:color="auto"/>
            </w:tcBorders>
            <w:shd w:val="clear" w:color="auto" w:fill="auto"/>
            <w:noWrap/>
            <w:vAlign w:val="bottom"/>
            <w:hideMark/>
          </w:tcPr>
          <w:p w14:paraId="576CCA6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039E4AA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59.4</w:t>
            </w:r>
          </w:p>
        </w:tc>
        <w:tc>
          <w:tcPr>
            <w:tcW w:w="1314" w:type="dxa"/>
            <w:tcBorders>
              <w:top w:val="nil"/>
              <w:left w:val="nil"/>
              <w:bottom w:val="single" w:sz="4" w:space="0" w:color="auto"/>
              <w:right w:val="single" w:sz="4" w:space="0" w:color="auto"/>
            </w:tcBorders>
            <w:shd w:val="clear" w:color="auto" w:fill="auto"/>
            <w:noWrap/>
            <w:vAlign w:val="bottom"/>
            <w:hideMark/>
          </w:tcPr>
          <w:p w14:paraId="6AA1E19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5F578B2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49.77</w:t>
            </w:r>
          </w:p>
        </w:tc>
        <w:tc>
          <w:tcPr>
            <w:tcW w:w="866" w:type="dxa"/>
            <w:tcBorders>
              <w:top w:val="nil"/>
              <w:left w:val="nil"/>
              <w:bottom w:val="single" w:sz="4" w:space="0" w:color="auto"/>
              <w:right w:val="single" w:sz="4" w:space="0" w:color="auto"/>
            </w:tcBorders>
            <w:shd w:val="clear" w:color="auto" w:fill="auto"/>
            <w:noWrap/>
            <w:vAlign w:val="bottom"/>
            <w:hideMark/>
          </w:tcPr>
          <w:p w14:paraId="3C81832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E3F510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99DF1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5410EA3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Pavan</w:t>
            </w:r>
          </w:p>
        </w:tc>
        <w:tc>
          <w:tcPr>
            <w:tcW w:w="0" w:type="auto"/>
            <w:tcBorders>
              <w:top w:val="nil"/>
              <w:left w:val="nil"/>
              <w:bottom w:val="single" w:sz="4" w:space="0" w:color="auto"/>
              <w:right w:val="single" w:sz="4" w:space="0" w:color="auto"/>
            </w:tcBorders>
            <w:shd w:val="clear" w:color="auto" w:fill="auto"/>
            <w:noWrap/>
            <w:vAlign w:val="bottom"/>
            <w:hideMark/>
          </w:tcPr>
          <w:p w14:paraId="27F6574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1997</w:t>
            </w:r>
          </w:p>
        </w:tc>
        <w:tc>
          <w:tcPr>
            <w:tcW w:w="0" w:type="auto"/>
            <w:tcBorders>
              <w:top w:val="nil"/>
              <w:left w:val="nil"/>
              <w:bottom w:val="single" w:sz="4" w:space="0" w:color="auto"/>
              <w:right w:val="single" w:sz="4" w:space="0" w:color="auto"/>
            </w:tcBorders>
            <w:shd w:val="clear" w:color="auto" w:fill="auto"/>
            <w:noWrap/>
            <w:vAlign w:val="bottom"/>
            <w:hideMark/>
          </w:tcPr>
          <w:p w14:paraId="307E74E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580B1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AEB2F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314BBB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D7263B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867AC6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C4DFE9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72C43B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82E960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9EE092A"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37CD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0CA9FA89"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Roriz</w:t>
            </w:r>
            <w:proofErr w:type="spellEnd"/>
            <w:r w:rsidRPr="00665066">
              <w:rPr>
                <w:rFonts w:ascii="Arial" w:eastAsia="Times New Roman" w:hAnsi="Arial" w:cs="Arial"/>
                <w:color w:val="000000"/>
                <w:sz w:val="16"/>
                <w:szCs w:val="16"/>
                <w:lang w:eastAsia="en-GB"/>
              </w:rPr>
              <w:t>-Cruz</w:t>
            </w:r>
          </w:p>
        </w:tc>
        <w:tc>
          <w:tcPr>
            <w:tcW w:w="0" w:type="auto"/>
            <w:tcBorders>
              <w:top w:val="nil"/>
              <w:left w:val="nil"/>
              <w:bottom w:val="single" w:sz="4" w:space="0" w:color="auto"/>
              <w:right w:val="single" w:sz="4" w:space="0" w:color="auto"/>
            </w:tcBorders>
            <w:shd w:val="clear" w:color="auto" w:fill="auto"/>
            <w:noWrap/>
            <w:vAlign w:val="bottom"/>
            <w:hideMark/>
          </w:tcPr>
          <w:p w14:paraId="6FFD21D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5D0877F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8F0365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61BD7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AAE3C8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953ABC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F2C53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52.65</w:t>
            </w:r>
          </w:p>
        </w:tc>
        <w:tc>
          <w:tcPr>
            <w:tcW w:w="1314" w:type="dxa"/>
            <w:tcBorders>
              <w:top w:val="nil"/>
              <w:left w:val="nil"/>
              <w:bottom w:val="single" w:sz="4" w:space="0" w:color="auto"/>
              <w:right w:val="single" w:sz="4" w:space="0" w:color="auto"/>
            </w:tcBorders>
            <w:shd w:val="clear" w:color="auto" w:fill="auto"/>
            <w:noWrap/>
            <w:vAlign w:val="bottom"/>
            <w:hideMark/>
          </w:tcPr>
          <w:p w14:paraId="4185B95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&lt;45 (women)</w:t>
            </w:r>
          </w:p>
        </w:tc>
        <w:tc>
          <w:tcPr>
            <w:tcW w:w="590" w:type="dxa"/>
            <w:tcBorders>
              <w:top w:val="nil"/>
              <w:left w:val="nil"/>
              <w:bottom w:val="single" w:sz="4" w:space="0" w:color="auto"/>
              <w:right w:val="single" w:sz="4" w:space="0" w:color="auto"/>
            </w:tcBorders>
            <w:shd w:val="clear" w:color="auto" w:fill="auto"/>
            <w:noWrap/>
            <w:vAlign w:val="bottom"/>
            <w:hideMark/>
          </w:tcPr>
          <w:p w14:paraId="4223DB9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67.52</w:t>
            </w:r>
          </w:p>
        </w:tc>
        <w:tc>
          <w:tcPr>
            <w:tcW w:w="866" w:type="dxa"/>
            <w:tcBorders>
              <w:top w:val="nil"/>
              <w:left w:val="nil"/>
              <w:bottom w:val="single" w:sz="4" w:space="0" w:color="auto"/>
              <w:right w:val="single" w:sz="4" w:space="0" w:color="auto"/>
            </w:tcBorders>
            <w:shd w:val="clear" w:color="auto" w:fill="auto"/>
            <w:noWrap/>
            <w:vAlign w:val="bottom"/>
            <w:hideMark/>
          </w:tcPr>
          <w:p w14:paraId="74AC881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1C6A41EC"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E2614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16B9E2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Neumann</w:t>
            </w:r>
          </w:p>
        </w:tc>
        <w:tc>
          <w:tcPr>
            <w:tcW w:w="0" w:type="auto"/>
            <w:tcBorders>
              <w:top w:val="nil"/>
              <w:left w:val="nil"/>
              <w:bottom w:val="single" w:sz="4" w:space="0" w:color="auto"/>
              <w:right w:val="single" w:sz="4" w:space="0" w:color="auto"/>
            </w:tcBorders>
            <w:shd w:val="clear" w:color="auto" w:fill="auto"/>
            <w:noWrap/>
            <w:vAlign w:val="bottom"/>
            <w:hideMark/>
          </w:tcPr>
          <w:p w14:paraId="7420806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1DEADE2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5659B6B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35.5</w:t>
            </w:r>
          </w:p>
        </w:tc>
        <w:tc>
          <w:tcPr>
            <w:tcW w:w="0" w:type="auto"/>
            <w:tcBorders>
              <w:top w:val="nil"/>
              <w:left w:val="nil"/>
              <w:bottom w:val="single" w:sz="4" w:space="0" w:color="auto"/>
              <w:right w:val="single" w:sz="4" w:space="0" w:color="auto"/>
            </w:tcBorders>
            <w:shd w:val="clear" w:color="auto" w:fill="auto"/>
            <w:noWrap/>
            <w:vAlign w:val="bottom"/>
            <w:hideMark/>
          </w:tcPr>
          <w:p w14:paraId="4AC372E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471CF63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34.5</w:t>
            </w:r>
          </w:p>
        </w:tc>
        <w:tc>
          <w:tcPr>
            <w:tcW w:w="825" w:type="dxa"/>
            <w:tcBorders>
              <w:top w:val="nil"/>
              <w:left w:val="nil"/>
              <w:bottom w:val="single" w:sz="4" w:space="0" w:color="auto"/>
              <w:right w:val="single" w:sz="4" w:space="0" w:color="auto"/>
            </w:tcBorders>
            <w:shd w:val="clear" w:color="auto" w:fill="auto"/>
            <w:noWrap/>
            <w:vAlign w:val="bottom"/>
            <w:hideMark/>
          </w:tcPr>
          <w:p w14:paraId="3D1F83F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&gt;=100</w:t>
            </w:r>
          </w:p>
        </w:tc>
        <w:tc>
          <w:tcPr>
            <w:tcW w:w="0" w:type="auto"/>
            <w:tcBorders>
              <w:top w:val="nil"/>
              <w:left w:val="nil"/>
              <w:bottom w:val="single" w:sz="4" w:space="0" w:color="auto"/>
              <w:right w:val="single" w:sz="4" w:space="0" w:color="auto"/>
            </w:tcBorders>
            <w:shd w:val="clear" w:color="auto" w:fill="auto"/>
            <w:noWrap/>
            <w:vAlign w:val="bottom"/>
            <w:hideMark/>
          </w:tcPr>
          <w:p w14:paraId="7D1558B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43.4</w:t>
            </w:r>
          </w:p>
        </w:tc>
        <w:tc>
          <w:tcPr>
            <w:tcW w:w="1314" w:type="dxa"/>
            <w:tcBorders>
              <w:top w:val="nil"/>
              <w:left w:val="nil"/>
              <w:bottom w:val="single" w:sz="4" w:space="0" w:color="auto"/>
              <w:right w:val="single" w:sz="4" w:space="0" w:color="auto"/>
            </w:tcBorders>
            <w:shd w:val="clear" w:color="auto" w:fill="auto"/>
            <w:noWrap/>
            <w:vAlign w:val="bottom"/>
            <w:hideMark/>
          </w:tcPr>
          <w:p w14:paraId="36FA409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398D03D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26.6</w:t>
            </w:r>
          </w:p>
        </w:tc>
        <w:tc>
          <w:tcPr>
            <w:tcW w:w="866" w:type="dxa"/>
            <w:tcBorders>
              <w:top w:val="nil"/>
              <w:left w:val="nil"/>
              <w:bottom w:val="single" w:sz="4" w:space="0" w:color="auto"/>
              <w:right w:val="single" w:sz="4" w:space="0" w:color="auto"/>
            </w:tcBorders>
            <w:shd w:val="clear" w:color="auto" w:fill="auto"/>
            <w:noWrap/>
            <w:vAlign w:val="bottom"/>
            <w:hideMark/>
          </w:tcPr>
          <w:p w14:paraId="71D8921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2B7542EC"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6FB70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5FCE500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Nunes Filho</w:t>
            </w:r>
          </w:p>
        </w:tc>
        <w:tc>
          <w:tcPr>
            <w:tcW w:w="0" w:type="auto"/>
            <w:tcBorders>
              <w:top w:val="nil"/>
              <w:left w:val="nil"/>
              <w:bottom w:val="single" w:sz="4" w:space="0" w:color="auto"/>
              <w:right w:val="single" w:sz="4" w:space="0" w:color="auto"/>
            </w:tcBorders>
            <w:shd w:val="clear" w:color="auto" w:fill="auto"/>
            <w:noWrap/>
            <w:vAlign w:val="bottom"/>
            <w:hideMark/>
          </w:tcPr>
          <w:p w14:paraId="08E1026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3B24CA9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0D7C885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8.5</w:t>
            </w:r>
          </w:p>
        </w:tc>
        <w:tc>
          <w:tcPr>
            <w:tcW w:w="0" w:type="auto"/>
            <w:tcBorders>
              <w:top w:val="nil"/>
              <w:left w:val="nil"/>
              <w:bottom w:val="single" w:sz="4" w:space="0" w:color="auto"/>
              <w:right w:val="single" w:sz="4" w:space="0" w:color="auto"/>
            </w:tcBorders>
            <w:shd w:val="clear" w:color="auto" w:fill="auto"/>
            <w:noWrap/>
            <w:vAlign w:val="bottom"/>
            <w:hideMark/>
          </w:tcPr>
          <w:p w14:paraId="7D86BBF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34E57DB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3.3</w:t>
            </w:r>
          </w:p>
        </w:tc>
        <w:tc>
          <w:tcPr>
            <w:tcW w:w="825" w:type="dxa"/>
            <w:tcBorders>
              <w:top w:val="nil"/>
              <w:left w:val="nil"/>
              <w:bottom w:val="single" w:sz="4" w:space="0" w:color="auto"/>
              <w:right w:val="single" w:sz="4" w:space="0" w:color="auto"/>
            </w:tcBorders>
            <w:shd w:val="clear" w:color="auto" w:fill="auto"/>
            <w:noWrap/>
            <w:vAlign w:val="bottom"/>
            <w:hideMark/>
          </w:tcPr>
          <w:p w14:paraId="6315D6D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57DFB06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7.1</w:t>
            </w:r>
          </w:p>
        </w:tc>
        <w:tc>
          <w:tcPr>
            <w:tcW w:w="1314" w:type="dxa"/>
            <w:tcBorders>
              <w:top w:val="nil"/>
              <w:left w:val="nil"/>
              <w:bottom w:val="single" w:sz="4" w:space="0" w:color="auto"/>
              <w:right w:val="single" w:sz="4" w:space="0" w:color="auto"/>
            </w:tcBorders>
            <w:shd w:val="clear" w:color="auto" w:fill="auto"/>
            <w:noWrap/>
            <w:vAlign w:val="bottom"/>
            <w:hideMark/>
          </w:tcPr>
          <w:p w14:paraId="3B7F1F0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16D657E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7F775F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0C3D7FD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95286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113CF5D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Gimeno</w:t>
            </w:r>
          </w:p>
        </w:tc>
        <w:tc>
          <w:tcPr>
            <w:tcW w:w="0" w:type="auto"/>
            <w:tcBorders>
              <w:top w:val="nil"/>
              <w:left w:val="nil"/>
              <w:bottom w:val="single" w:sz="4" w:space="0" w:color="auto"/>
              <w:right w:val="single" w:sz="4" w:space="0" w:color="auto"/>
            </w:tcBorders>
            <w:shd w:val="clear" w:color="auto" w:fill="auto"/>
            <w:noWrap/>
            <w:vAlign w:val="bottom"/>
            <w:hideMark/>
          </w:tcPr>
          <w:p w14:paraId="6AB089A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119CD2B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484D49B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22.8</w:t>
            </w:r>
          </w:p>
        </w:tc>
        <w:tc>
          <w:tcPr>
            <w:tcW w:w="0" w:type="auto"/>
            <w:tcBorders>
              <w:top w:val="nil"/>
              <w:left w:val="nil"/>
              <w:bottom w:val="single" w:sz="4" w:space="0" w:color="auto"/>
              <w:right w:val="single" w:sz="4" w:space="0" w:color="auto"/>
            </w:tcBorders>
            <w:shd w:val="clear" w:color="auto" w:fill="auto"/>
            <w:noWrap/>
            <w:vAlign w:val="bottom"/>
            <w:hideMark/>
          </w:tcPr>
          <w:p w14:paraId="5810EB8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1C27BCC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B8132D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688768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C385F7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9B2BE6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93E75E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E71DD2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5D8CE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55F27BAA"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Moraes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27F002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6D349D8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168BE59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43.7</w:t>
            </w:r>
          </w:p>
        </w:tc>
        <w:tc>
          <w:tcPr>
            <w:tcW w:w="0" w:type="auto"/>
            <w:tcBorders>
              <w:top w:val="nil"/>
              <w:left w:val="nil"/>
              <w:bottom w:val="single" w:sz="4" w:space="0" w:color="auto"/>
              <w:right w:val="single" w:sz="4" w:space="0" w:color="auto"/>
            </w:tcBorders>
            <w:shd w:val="clear" w:color="auto" w:fill="auto"/>
            <w:noWrap/>
            <w:vAlign w:val="bottom"/>
            <w:hideMark/>
          </w:tcPr>
          <w:p w14:paraId="0FF479E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30F5396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33.3</w:t>
            </w:r>
          </w:p>
        </w:tc>
        <w:tc>
          <w:tcPr>
            <w:tcW w:w="825" w:type="dxa"/>
            <w:tcBorders>
              <w:top w:val="nil"/>
              <w:left w:val="nil"/>
              <w:bottom w:val="single" w:sz="4" w:space="0" w:color="auto"/>
              <w:right w:val="single" w:sz="4" w:space="0" w:color="auto"/>
            </w:tcBorders>
            <w:shd w:val="clear" w:color="auto" w:fill="auto"/>
            <w:noWrap/>
            <w:vAlign w:val="bottom"/>
            <w:hideMark/>
          </w:tcPr>
          <w:p w14:paraId="4AA918B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&gt;=130</w:t>
            </w:r>
          </w:p>
        </w:tc>
        <w:tc>
          <w:tcPr>
            <w:tcW w:w="0" w:type="auto"/>
            <w:tcBorders>
              <w:top w:val="nil"/>
              <w:left w:val="nil"/>
              <w:bottom w:val="single" w:sz="4" w:space="0" w:color="auto"/>
              <w:right w:val="single" w:sz="4" w:space="0" w:color="auto"/>
            </w:tcBorders>
            <w:shd w:val="clear" w:color="auto" w:fill="auto"/>
            <w:noWrap/>
            <w:vAlign w:val="bottom"/>
            <w:hideMark/>
          </w:tcPr>
          <w:p w14:paraId="5426D41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20.4</w:t>
            </w:r>
          </w:p>
        </w:tc>
        <w:tc>
          <w:tcPr>
            <w:tcW w:w="1314" w:type="dxa"/>
            <w:tcBorders>
              <w:top w:val="nil"/>
              <w:left w:val="nil"/>
              <w:bottom w:val="single" w:sz="4" w:space="0" w:color="auto"/>
              <w:right w:val="single" w:sz="4" w:space="0" w:color="auto"/>
            </w:tcBorders>
            <w:shd w:val="clear" w:color="auto" w:fill="auto"/>
            <w:noWrap/>
            <w:vAlign w:val="bottom"/>
            <w:hideMark/>
          </w:tcPr>
          <w:p w14:paraId="70A3507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4453DF5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25</w:t>
            </w:r>
          </w:p>
        </w:tc>
        <w:tc>
          <w:tcPr>
            <w:tcW w:w="866" w:type="dxa"/>
            <w:tcBorders>
              <w:top w:val="nil"/>
              <w:left w:val="nil"/>
              <w:bottom w:val="single" w:sz="4" w:space="0" w:color="auto"/>
              <w:right w:val="single" w:sz="4" w:space="0" w:color="auto"/>
            </w:tcBorders>
            <w:shd w:val="clear" w:color="auto" w:fill="auto"/>
            <w:noWrap/>
            <w:vAlign w:val="bottom"/>
            <w:hideMark/>
          </w:tcPr>
          <w:p w14:paraId="60AB15D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D158BF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3D16C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6F9F9753"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Garcez</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87D2C7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2014</w:t>
            </w:r>
          </w:p>
        </w:tc>
        <w:tc>
          <w:tcPr>
            <w:tcW w:w="0" w:type="auto"/>
            <w:tcBorders>
              <w:top w:val="nil"/>
              <w:left w:val="nil"/>
              <w:bottom w:val="single" w:sz="4" w:space="0" w:color="auto"/>
              <w:right w:val="single" w:sz="4" w:space="0" w:color="auto"/>
            </w:tcBorders>
            <w:shd w:val="clear" w:color="auto" w:fill="auto"/>
            <w:noWrap/>
            <w:vAlign w:val="bottom"/>
            <w:hideMark/>
          </w:tcPr>
          <w:p w14:paraId="5520691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576C5B3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27.09</w:t>
            </w:r>
          </w:p>
        </w:tc>
        <w:tc>
          <w:tcPr>
            <w:tcW w:w="0" w:type="auto"/>
            <w:tcBorders>
              <w:top w:val="nil"/>
              <w:left w:val="nil"/>
              <w:bottom w:val="single" w:sz="4" w:space="0" w:color="auto"/>
              <w:right w:val="single" w:sz="4" w:space="0" w:color="auto"/>
            </w:tcBorders>
            <w:shd w:val="clear" w:color="auto" w:fill="auto"/>
            <w:noWrap/>
            <w:vAlign w:val="bottom"/>
            <w:hideMark/>
          </w:tcPr>
          <w:p w14:paraId="72F522B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4142252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198B62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A91576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44.15</w:t>
            </w:r>
          </w:p>
        </w:tc>
        <w:tc>
          <w:tcPr>
            <w:tcW w:w="1314" w:type="dxa"/>
            <w:tcBorders>
              <w:top w:val="nil"/>
              <w:left w:val="nil"/>
              <w:bottom w:val="single" w:sz="4" w:space="0" w:color="auto"/>
              <w:right w:val="single" w:sz="4" w:space="0" w:color="auto"/>
            </w:tcBorders>
            <w:shd w:val="clear" w:color="auto" w:fill="auto"/>
            <w:noWrap/>
            <w:vAlign w:val="bottom"/>
            <w:hideMark/>
          </w:tcPr>
          <w:p w14:paraId="34D2E4B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199CC8F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ED5D9E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7247774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A8930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441C26EA"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Garcez</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0DB68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2014</w:t>
            </w:r>
          </w:p>
        </w:tc>
        <w:tc>
          <w:tcPr>
            <w:tcW w:w="0" w:type="auto"/>
            <w:tcBorders>
              <w:top w:val="nil"/>
              <w:left w:val="nil"/>
              <w:bottom w:val="single" w:sz="4" w:space="0" w:color="auto"/>
              <w:right w:val="single" w:sz="4" w:space="0" w:color="auto"/>
            </w:tcBorders>
            <w:shd w:val="clear" w:color="auto" w:fill="auto"/>
            <w:noWrap/>
            <w:vAlign w:val="bottom"/>
            <w:hideMark/>
          </w:tcPr>
          <w:p w14:paraId="3420128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4D7311A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36.5</w:t>
            </w:r>
          </w:p>
        </w:tc>
        <w:tc>
          <w:tcPr>
            <w:tcW w:w="0" w:type="auto"/>
            <w:tcBorders>
              <w:top w:val="nil"/>
              <w:left w:val="nil"/>
              <w:bottom w:val="single" w:sz="4" w:space="0" w:color="auto"/>
              <w:right w:val="single" w:sz="4" w:space="0" w:color="auto"/>
            </w:tcBorders>
            <w:shd w:val="clear" w:color="auto" w:fill="auto"/>
            <w:noWrap/>
            <w:vAlign w:val="bottom"/>
            <w:hideMark/>
          </w:tcPr>
          <w:p w14:paraId="5278A98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7A0D726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0EB57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F9420B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30.04</w:t>
            </w:r>
          </w:p>
        </w:tc>
        <w:tc>
          <w:tcPr>
            <w:tcW w:w="1314" w:type="dxa"/>
            <w:tcBorders>
              <w:top w:val="nil"/>
              <w:left w:val="nil"/>
              <w:bottom w:val="single" w:sz="4" w:space="0" w:color="auto"/>
              <w:right w:val="single" w:sz="4" w:space="0" w:color="auto"/>
            </w:tcBorders>
            <w:shd w:val="clear" w:color="auto" w:fill="auto"/>
            <w:noWrap/>
            <w:vAlign w:val="bottom"/>
            <w:hideMark/>
          </w:tcPr>
          <w:p w14:paraId="40B83D8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771D92E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49A65F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B103688"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B8770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51BB07E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xml:space="preserve">Igor </w:t>
            </w:r>
            <w:proofErr w:type="spellStart"/>
            <w:r w:rsidRPr="00665066">
              <w:rPr>
                <w:rFonts w:ascii="Arial" w:eastAsia="Times New Roman" w:hAnsi="Arial" w:cs="Arial"/>
                <w:color w:val="000000"/>
                <w:sz w:val="16"/>
                <w:szCs w:val="16"/>
                <w:lang w:eastAsia="en-GB"/>
              </w:rPr>
              <w:t>Conterato</w:t>
            </w:r>
            <w:proofErr w:type="spellEnd"/>
            <w:r w:rsidRPr="00665066">
              <w:rPr>
                <w:rFonts w:ascii="Arial" w:eastAsia="Times New Roman" w:hAnsi="Arial" w:cs="Arial"/>
                <w:color w:val="000000"/>
                <w:sz w:val="16"/>
                <w:szCs w:val="16"/>
                <w:lang w:eastAsia="en-GB"/>
              </w:rPr>
              <w:t xml:space="preserve"> Gomes</w:t>
            </w:r>
          </w:p>
        </w:tc>
        <w:tc>
          <w:tcPr>
            <w:tcW w:w="0" w:type="auto"/>
            <w:tcBorders>
              <w:top w:val="nil"/>
              <w:left w:val="nil"/>
              <w:bottom w:val="single" w:sz="4" w:space="0" w:color="auto"/>
              <w:right w:val="single" w:sz="4" w:space="0" w:color="auto"/>
            </w:tcBorders>
            <w:shd w:val="clear" w:color="auto" w:fill="auto"/>
            <w:noWrap/>
            <w:vAlign w:val="bottom"/>
            <w:hideMark/>
          </w:tcPr>
          <w:p w14:paraId="0F2B2A3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060079F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5B54ED9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51.3</w:t>
            </w:r>
          </w:p>
        </w:tc>
        <w:tc>
          <w:tcPr>
            <w:tcW w:w="0" w:type="auto"/>
            <w:tcBorders>
              <w:top w:val="nil"/>
              <w:left w:val="nil"/>
              <w:bottom w:val="single" w:sz="4" w:space="0" w:color="auto"/>
              <w:right w:val="single" w:sz="4" w:space="0" w:color="auto"/>
            </w:tcBorders>
            <w:shd w:val="clear" w:color="auto" w:fill="auto"/>
            <w:noWrap/>
            <w:vAlign w:val="bottom"/>
            <w:hideMark/>
          </w:tcPr>
          <w:p w14:paraId="642AF43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5EE8F88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31</w:t>
            </w:r>
          </w:p>
        </w:tc>
        <w:tc>
          <w:tcPr>
            <w:tcW w:w="825" w:type="dxa"/>
            <w:tcBorders>
              <w:top w:val="nil"/>
              <w:left w:val="nil"/>
              <w:bottom w:val="single" w:sz="4" w:space="0" w:color="auto"/>
              <w:right w:val="single" w:sz="4" w:space="0" w:color="auto"/>
            </w:tcBorders>
            <w:shd w:val="clear" w:color="auto" w:fill="auto"/>
            <w:noWrap/>
            <w:vAlign w:val="bottom"/>
            <w:hideMark/>
          </w:tcPr>
          <w:p w14:paraId="2A93B64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c>
          <w:tcPr>
            <w:tcW w:w="0" w:type="auto"/>
            <w:tcBorders>
              <w:top w:val="nil"/>
              <w:left w:val="nil"/>
              <w:bottom w:val="single" w:sz="4" w:space="0" w:color="auto"/>
              <w:right w:val="single" w:sz="4" w:space="0" w:color="auto"/>
            </w:tcBorders>
            <w:shd w:val="clear" w:color="auto" w:fill="auto"/>
            <w:noWrap/>
            <w:vAlign w:val="bottom"/>
            <w:hideMark/>
          </w:tcPr>
          <w:p w14:paraId="7FC57E9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6963FC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D1A3FF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314ABD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A941539"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8F5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2ACA4649"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Fortanelli</w:t>
            </w:r>
            <w:proofErr w:type="spellEnd"/>
            <w:r w:rsidRPr="00665066">
              <w:rPr>
                <w:rFonts w:ascii="Arial" w:eastAsia="Times New Roman" w:hAnsi="Arial" w:cs="Arial"/>
                <w:color w:val="000000"/>
                <w:sz w:val="16"/>
                <w:szCs w:val="16"/>
                <w:lang w:eastAsia="en-GB"/>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CF73AA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23930F1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5BB68BB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17.15</w:t>
            </w:r>
          </w:p>
        </w:tc>
        <w:tc>
          <w:tcPr>
            <w:tcW w:w="0" w:type="auto"/>
            <w:tcBorders>
              <w:top w:val="nil"/>
              <w:left w:val="nil"/>
              <w:bottom w:val="single" w:sz="4" w:space="0" w:color="auto"/>
              <w:right w:val="single" w:sz="4" w:space="0" w:color="auto"/>
            </w:tcBorders>
            <w:shd w:val="clear" w:color="auto" w:fill="auto"/>
            <w:noWrap/>
            <w:vAlign w:val="bottom"/>
            <w:hideMark/>
          </w:tcPr>
          <w:p w14:paraId="051AEBB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74D06A3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15.42</w:t>
            </w:r>
          </w:p>
        </w:tc>
        <w:tc>
          <w:tcPr>
            <w:tcW w:w="825" w:type="dxa"/>
            <w:tcBorders>
              <w:top w:val="nil"/>
              <w:left w:val="nil"/>
              <w:bottom w:val="single" w:sz="4" w:space="0" w:color="auto"/>
              <w:right w:val="single" w:sz="4" w:space="0" w:color="auto"/>
            </w:tcBorders>
            <w:shd w:val="clear" w:color="auto" w:fill="auto"/>
            <w:noWrap/>
            <w:vAlign w:val="bottom"/>
            <w:hideMark/>
          </w:tcPr>
          <w:p w14:paraId="7A88CC4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6D118E1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585018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A97F3D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272D64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E51C3B8"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FF0FF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4D142B8E"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Marquezine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9D7C29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0551438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9981A4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59.5</w:t>
            </w:r>
          </w:p>
        </w:tc>
        <w:tc>
          <w:tcPr>
            <w:tcW w:w="0" w:type="auto"/>
            <w:tcBorders>
              <w:top w:val="nil"/>
              <w:left w:val="nil"/>
              <w:bottom w:val="single" w:sz="4" w:space="0" w:color="auto"/>
              <w:right w:val="single" w:sz="4" w:space="0" w:color="auto"/>
            </w:tcBorders>
            <w:shd w:val="clear" w:color="auto" w:fill="auto"/>
            <w:noWrap/>
            <w:vAlign w:val="bottom"/>
            <w:hideMark/>
          </w:tcPr>
          <w:p w14:paraId="7B353B9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443CA86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57.9</w:t>
            </w:r>
          </w:p>
        </w:tc>
        <w:tc>
          <w:tcPr>
            <w:tcW w:w="825" w:type="dxa"/>
            <w:tcBorders>
              <w:top w:val="nil"/>
              <w:left w:val="nil"/>
              <w:bottom w:val="single" w:sz="4" w:space="0" w:color="auto"/>
              <w:right w:val="single" w:sz="4" w:space="0" w:color="auto"/>
            </w:tcBorders>
            <w:shd w:val="clear" w:color="auto" w:fill="auto"/>
            <w:noWrap/>
            <w:vAlign w:val="bottom"/>
            <w:hideMark/>
          </w:tcPr>
          <w:p w14:paraId="6614BA3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&gt;=130</w:t>
            </w:r>
          </w:p>
        </w:tc>
        <w:tc>
          <w:tcPr>
            <w:tcW w:w="0" w:type="auto"/>
            <w:tcBorders>
              <w:top w:val="nil"/>
              <w:left w:val="nil"/>
              <w:bottom w:val="single" w:sz="4" w:space="0" w:color="auto"/>
              <w:right w:val="single" w:sz="4" w:space="0" w:color="auto"/>
            </w:tcBorders>
            <w:shd w:val="clear" w:color="auto" w:fill="auto"/>
            <w:noWrap/>
            <w:vAlign w:val="bottom"/>
            <w:hideMark/>
          </w:tcPr>
          <w:p w14:paraId="4438275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54.3</w:t>
            </w:r>
          </w:p>
        </w:tc>
        <w:tc>
          <w:tcPr>
            <w:tcW w:w="1314" w:type="dxa"/>
            <w:tcBorders>
              <w:top w:val="nil"/>
              <w:left w:val="nil"/>
              <w:bottom w:val="single" w:sz="4" w:space="0" w:color="auto"/>
              <w:right w:val="single" w:sz="4" w:space="0" w:color="auto"/>
            </w:tcBorders>
            <w:shd w:val="clear" w:color="auto" w:fill="auto"/>
            <w:noWrap/>
            <w:vAlign w:val="bottom"/>
            <w:hideMark/>
          </w:tcPr>
          <w:p w14:paraId="394B301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1481C91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30.9</w:t>
            </w:r>
          </w:p>
        </w:tc>
        <w:tc>
          <w:tcPr>
            <w:tcW w:w="866" w:type="dxa"/>
            <w:tcBorders>
              <w:top w:val="nil"/>
              <w:left w:val="nil"/>
              <w:bottom w:val="single" w:sz="4" w:space="0" w:color="auto"/>
              <w:right w:val="single" w:sz="4" w:space="0" w:color="auto"/>
            </w:tcBorders>
            <w:shd w:val="clear" w:color="auto" w:fill="auto"/>
            <w:noWrap/>
            <w:vAlign w:val="bottom"/>
            <w:hideMark/>
          </w:tcPr>
          <w:p w14:paraId="520D2BA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D6D895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CE604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655170D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Mendes-Lana</w:t>
            </w:r>
          </w:p>
        </w:tc>
        <w:tc>
          <w:tcPr>
            <w:tcW w:w="0" w:type="auto"/>
            <w:tcBorders>
              <w:top w:val="nil"/>
              <w:left w:val="nil"/>
              <w:bottom w:val="single" w:sz="4" w:space="0" w:color="auto"/>
              <w:right w:val="single" w:sz="4" w:space="0" w:color="auto"/>
            </w:tcBorders>
            <w:shd w:val="clear" w:color="auto" w:fill="auto"/>
            <w:noWrap/>
            <w:vAlign w:val="bottom"/>
            <w:hideMark/>
          </w:tcPr>
          <w:p w14:paraId="0062E68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6D320A7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3C8D0D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00031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2D83A4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E5475A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33477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F495CF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C81887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05D114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5866B8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39DA2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1C73731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Pena</w:t>
            </w:r>
          </w:p>
        </w:tc>
        <w:tc>
          <w:tcPr>
            <w:tcW w:w="0" w:type="auto"/>
            <w:tcBorders>
              <w:top w:val="nil"/>
              <w:left w:val="nil"/>
              <w:bottom w:val="single" w:sz="4" w:space="0" w:color="auto"/>
              <w:right w:val="single" w:sz="4" w:space="0" w:color="auto"/>
            </w:tcBorders>
            <w:shd w:val="clear" w:color="auto" w:fill="auto"/>
            <w:noWrap/>
            <w:vAlign w:val="bottom"/>
            <w:hideMark/>
          </w:tcPr>
          <w:p w14:paraId="14143B6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6737179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4791A2E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9241D1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97DB22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628937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DADAAB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A7A5B8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3166DC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E7DA74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E5D989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D766F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42950A09"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Bieleman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AAED6F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2014</w:t>
            </w:r>
          </w:p>
        </w:tc>
        <w:tc>
          <w:tcPr>
            <w:tcW w:w="0" w:type="auto"/>
            <w:tcBorders>
              <w:top w:val="nil"/>
              <w:left w:val="nil"/>
              <w:bottom w:val="single" w:sz="4" w:space="0" w:color="auto"/>
              <w:right w:val="single" w:sz="4" w:space="0" w:color="auto"/>
            </w:tcBorders>
            <w:shd w:val="clear" w:color="auto" w:fill="auto"/>
            <w:noWrap/>
            <w:vAlign w:val="bottom"/>
            <w:hideMark/>
          </w:tcPr>
          <w:p w14:paraId="507A419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1982</w:t>
            </w:r>
          </w:p>
        </w:tc>
        <w:tc>
          <w:tcPr>
            <w:tcW w:w="0" w:type="auto"/>
            <w:tcBorders>
              <w:top w:val="nil"/>
              <w:left w:val="nil"/>
              <w:bottom w:val="single" w:sz="4" w:space="0" w:color="auto"/>
              <w:right w:val="single" w:sz="4" w:space="0" w:color="auto"/>
            </w:tcBorders>
            <w:shd w:val="clear" w:color="auto" w:fill="auto"/>
            <w:noWrap/>
            <w:vAlign w:val="bottom"/>
            <w:hideMark/>
          </w:tcPr>
          <w:p w14:paraId="7D33E31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9D1A3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80396D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CBF387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E5C5B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15.1</w:t>
            </w:r>
          </w:p>
        </w:tc>
        <w:tc>
          <w:tcPr>
            <w:tcW w:w="1314" w:type="dxa"/>
            <w:tcBorders>
              <w:top w:val="nil"/>
              <w:left w:val="nil"/>
              <w:bottom w:val="single" w:sz="4" w:space="0" w:color="auto"/>
              <w:right w:val="single" w:sz="4" w:space="0" w:color="auto"/>
            </w:tcBorders>
            <w:shd w:val="clear" w:color="auto" w:fill="auto"/>
            <w:noWrap/>
            <w:vAlign w:val="bottom"/>
            <w:hideMark/>
          </w:tcPr>
          <w:p w14:paraId="6FDF7FF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6C3DB35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22.6</w:t>
            </w:r>
          </w:p>
        </w:tc>
        <w:tc>
          <w:tcPr>
            <w:tcW w:w="866" w:type="dxa"/>
            <w:tcBorders>
              <w:top w:val="nil"/>
              <w:left w:val="nil"/>
              <w:bottom w:val="single" w:sz="4" w:space="0" w:color="auto"/>
              <w:right w:val="single" w:sz="4" w:space="0" w:color="auto"/>
            </w:tcBorders>
            <w:shd w:val="clear" w:color="auto" w:fill="auto"/>
            <w:noWrap/>
            <w:vAlign w:val="bottom"/>
            <w:hideMark/>
          </w:tcPr>
          <w:p w14:paraId="16163E3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3898AE3D"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B31C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4D468C6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Cardoso</w:t>
            </w:r>
          </w:p>
        </w:tc>
        <w:tc>
          <w:tcPr>
            <w:tcW w:w="0" w:type="auto"/>
            <w:tcBorders>
              <w:top w:val="nil"/>
              <w:left w:val="nil"/>
              <w:bottom w:val="single" w:sz="4" w:space="0" w:color="auto"/>
              <w:right w:val="single" w:sz="4" w:space="0" w:color="auto"/>
            </w:tcBorders>
            <w:shd w:val="clear" w:color="auto" w:fill="auto"/>
            <w:noWrap/>
            <w:vAlign w:val="bottom"/>
            <w:hideMark/>
          </w:tcPr>
          <w:p w14:paraId="2685728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2002</w:t>
            </w:r>
          </w:p>
        </w:tc>
        <w:tc>
          <w:tcPr>
            <w:tcW w:w="0" w:type="auto"/>
            <w:tcBorders>
              <w:top w:val="nil"/>
              <w:left w:val="nil"/>
              <w:bottom w:val="single" w:sz="4" w:space="0" w:color="auto"/>
              <w:right w:val="single" w:sz="4" w:space="0" w:color="auto"/>
            </w:tcBorders>
            <w:shd w:val="clear" w:color="auto" w:fill="auto"/>
            <w:noWrap/>
            <w:vAlign w:val="bottom"/>
            <w:hideMark/>
          </w:tcPr>
          <w:p w14:paraId="6886C15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1991</w:t>
            </w:r>
          </w:p>
        </w:tc>
        <w:tc>
          <w:tcPr>
            <w:tcW w:w="0" w:type="auto"/>
            <w:tcBorders>
              <w:top w:val="nil"/>
              <w:left w:val="nil"/>
              <w:bottom w:val="single" w:sz="4" w:space="0" w:color="auto"/>
              <w:right w:val="single" w:sz="4" w:space="0" w:color="auto"/>
            </w:tcBorders>
            <w:shd w:val="clear" w:color="auto" w:fill="auto"/>
            <w:noWrap/>
            <w:vAlign w:val="bottom"/>
            <w:hideMark/>
          </w:tcPr>
          <w:p w14:paraId="14B2FCF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35.6</w:t>
            </w:r>
          </w:p>
        </w:tc>
        <w:tc>
          <w:tcPr>
            <w:tcW w:w="0" w:type="auto"/>
            <w:tcBorders>
              <w:top w:val="nil"/>
              <w:left w:val="nil"/>
              <w:bottom w:val="single" w:sz="4" w:space="0" w:color="auto"/>
              <w:right w:val="single" w:sz="4" w:space="0" w:color="auto"/>
            </w:tcBorders>
            <w:shd w:val="clear" w:color="auto" w:fill="auto"/>
            <w:noWrap/>
            <w:vAlign w:val="bottom"/>
            <w:hideMark/>
          </w:tcPr>
          <w:p w14:paraId="319F86F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5008A50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34.1</w:t>
            </w:r>
          </w:p>
        </w:tc>
        <w:tc>
          <w:tcPr>
            <w:tcW w:w="825" w:type="dxa"/>
            <w:tcBorders>
              <w:top w:val="nil"/>
              <w:left w:val="nil"/>
              <w:bottom w:val="single" w:sz="4" w:space="0" w:color="auto"/>
              <w:right w:val="single" w:sz="4" w:space="0" w:color="auto"/>
            </w:tcBorders>
            <w:shd w:val="clear" w:color="auto" w:fill="auto"/>
            <w:noWrap/>
            <w:vAlign w:val="bottom"/>
            <w:hideMark/>
          </w:tcPr>
          <w:p w14:paraId="76AF5FA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&gt;=130</w:t>
            </w:r>
          </w:p>
        </w:tc>
        <w:tc>
          <w:tcPr>
            <w:tcW w:w="0" w:type="auto"/>
            <w:tcBorders>
              <w:top w:val="nil"/>
              <w:left w:val="nil"/>
              <w:bottom w:val="single" w:sz="4" w:space="0" w:color="auto"/>
              <w:right w:val="single" w:sz="4" w:space="0" w:color="auto"/>
            </w:tcBorders>
            <w:shd w:val="clear" w:color="auto" w:fill="auto"/>
            <w:noWrap/>
            <w:vAlign w:val="bottom"/>
            <w:hideMark/>
          </w:tcPr>
          <w:p w14:paraId="40F52AF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82</w:t>
            </w:r>
          </w:p>
        </w:tc>
        <w:tc>
          <w:tcPr>
            <w:tcW w:w="1314" w:type="dxa"/>
            <w:tcBorders>
              <w:top w:val="nil"/>
              <w:left w:val="nil"/>
              <w:bottom w:val="single" w:sz="4" w:space="0" w:color="auto"/>
              <w:right w:val="single" w:sz="4" w:space="0" w:color="auto"/>
            </w:tcBorders>
            <w:shd w:val="clear" w:color="auto" w:fill="auto"/>
            <w:noWrap/>
            <w:vAlign w:val="bottom"/>
            <w:hideMark/>
          </w:tcPr>
          <w:p w14:paraId="187D058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&lt;35</w:t>
            </w:r>
          </w:p>
        </w:tc>
        <w:tc>
          <w:tcPr>
            <w:tcW w:w="590" w:type="dxa"/>
            <w:tcBorders>
              <w:top w:val="nil"/>
              <w:left w:val="nil"/>
              <w:bottom w:val="single" w:sz="4" w:space="0" w:color="auto"/>
              <w:right w:val="single" w:sz="4" w:space="0" w:color="auto"/>
            </w:tcBorders>
            <w:shd w:val="clear" w:color="auto" w:fill="auto"/>
            <w:noWrap/>
            <w:vAlign w:val="bottom"/>
            <w:hideMark/>
          </w:tcPr>
          <w:p w14:paraId="0F4A5C7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13</w:t>
            </w:r>
          </w:p>
        </w:tc>
        <w:tc>
          <w:tcPr>
            <w:tcW w:w="866" w:type="dxa"/>
            <w:tcBorders>
              <w:top w:val="nil"/>
              <w:left w:val="nil"/>
              <w:bottom w:val="single" w:sz="4" w:space="0" w:color="auto"/>
              <w:right w:val="single" w:sz="4" w:space="0" w:color="auto"/>
            </w:tcBorders>
            <w:shd w:val="clear" w:color="auto" w:fill="auto"/>
            <w:noWrap/>
            <w:vAlign w:val="bottom"/>
            <w:hideMark/>
          </w:tcPr>
          <w:p w14:paraId="32CB340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54CEB04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6139F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30FAAB54"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Buffarini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B8B782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508C4FD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1993</w:t>
            </w:r>
          </w:p>
        </w:tc>
        <w:tc>
          <w:tcPr>
            <w:tcW w:w="0" w:type="auto"/>
            <w:tcBorders>
              <w:top w:val="nil"/>
              <w:left w:val="nil"/>
              <w:bottom w:val="single" w:sz="4" w:space="0" w:color="auto"/>
              <w:right w:val="single" w:sz="4" w:space="0" w:color="auto"/>
            </w:tcBorders>
            <w:shd w:val="clear" w:color="auto" w:fill="auto"/>
            <w:noWrap/>
            <w:vAlign w:val="bottom"/>
            <w:hideMark/>
          </w:tcPr>
          <w:p w14:paraId="31DF103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57E018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E0D289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9DB7B4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414484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9249EB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CE96F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260C0B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99E981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4CA42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4F42444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de Oliveira</w:t>
            </w:r>
          </w:p>
        </w:tc>
        <w:tc>
          <w:tcPr>
            <w:tcW w:w="0" w:type="auto"/>
            <w:tcBorders>
              <w:top w:val="nil"/>
              <w:left w:val="nil"/>
              <w:bottom w:val="single" w:sz="4" w:space="0" w:color="auto"/>
              <w:right w:val="single" w:sz="4" w:space="0" w:color="auto"/>
            </w:tcBorders>
            <w:shd w:val="clear" w:color="auto" w:fill="auto"/>
            <w:noWrap/>
            <w:vAlign w:val="bottom"/>
            <w:hideMark/>
          </w:tcPr>
          <w:p w14:paraId="3C426F6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5BB77AF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1999</w:t>
            </w:r>
          </w:p>
        </w:tc>
        <w:tc>
          <w:tcPr>
            <w:tcW w:w="0" w:type="auto"/>
            <w:tcBorders>
              <w:top w:val="nil"/>
              <w:left w:val="nil"/>
              <w:bottom w:val="single" w:sz="4" w:space="0" w:color="auto"/>
              <w:right w:val="single" w:sz="4" w:space="0" w:color="auto"/>
            </w:tcBorders>
            <w:shd w:val="clear" w:color="auto" w:fill="auto"/>
            <w:noWrap/>
            <w:vAlign w:val="bottom"/>
            <w:hideMark/>
          </w:tcPr>
          <w:p w14:paraId="28F4F4F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866EAD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F4C3A0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A5A3AE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292007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629961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46F288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77188E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37D1128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3D290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395B013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xml:space="preserve">Martins </w:t>
            </w:r>
          </w:p>
        </w:tc>
        <w:tc>
          <w:tcPr>
            <w:tcW w:w="0" w:type="auto"/>
            <w:tcBorders>
              <w:top w:val="nil"/>
              <w:left w:val="nil"/>
              <w:bottom w:val="single" w:sz="4" w:space="0" w:color="auto"/>
              <w:right w:val="single" w:sz="4" w:space="0" w:color="auto"/>
            </w:tcBorders>
            <w:shd w:val="clear" w:color="auto" w:fill="auto"/>
            <w:noWrap/>
            <w:vAlign w:val="bottom"/>
            <w:hideMark/>
          </w:tcPr>
          <w:p w14:paraId="734ADD3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1989</w:t>
            </w:r>
          </w:p>
        </w:tc>
        <w:tc>
          <w:tcPr>
            <w:tcW w:w="0" w:type="auto"/>
            <w:tcBorders>
              <w:top w:val="nil"/>
              <w:left w:val="nil"/>
              <w:bottom w:val="single" w:sz="4" w:space="0" w:color="auto"/>
              <w:right w:val="single" w:sz="4" w:space="0" w:color="auto"/>
            </w:tcBorders>
            <w:shd w:val="clear" w:color="auto" w:fill="auto"/>
            <w:noWrap/>
            <w:vAlign w:val="bottom"/>
            <w:hideMark/>
          </w:tcPr>
          <w:p w14:paraId="1A1499D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1987</w:t>
            </w:r>
          </w:p>
        </w:tc>
        <w:tc>
          <w:tcPr>
            <w:tcW w:w="0" w:type="auto"/>
            <w:tcBorders>
              <w:top w:val="nil"/>
              <w:left w:val="nil"/>
              <w:bottom w:val="single" w:sz="4" w:space="0" w:color="auto"/>
              <w:right w:val="single" w:sz="4" w:space="0" w:color="auto"/>
            </w:tcBorders>
            <w:shd w:val="clear" w:color="auto" w:fill="auto"/>
            <w:noWrap/>
            <w:vAlign w:val="bottom"/>
            <w:hideMark/>
          </w:tcPr>
          <w:p w14:paraId="235D818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19.71</w:t>
            </w:r>
          </w:p>
        </w:tc>
        <w:tc>
          <w:tcPr>
            <w:tcW w:w="0" w:type="auto"/>
            <w:tcBorders>
              <w:top w:val="nil"/>
              <w:left w:val="nil"/>
              <w:bottom w:val="single" w:sz="4" w:space="0" w:color="auto"/>
              <w:right w:val="single" w:sz="4" w:space="0" w:color="auto"/>
            </w:tcBorders>
            <w:shd w:val="clear" w:color="auto" w:fill="auto"/>
            <w:noWrap/>
            <w:vAlign w:val="bottom"/>
            <w:hideMark/>
          </w:tcPr>
          <w:p w14:paraId="553EDE0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67D87F0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78EB44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A77F4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37.63</w:t>
            </w:r>
          </w:p>
        </w:tc>
        <w:tc>
          <w:tcPr>
            <w:tcW w:w="1314" w:type="dxa"/>
            <w:tcBorders>
              <w:top w:val="nil"/>
              <w:left w:val="nil"/>
              <w:bottom w:val="single" w:sz="4" w:space="0" w:color="auto"/>
              <w:right w:val="single" w:sz="4" w:space="0" w:color="auto"/>
            </w:tcBorders>
            <w:shd w:val="clear" w:color="auto" w:fill="auto"/>
            <w:noWrap/>
            <w:vAlign w:val="bottom"/>
            <w:hideMark/>
          </w:tcPr>
          <w:p w14:paraId="0CCAC58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&lt;35(men) &amp; &lt;45 (women)</w:t>
            </w:r>
          </w:p>
        </w:tc>
        <w:tc>
          <w:tcPr>
            <w:tcW w:w="590" w:type="dxa"/>
            <w:tcBorders>
              <w:top w:val="nil"/>
              <w:left w:val="nil"/>
              <w:bottom w:val="single" w:sz="4" w:space="0" w:color="auto"/>
              <w:right w:val="single" w:sz="4" w:space="0" w:color="auto"/>
            </w:tcBorders>
            <w:shd w:val="clear" w:color="auto" w:fill="auto"/>
            <w:noWrap/>
            <w:vAlign w:val="bottom"/>
            <w:hideMark/>
          </w:tcPr>
          <w:p w14:paraId="5A0778E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w:t>
            </w:r>
          </w:p>
        </w:tc>
        <w:tc>
          <w:tcPr>
            <w:tcW w:w="866" w:type="dxa"/>
            <w:tcBorders>
              <w:top w:val="nil"/>
              <w:left w:val="nil"/>
              <w:bottom w:val="single" w:sz="4" w:space="0" w:color="auto"/>
              <w:right w:val="single" w:sz="4" w:space="0" w:color="auto"/>
            </w:tcBorders>
            <w:shd w:val="clear" w:color="auto" w:fill="auto"/>
            <w:noWrap/>
            <w:vAlign w:val="bottom"/>
            <w:hideMark/>
          </w:tcPr>
          <w:p w14:paraId="6BB5C84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&gt;140</w:t>
            </w:r>
          </w:p>
        </w:tc>
      </w:tr>
      <w:tr w:rsidR="00665066" w:rsidRPr="00665066" w14:paraId="76929BE9"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C08A8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778E38F2"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Fornes</w:t>
            </w:r>
            <w:proofErr w:type="spellEnd"/>
            <w:r w:rsidRPr="00665066">
              <w:rPr>
                <w:rFonts w:ascii="Arial" w:eastAsia="Times New Roman" w:hAnsi="Arial" w:cs="Arial"/>
                <w:color w:val="000000"/>
                <w:sz w:val="16"/>
                <w:szCs w:val="16"/>
                <w:lang w:eastAsia="en-GB"/>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62BA41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2000</w:t>
            </w:r>
          </w:p>
        </w:tc>
        <w:tc>
          <w:tcPr>
            <w:tcW w:w="0" w:type="auto"/>
            <w:tcBorders>
              <w:top w:val="nil"/>
              <w:left w:val="nil"/>
              <w:bottom w:val="single" w:sz="4" w:space="0" w:color="auto"/>
              <w:right w:val="single" w:sz="4" w:space="0" w:color="auto"/>
            </w:tcBorders>
            <w:shd w:val="clear" w:color="auto" w:fill="auto"/>
            <w:noWrap/>
            <w:vAlign w:val="bottom"/>
            <w:hideMark/>
          </w:tcPr>
          <w:p w14:paraId="7341AEE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1990</w:t>
            </w:r>
          </w:p>
        </w:tc>
        <w:tc>
          <w:tcPr>
            <w:tcW w:w="0" w:type="auto"/>
            <w:tcBorders>
              <w:top w:val="nil"/>
              <w:left w:val="nil"/>
              <w:bottom w:val="single" w:sz="4" w:space="0" w:color="auto"/>
              <w:right w:val="single" w:sz="4" w:space="0" w:color="auto"/>
            </w:tcBorders>
            <w:shd w:val="clear" w:color="auto" w:fill="auto"/>
            <w:noWrap/>
            <w:vAlign w:val="bottom"/>
            <w:hideMark/>
          </w:tcPr>
          <w:p w14:paraId="39E0FEB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98579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A64528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12</w:t>
            </w:r>
          </w:p>
        </w:tc>
        <w:tc>
          <w:tcPr>
            <w:tcW w:w="825" w:type="dxa"/>
            <w:tcBorders>
              <w:top w:val="nil"/>
              <w:left w:val="nil"/>
              <w:bottom w:val="single" w:sz="4" w:space="0" w:color="auto"/>
              <w:right w:val="single" w:sz="4" w:space="0" w:color="auto"/>
            </w:tcBorders>
            <w:shd w:val="clear" w:color="auto" w:fill="auto"/>
            <w:noWrap/>
            <w:vAlign w:val="bottom"/>
            <w:hideMark/>
          </w:tcPr>
          <w:p w14:paraId="75BE103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17817A8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22.1</w:t>
            </w:r>
          </w:p>
        </w:tc>
        <w:tc>
          <w:tcPr>
            <w:tcW w:w="1314" w:type="dxa"/>
            <w:tcBorders>
              <w:top w:val="nil"/>
              <w:left w:val="nil"/>
              <w:bottom w:val="single" w:sz="4" w:space="0" w:color="auto"/>
              <w:right w:val="single" w:sz="4" w:space="0" w:color="auto"/>
            </w:tcBorders>
            <w:shd w:val="clear" w:color="auto" w:fill="auto"/>
            <w:noWrap/>
            <w:vAlign w:val="bottom"/>
            <w:hideMark/>
          </w:tcPr>
          <w:p w14:paraId="5D4677D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&lt;=35</w:t>
            </w:r>
          </w:p>
        </w:tc>
        <w:tc>
          <w:tcPr>
            <w:tcW w:w="590" w:type="dxa"/>
            <w:tcBorders>
              <w:top w:val="nil"/>
              <w:left w:val="nil"/>
              <w:bottom w:val="single" w:sz="4" w:space="0" w:color="auto"/>
              <w:right w:val="single" w:sz="4" w:space="0" w:color="auto"/>
            </w:tcBorders>
            <w:shd w:val="clear" w:color="auto" w:fill="auto"/>
            <w:noWrap/>
            <w:vAlign w:val="bottom"/>
            <w:hideMark/>
          </w:tcPr>
          <w:p w14:paraId="736F608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2D7A99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3BDEF2AA"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743C7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1340A72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Martins</w:t>
            </w:r>
          </w:p>
        </w:tc>
        <w:tc>
          <w:tcPr>
            <w:tcW w:w="0" w:type="auto"/>
            <w:tcBorders>
              <w:top w:val="nil"/>
              <w:left w:val="nil"/>
              <w:bottom w:val="single" w:sz="4" w:space="0" w:color="auto"/>
              <w:right w:val="single" w:sz="4" w:space="0" w:color="auto"/>
            </w:tcBorders>
            <w:shd w:val="clear" w:color="auto" w:fill="auto"/>
            <w:noWrap/>
            <w:vAlign w:val="bottom"/>
            <w:hideMark/>
          </w:tcPr>
          <w:p w14:paraId="3258673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1996</w:t>
            </w:r>
          </w:p>
        </w:tc>
        <w:tc>
          <w:tcPr>
            <w:tcW w:w="0" w:type="auto"/>
            <w:tcBorders>
              <w:top w:val="nil"/>
              <w:left w:val="nil"/>
              <w:bottom w:val="single" w:sz="4" w:space="0" w:color="auto"/>
              <w:right w:val="single" w:sz="4" w:space="0" w:color="auto"/>
            </w:tcBorders>
            <w:shd w:val="clear" w:color="auto" w:fill="auto"/>
            <w:noWrap/>
            <w:vAlign w:val="bottom"/>
            <w:hideMark/>
          </w:tcPr>
          <w:p w14:paraId="047D8F9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1991</w:t>
            </w:r>
          </w:p>
        </w:tc>
        <w:tc>
          <w:tcPr>
            <w:tcW w:w="0" w:type="auto"/>
            <w:tcBorders>
              <w:top w:val="nil"/>
              <w:left w:val="nil"/>
              <w:bottom w:val="single" w:sz="4" w:space="0" w:color="auto"/>
              <w:right w:val="single" w:sz="4" w:space="0" w:color="auto"/>
            </w:tcBorders>
            <w:shd w:val="clear" w:color="auto" w:fill="auto"/>
            <w:noWrap/>
            <w:vAlign w:val="bottom"/>
            <w:hideMark/>
          </w:tcPr>
          <w:p w14:paraId="5FFA541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178039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42DA10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5874AB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4AC2D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920D8C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C29A9C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564174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71F10819"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1029B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4E1E2A8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xml:space="preserve">Correa </w:t>
            </w:r>
            <w:proofErr w:type="spellStart"/>
            <w:r w:rsidRPr="00665066">
              <w:rPr>
                <w:rFonts w:ascii="Arial" w:eastAsia="Times New Roman" w:hAnsi="Arial" w:cs="Arial"/>
                <w:color w:val="000000"/>
                <w:sz w:val="16"/>
                <w:szCs w:val="16"/>
                <w:lang w:eastAsia="en-GB"/>
              </w:rPr>
              <w:t>Leite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652420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4CBCD1B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1997</w:t>
            </w:r>
          </w:p>
        </w:tc>
        <w:tc>
          <w:tcPr>
            <w:tcW w:w="0" w:type="auto"/>
            <w:tcBorders>
              <w:top w:val="nil"/>
              <w:left w:val="nil"/>
              <w:bottom w:val="single" w:sz="4" w:space="0" w:color="auto"/>
              <w:right w:val="single" w:sz="4" w:space="0" w:color="auto"/>
            </w:tcBorders>
            <w:shd w:val="clear" w:color="auto" w:fill="auto"/>
            <w:noWrap/>
            <w:vAlign w:val="bottom"/>
            <w:hideMark/>
          </w:tcPr>
          <w:p w14:paraId="02C6A0B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91065A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25184AA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FF3CB3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6C8F1A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5EC3FC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356BB0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1512B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E8267B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D0A93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4DF929E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Gus</w:t>
            </w:r>
          </w:p>
        </w:tc>
        <w:tc>
          <w:tcPr>
            <w:tcW w:w="0" w:type="auto"/>
            <w:tcBorders>
              <w:top w:val="nil"/>
              <w:left w:val="nil"/>
              <w:bottom w:val="single" w:sz="4" w:space="0" w:color="auto"/>
              <w:right w:val="single" w:sz="4" w:space="0" w:color="auto"/>
            </w:tcBorders>
            <w:shd w:val="clear" w:color="auto" w:fill="auto"/>
            <w:noWrap/>
            <w:vAlign w:val="bottom"/>
            <w:hideMark/>
          </w:tcPr>
          <w:p w14:paraId="6AC96B3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2002</w:t>
            </w:r>
          </w:p>
        </w:tc>
        <w:tc>
          <w:tcPr>
            <w:tcW w:w="0" w:type="auto"/>
            <w:tcBorders>
              <w:top w:val="nil"/>
              <w:left w:val="nil"/>
              <w:bottom w:val="single" w:sz="4" w:space="0" w:color="auto"/>
              <w:right w:val="single" w:sz="4" w:space="0" w:color="auto"/>
            </w:tcBorders>
            <w:shd w:val="clear" w:color="auto" w:fill="auto"/>
            <w:noWrap/>
            <w:vAlign w:val="bottom"/>
            <w:hideMark/>
          </w:tcPr>
          <w:p w14:paraId="4C23173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2000</w:t>
            </w:r>
          </w:p>
        </w:tc>
        <w:tc>
          <w:tcPr>
            <w:tcW w:w="0" w:type="auto"/>
            <w:tcBorders>
              <w:top w:val="nil"/>
              <w:left w:val="nil"/>
              <w:bottom w:val="single" w:sz="4" w:space="0" w:color="auto"/>
              <w:right w:val="single" w:sz="4" w:space="0" w:color="auto"/>
            </w:tcBorders>
            <w:shd w:val="clear" w:color="auto" w:fill="auto"/>
            <w:noWrap/>
            <w:vAlign w:val="bottom"/>
            <w:hideMark/>
          </w:tcPr>
          <w:p w14:paraId="793D702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5.6</w:t>
            </w:r>
          </w:p>
        </w:tc>
        <w:tc>
          <w:tcPr>
            <w:tcW w:w="0" w:type="auto"/>
            <w:tcBorders>
              <w:top w:val="nil"/>
              <w:left w:val="nil"/>
              <w:bottom w:val="single" w:sz="4" w:space="0" w:color="auto"/>
              <w:right w:val="single" w:sz="4" w:space="0" w:color="auto"/>
            </w:tcBorders>
            <w:shd w:val="clear" w:color="auto" w:fill="auto"/>
            <w:noWrap/>
            <w:vAlign w:val="bottom"/>
            <w:hideMark/>
          </w:tcPr>
          <w:p w14:paraId="4504F26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69D3DF5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02BCD7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77402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8E4E8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0C386B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813111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CF047FE"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D15CE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39E4DA36"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Marcopito</w:t>
            </w:r>
            <w:proofErr w:type="spellEnd"/>
            <w:r w:rsidRPr="00665066">
              <w:rPr>
                <w:rFonts w:ascii="Arial" w:eastAsia="Times New Roman" w:hAnsi="Arial" w:cs="Arial"/>
                <w:color w:val="000000"/>
                <w:sz w:val="16"/>
                <w:szCs w:val="16"/>
                <w:lang w:eastAsia="en-GB"/>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1B94257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1D6EADB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3A09EFC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8.1</w:t>
            </w:r>
          </w:p>
        </w:tc>
        <w:tc>
          <w:tcPr>
            <w:tcW w:w="0" w:type="auto"/>
            <w:tcBorders>
              <w:top w:val="nil"/>
              <w:left w:val="nil"/>
              <w:bottom w:val="single" w:sz="4" w:space="0" w:color="auto"/>
              <w:right w:val="single" w:sz="4" w:space="0" w:color="auto"/>
            </w:tcBorders>
            <w:shd w:val="clear" w:color="auto" w:fill="auto"/>
            <w:noWrap/>
            <w:vAlign w:val="bottom"/>
            <w:hideMark/>
          </w:tcPr>
          <w:p w14:paraId="2A40CA5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12A00B2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0D9C2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12D2D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27.1</w:t>
            </w:r>
          </w:p>
        </w:tc>
        <w:tc>
          <w:tcPr>
            <w:tcW w:w="1314" w:type="dxa"/>
            <w:tcBorders>
              <w:top w:val="nil"/>
              <w:left w:val="nil"/>
              <w:bottom w:val="single" w:sz="4" w:space="0" w:color="auto"/>
              <w:right w:val="single" w:sz="4" w:space="0" w:color="auto"/>
            </w:tcBorders>
            <w:shd w:val="clear" w:color="auto" w:fill="auto"/>
            <w:noWrap/>
            <w:vAlign w:val="bottom"/>
            <w:hideMark/>
          </w:tcPr>
          <w:p w14:paraId="362F6DE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5499058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14.4</w:t>
            </w:r>
          </w:p>
        </w:tc>
        <w:tc>
          <w:tcPr>
            <w:tcW w:w="866" w:type="dxa"/>
            <w:tcBorders>
              <w:top w:val="nil"/>
              <w:left w:val="nil"/>
              <w:bottom w:val="single" w:sz="4" w:space="0" w:color="auto"/>
              <w:right w:val="single" w:sz="4" w:space="0" w:color="auto"/>
            </w:tcBorders>
            <w:shd w:val="clear" w:color="auto" w:fill="auto"/>
            <w:noWrap/>
            <w:vAlign w:val="bottom"/>
            <w:hideMark/>
          </w:tcPr>
          <w:p w14:paraId="0D76ADA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6AB8D9F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6A5D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1F14859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de Oliveira</w:t>
            </w:r>
          </w:p>
        </w:tc>
        <w:tc>
          <w:tcPr>
            <w:tcW w:w="0" w:type="auto"/>
            <w:tcBorders>
              <w:top w:val="nil"/>
              <w:left w:val="nil"/>
              <w:bottom w:val="single" w:sz="4" w:space="0" w:color="auto"/>
              <w:right w:val="single" w:sz="4" w:space="0" w:color="auto"/>
            </w:tcBorders>
            <w:shd w:val="clear" w:color="auto" w:fill="auto"/>
            <w:noWrap/>
            <w:vAlign w:val="bottom"/>
            <w:hideMark/>
          </w:tcPr>
          <w:p w14:paraId="7155C7F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02E483C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13A1371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34.5</w:t>
            </w:r>
          </w:p>
        </w:tc>
        <w:tc>
          <w:tcPr>
            <w:tcW w:w="0" w:type="auto"/>
            <w:tcBorders>
              <w:top w:val="nil"/>
              <w:left w:val="nil"/>
              <w:bottom w:val="single" w:sz="4" w:space="0" w:color="auto"/>
              <w:right w:val="single" w:sz="4" w:space="0" w:color="auto"/>
            </w:tcBorders>
            <w:shd w:val="clear" w:color="auto" w:fill="auto"/>
            <w:noWrap/>
            <w:vAlign w:val="bottom"/>
            <w:hideMark/>
          </w:tcPr>
          <w:p w14:paraId="2ACB9BF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602A3F9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25.7</w:t>
            </w:r>
          </w:p>
        </w:tc>
        <w:tc>
          <w:tcPr>
            <w:tcW w:w="825" w:type="dxa"/>
            <w:tcBorders>
              <w:top w:val="nil"/>
              <w:left w:val="nil"/>
              <w:bottom w:val="single" w:sz="4" w:space="0" w:color="auto"/>
              <w:right w:val="single" w:sz="4" w:space="0" w:color="auto"/>
            </w:tcBorders>
            <w:shd w:val="clear" w:color="auto" w:fill="auto"/>
            <w:noWrap/>
            <w:vAlign w:val="bottom"/>
            <w:hideMark/>
          </w:tcPr>
          <w:p w14:paraId="4FD5A7C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&gt;=130</w:t>
            </w:r>
          </w:p>
        </w:tc>
        <w:tc>
          <w:tcPr>
            <w:tcW w:w="0" w:type="auto"/>
            <w:tcBorders>
              <w:top w:val="nil"/>
              <w:left w:val="nil"/>
              <w:bottom w:val="single" w:sz="4" w:space="0" w:color="auto"/>
              <w:right w:val="single" w:sz="4" w:space="0" w:color="auto"/>
            </w:tcBorders>
            <w:shd w:val="clear" w:color="auto" w:fill="auto"/>
            <w:noWrap/>
            <w:vAlign w:val="bottom"/>
            <w:hideMark/>
          </w:tcPr>
          <w:p w14:paraId="5292015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29.3</w:t>
            </w:r>
          </w:p>
        </w:tc>
        <w:tc>
          <w:tcPr>
            <w:tcW w:w="1314" w:type="dxa"/>
            <w:tcBorders>
              <w:top w:val="nil"/>
              <w:left w:val="nil"/>
              <w:bottom w:val="single" w:sz="4" w:space="0" w:color="auto"/>
              <w:right w:val="single" w:sz="4" w:space="0" w:color="auto"/>
            </w:tcBorders>
            <w:shd w:val="clear" w:color="auto" w:fill="auto"/>
            <w:noWrap/>
            <w:vAlign w:val="bottom"/>
            <w:hideMark/>
          </w:tcPr>
          <w:p w14:paraId="464A391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287D73C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31.1</w:t>
            </w:r>
          </w:p>
        </w:tc>
        <w:tc>
          <w:tcPr>
            <w:tcW w:w="866" w:type="dxa"/>
            <w:tcBorders>
              <w:top w:val="nil"/>
              <w:left w:val="nil"/>
              <w:bottom w:val="single" w:sz="4" w:space="0" w:color="auto"/>
              <w:right w:val="single" w:sz="4" w:space="0" w:color="auto"/>
            </w:tcBorders>
            <w:shd w:val="clear" w:color="auto" w:fill="auto"/>
            <w:noWrap/>
            <w:vAlign w:val="bottom"/>
            <w:hideMark/>
          </w:tcPr>
          <w:p w14:paraId="6FCEC71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&gt;=130</w:t>
            </w:r>
          </w:p>
        </w:tc>
      </w:tr>
      <w:tr w:rsidR="00665066" w:rsidRPr="00665066" w14:paraId="509E03C9"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8E57C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lastRenderedPageBreak/>
              <w:t>Brazil</w:t>
            </w:r>
          </w:p>
        </w:tc>
        <w:tc>
          <w:tcPr>
            <w:tcW w:w="0" w:type="auto"/>
            <w:tcBorders>
              <w:top w:val="nil"/>
              <w:left w:val="nil"/>
              <w:bottom w:val="single" w:sz="4" w:space="0" w:color="auto"/>
              <w:right w:val="single" w:sz="4" w:space="0" w:color="auto"/>
            </w:tcBorders>
            <w:shd w:val="clear" w:color="auto" w:fill="auto"/>
            <w:noWrap/>
            <w:vAlign w:val="bottom"/>
            <w:hideMark/>
          </w:tcPr>
          <w:p w14:paraId="7FC9797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de Castro</w:t>
            </w:r>
          </w:p>
        </w:tc>
        <w:tc>
          <w:tcPr>
            <w:tcW w:w="0" w:type="auto"/>
            <w:tcBorders>
              <w:top w:val="nil"/>
              <w:left w:val="nil"/>
              <w:bottom w:val="single" w:sz="4" w:space="0" w:color="auto"/>
              <w:right w:val="single" w:sz="4" w:space="0" w:color="auto"/>
            </w:tcBorders>
            <w:shd w:val="clear" w:color="auto" w:fill="auto"/>
            <w:noWrap/>
            <w:vAlign w:val="bottom"/>
            <w:hideMark/>
          </w:tcPr>
          <w:p w14:paraId="6F45380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4D8312C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874129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7FB05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408176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30.5</w:t>
            </w:r>
          </w:p>
        </w:tc>
        <w:tc>
          <w:tcPr>
            <w:tcW w:w="825" w:type="dxa"/>
            <w:tcBorders>
              <w:top w:val="nil"/>
              <w:left w:val="nil"/>
              <w:bottom w:val="single" w:sz="4" w:space="0" w:color="auto"/>
              <w:right w:val="single" w:sz="4" w:space="0" w:color="auto"/>
            </w:tcBorders>
            <w:shd w:val="clear" w:color="auto" w:fill="auto"/>
            <w:noWrap/>
            <w:vAlign w:val="bottom"/>
            <w:hideMark/>
          </w:tcPr>
          <w:p w14:paraId="55765A2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&gt;=130</w:t>
            </w:r>
          </w:p>
        </w:tc>
        <w:tc>
          <w:tcPr>
            <w:tcW w:w="0" w:type="auto"/>
            <w:tcBorders>
              <w:top w:val="nil"/>
              <w:left w:val="nil"/>
              <w:bottom w:val="single" w:sz="4" w:space="0" w:color="auto"/>
              <w:right w:val="single" w:sz="4" w:space="0" w:color="auto"/>
            </w:tcBorders>
            <w:shd w:val="clear" w:color="auto" w:fill="auto"/>
            <w:noWrap/>
            <w:vAlign w:val="bottom"/>
            <w:hideMark/>
          </w:tcPr>
          <w:p w14:paraId="386D698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38</w:t>
            </w:r>
          </w:p>
        </w:tc>
        <w:tc>
          <w:tcPr>
            <w:tcW w:w="1314" w:type="dxa"/>
            <w:tcBorders>
              <w:top w:val="nil"/>
              <w:left w:val="nil"/>
              <w:bottom w:val="single" w:sz="4" w:space="0" w:color="auto"/>
              <w:right w:val="single" w:sz="4" w:space="0" w:color="auto"/>
            </w:tcBorders>
            <w:shd w:val="clear" w:color="auto" w:fill="auto"/>
            <w:noWrap/>
            <w:vAlign w:val="bottom"/>
            <w:hideMark/>
          </w:tcPr>
          <w:p w14:paraId="587728D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6E66285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30.5</w:t>
            </w:r>
          </w:p>
        </w:tc>
        <w:tc>
          <w:tcPr>
            <w:tcW w:w="866" w:type="dxa"/>
            <w:tcBorders>
              <w:top w:val="nil"/>
              <w:left w:val="nil"/>
              <w:bottom w:val="single" w:sz="4" w:space="0" w:color="auto"/>
              <w:right w:val="single" w:sz="4" w:space="0" w:color="auto"/>
            </w:tcBorders>
            <w:shd w:val="clear" w:color="auto" w:fill="auto"/>
            <w:noWrap/>
            <w:vAlign w:val="bottom"/>
            <w:hideMark/>
          </w:tcPr>
          <w:p w14:paraId="6026EEA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2F151423"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0419A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0D59CBA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de Souza</w:t>
            </w:r>
          </w:p>
        </w:tc>
        <w:tc>
          <w:tcPr>
            <w:tcW w:w="0" w:type="auto"/>
            <w:tcBorders>
              <w:top w:val="nil"/>
              <w:left w:val="nil"/>
              <w:bottom w:val="single" w:sz="4" w:space="0" w:color="auto"/>
              <w:right w:val="single" w:sz="4" w:space="0" w:color="auto"/>
            </w:tcBorders>
            <w:shd w:val="clear" w:color="auto" w:fill="auto"/>
            <w:noWrap/>
            <w:vAlign w:val="bottom"/>
            <w:hideMark/>
          </w:tcPr>
          <w:p w14:paraId="48E69C4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5206757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5CD4FAA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1A0706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305A8F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B2FDB6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5FFF54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7772558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847EBB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A29C26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32C88E5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B2474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106529FD"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Drumond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408956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85900C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798013D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51</w:t>
            </w:r>
          </w:p>
        </w:tc>
        <w:tc>
          <w:tcPr>
            <w:tcW w:w="0" w:type="auto"/>
            <w:tcBorders>
              <w:top w:val="nil"/>
              <w:left w:val="nil"/>
              <w:bottom w:val="single" w:sz="4" w:space="0" w:color="auto"/>
              <w:right w:val="single" w:sz="4" w:space="0" w:color="auto"/>
            </w:tcBorders>
            <w:shd w:val="clear" w:color="auto" w:fill="auto"/>
            <w:noWrap/>
            <w:vAlign w:val="bottom"/>
            <w:hideMark/>
          </w:tcPr>
          <w:p w14:paraId="4185B30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4132466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17.8</w:t>
            </w:r>
          </w:p>
        </w:tc>
        <w:tc>
          <w:tcPr>
            <w:tcW w:w="825" w:type="dxa"/>
            <w:tcBorders>
              <w:top w:val="nil"/>
              <w:left w:val="nil"/>
              <w:bottom w:val="single" w:sz="4" w:space="0" w:color="auto"/>
              <w:right w:val="single" w:sz="4" w:space="0" w:color="auto"/>
            </w:tcBorders>
            <w:shd w:val="clear" w:color="auto" w:fill="auto"/>
            <w:noWrap/>
            <w:vAlign w:val="bottom"/>
            <w:hideMark/>
          </w:tcPr>
          <w:p w14:paraId="40C380A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272AAEE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34.6</w:t>
            </w:r>
          </w:p>
        </w:tc>
        <w:tc>
          <w:tcPr>
            <w:tcW w:w="1314" w:type="dxa"/>
            <w:tcBorders>
              <w:top w:val="nil"/>
              <w:left w:val="nil"/>
              <w:bottom w:val="single" w:sz="4" w:space="0" w:color="auto"/>
              <w:right w:val="single" w:sz="4" w:space="0" w:color="auto"/>
            </w:tcBorders>
            <w:shd w:val="clear" w:color="auto" w:fill="auto"/>
            <w:noWrap/>
            <w:vAlign w:val="bottom"/>
            <w:hideMark/>
          </w:tcPr>
          <w:p w14:paraId="2B859F6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4040FC1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17.3</w:t>
            </w:r>
          </w:p>
        </w:tc>
        <w:tc>
          <w:tcPr>
            <w:tcW w:w="866" w:type="dxa"/>
            <w:tcBorders>
              <w:top w:val="nil"/>
              <w:left w:val="nil"/>
              <w:bottom w:val="single" w:sz="4" w:space="0" w:color="auto"/>
              <w:right w:val="single" w:sz="4" w:space="0" w:color="auto"/>
            </w:tcBorders>
            <w:shd w:val="clear" w:color="auto" w:fill="auto"/>
            <w:noWrap/>
            <w:vAlign w:val="bottom"/>
            <w:hideMark/>
          </w:tcPr>
          <w:p w14:paraId="18132D9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65FB12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85D1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02E826E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Mendes</w:t>
            </w:r>
          </w:p>
        </w:tc>
        <w:tc>
          <w:tcPr>
            <w:tcW w:w="0" w:type="auto"/>
            <w:tcBorders>
              <w:top w:val="nil"/>
              <w:left w:val="nil"/>
              <w:bottom w:val="single" w:sz="4" w:space="0" w:color="auto"/>
              <w:right w:val="single" w:sz="4" w:space="0" w:color="auto"/>
            </w:tcBorders>
            <w:shd w:val="clear" w:color="auto" w:fill="auto"/>
            <w:noWrap/>
            <w:vAlign w:val="bottom"/>
            <w:hideMark/>
          </w:tcPr>
          <w:p w14:paraId="1F28525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2014</w:t>
            </w:r>
          </w:p>
        </w:tc>
        <w:tc>
          <w:tcPr>
            <w:tcW w:w="0" w:type="auto"/>
            <w:tcBorders>
              <w:top w:val="nil"/>
              <w:left w:val="nil"/>
              <w:bottom w:val="single" w:sz="4" w:space="0" w:color="auto"/>
              <w:right w:val="single" w:sz="4" w:space="0" w:color="auto"/>
            </w:tcBorders>
            <w:shd w:val="clear" w:color="auto" w:fill="auto"/>
            <w:noWrap/>
            <w:vAlign w:val="bottom"/>
            <w:hideMark/>
          </w:tcPr>
          <w:p w14:paraId="68EAB95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0FD4BC7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19.41</w:t>
            </w:r>
          </w:p>
        </w:tc>
        <w:tc>
          <w:tcPr>
            <w:tcW w:w="0" w:type="auto"/>
            <w:tcBorders>
              <w:top w:val="nil"/>
              <w:left w:val="nil"/>
              <w:bottom w:val="single" w:sz="4" w:space="0" w:color="auto"/>
              <w:right w:val="single" w:sz="4" w:space="0" w:color="auto"/>
            </w:tcBorders>
            <w:shd w:val="clear" w:color="auto" w:fill="auto"/>
            <w:noWrap/>
            <w:vAlign w:val="bottom"/>
            <w:hideMark/>
          </w:tcPr>
          <w:p w14:paraId="6F4DBDE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147AF6A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C550CE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5DCE88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6D0C7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027B9DF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B68966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B0721A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1D43E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6DC290A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Castro</w:t>
            </w:r>
          </w:p>
        </w:tc>
        <w:tc>
          <w:tcPr>
            <w:tcW w:w="0" w:type="auto"/>
            <w:tcBorders>
              <w:top w:val="nil"/>
              <w:left w:val="nil"/>
              <w:bottom w:val="single" w:sz="4" w:space="0" w:color="auto"/>
              <w:right w:val="single" w:sz="4" w:space="0" w:color="auto"/>
            </w:tcBorders>
            <w:shd w:val="clear" w:color="auto" w:fill="auto"/>
            <w:noWrap/>
            <w:vAlign w:val="bottom"/>
            <w:hideMark/>
          </w:tcPr>
          <w:p w14:paraId="5C33C55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492735E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004BFD2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3C261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648D7D5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38</w:t>
            </w:r>
          </w:p>
        </w:tc>
        <w:tc>
          <w:tcPr>
            <w:tcW w:w="825" w:type="dxa"/>
            <w:tcBorders>
              <w:top w:val="nil"/>
              <w:left w:val="nil"/>
              <w:bottom w:val="single" w:sz="4" w:space="0" w:color="auto"/>
              <w:right w:val="single" w:sz="4" w:space="0" w:color="auto"/>
            </w:tcBorders>
            <w:shd w:val="clear" w:color="auto" w:fill="auto"/>
            <w:noWrap/>
            <w:vAlign w:val="bottom"/>
            <w:hideMark/>
          </w:tcPr>
          <w:p w14:paraId="230F7EE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84322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37</w:t>
            </w:r>
          </w:p>
        </w:tc>
        <w:tc>
          <w:tcPr>
            <w:tcW w:w="1314" w:type="dxa"/>
            <w:tcBorders>
              <w:top w:val="nil"/>
              <w:left w:val="nil"/>
              <w:bottom w:val="single" w:sz="4" w:space="0" w:color="auto"/>
              <w:right w:val="single" w:sz="4" w:space="0" w:color="auto"/>
            </w:tcBorders>
            <w:shd w:val="clear" w:color="auto" w:fill="auto"/>
            <w:noWrap/>
            <w:vAlign w:val="bottom"/>
            <w:hideMark/>
          </w:tcPr>
          <w:p w14:paraId="7E84813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C5D272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32</w:t>
            </w:r>
          </w:p>
        </w:tc>
        <w:tc>
          <w:tcPr>
            <w:tcW w:w="866" w:type="dxa"/>
            <w:tcBorders>
              <w:top w:val="nil"/>
              <w:left w:val="nil"/>
              <w:bottom w:val="single" w:sz="4" w:space="0" w:color="auto"/>
              <w:right w:val="single" w:sz="4" w:space="0" w:color="auto"/>
            </w:tcBorders>
            <w:shd w:val="clear" w:color="auto" w:fill="auto"/>
            <w:noWrap/>
            <w:vAlign w:val="bottom"/>
            <w:hideMark/>
          </w:tcPr>
          <w:p w14:paraId="5CB3711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66CC9FD"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A1EAE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5DBCF8BB"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Cocate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59EF7D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2E97187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7592AF3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75912A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F2E18C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679E21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E344A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5CC97C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04E7654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C24AF7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8EB3219"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8DD39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39FC0CA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Costa-Fagundes</w:t>
            </w:r>
          </w:p>
        </w:tc>
        <w:tc>
          <w:tcPr>
            <w:tcW w:w="0" w:type="auto"/>
            <w:tcBorders>
              <w:top w:val="nil"/>
              <w:left w:val="nil"/>
              <w:bottom w:val="single" w:sz="4" w:space="0" w:color="auto"/>
              <w:right w:val="single" w:sz="4" w:space="0" w:color="auto"/>
            </w:tcBorders>
            <w:shd w:val="clear" w:color="auto" w:fill="auto"/>
            <w:noWrap/>
            <w:vAlign w:val="bottom"/>
            <w:hideMark/>
          </w:tcPr>
          <w:p w14:paraId="157EE5D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4044749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1D3AD9D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52.4</w:t>
            </w:r>
          </w:p>
        </w:tc>
        <w:tc>
          <w:tcPr>
            <w:tcW w:w="0" w:type="auto"/>
            <w:tcBorders>
              <w:top w:val="nil"/>
              <w:left w:val="nil"/>
              <w:bottom w:val="single" w:sz="4" w:space="0" w:color="auto"/>
              <w:right w:val="single" w:sz="4" w:space="0" w:color="auto"/>
            </w:tcBorders>
            <w:shd w:val="clear" w:color="auto" w:fill="auto"/>
            <w:noWrap/>
            <w:vAlign w:val="bottom"/>
            <w:hideMark/>
          </w:tcPr>
          <w:p w14:paraId="75C4046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7BE950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0CC19F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10DCDF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9A3220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425DEB8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82119E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DD9F82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ED9CA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639ECB7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Barbosa</w:t>
            </w:r>
          </w:p>
        </w:tc>
        <w:tc>
          <w:tcPr>
            <w:tcW w:w="0" w:type="auto"/>
            <w:tcBorders>
              <w:top w:val="nil"/>
              <w:left w:val="nil"/>
              <w:bottom w:val="single" w:sz="4" w:space="0" w:color="auto"/>
              <w:right w:val="single" w:sz="4" w:space="0" w:color="auto"/>
            </w:tcBorders>
            <w:shd w:val="clear" w:color="auto" w:fill="auto"/>
            <w:noWrap/>
            <w:vAlign w:val="bottom"/>
            <w:hideMark/>
          </w:tcPr>
          <w:p w14:paraId="5DF1760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134A529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254F7FD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5E72C4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09B425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F4DD33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AC87E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61.2</w:t>
            </w:r>
          </w:p>
        </w:tc>
        <w:tc>
          <w:tcPr>
            <w:tcW w:w="1314" w:type="dxa"/>
            <w:tcBorders>
              <w:top w:val="nil"/>
              <w:left w:val="nil"/>
              <w:bottom w:val="single" w:sz="4" w:space="0" w:color="auto"/>
              <w:right w:val="single" w:sz="4" w:space="0" w:color="auto"/>
            </w:tcBorders>
            <w:shd w:val="clear" w:color="auto" w:fill="auto"/>
            <w:noWrap/>
            <w:vAlign w:val="bottom"/>
            <w:hideMark/>
          </w:tcPr>
          <w:p w14:paraId="00E64EC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1E6837E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17.3</w:t>
            </w:r>
          </w:p>
        </w:tc>
        <w:tc>
          <w:tcPr>
            <w:tcW w:w="866" w:type="dxa"/>
            <w:tcBorders>
              <w:top w:val="nil"/>
              <w:left w:val="nil"/>
              <w:bottom w:val="single" w:sz="4" w:space="0" w:color="auto"/>
              <w:right w:val="single" w:sz="4" w:space="0" w:color="auto"/>
            </w:tcBorders>
            <w:shd w:val="clear" w:color="auto" w:fill="auto"/>
            <w:noWrap/>
            <w:vAlign w:val="bottom"/>
            <w:hideMark/>
          </w:tcPr>
          <w:p w14:paraId="1F35611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4849BE6D"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127F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76A497CA"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Bernardi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360090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364854D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2003</w:t>
            </w:r>
          </w:p>
        </w:tc>
        <w:tc>
          <w:tcPr>
            <w:tcW w:w="0" w:type="auto"/>
            <w:tcBorders>
              <w:top w:val="nil"/>
              <w:left w:val="nil"/>
              <w:bottom w:val="single" w:sz="4" w:space="0" w:color="auto"/>
              <w:right w:val="single" w:sz="4" w:space="0" w:color="auto"/>
            </w:tcBorders>
            <w:shd w:val="clear" w:color="auto" w:fill="auto"/>
            <w:noWrap/>
            <w:vAlign w:val="bottom"/>
            <w:hideMark/>
          </w:tcPr>
          <w:p w14:paraId="0FEBDED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6D118C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EAF697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A6F0E9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90A96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5BEA9E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E880D0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469C22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774AAE2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1B279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3CCA134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Candido</w:t>
            </w:r>
          </w:p>
        </w:tc>
        <w:tc>
          <w:tcPr>
            <w:tcW w:w="0" w:type="auto"/>
            <w:tcBorders>
              <w:top w:val="nil"/>
              <w:left w:val="nil"/>
              <w:bottom w:val="single" w:sz="4" w:space="0" w:color="auto"/>
              <w:right w:val="single" w:sz="4" w:space="0" w:color="auto"/>
            </w:tcBorders>
            <w:shd w:val="clear" w:color="auto" w:fill="auto"/>
            <w:noWrap/>
            <w:vAlign w:val="bottom"/>
            <w:hideMark/>
          </w:tcPr>
          <w:p w14:paraId="2F52AC0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119ED14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CF5BE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20453F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2B17639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B5528D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D0BCF4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91B286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01EA33A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0CBD8D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3D69B1CA"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07532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3F0CC75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de Oliveira</w:t>
            </w:r>
          </w:p>
        </w:tc>
        <w:tc>
          <w:tcPr>
            <w:tcW w:w="0" w:type="auto"/>
            <w:tcBorders>
              <w:top w:val="nil"/>
              <w:left w:val="nil"/>
              <w:bottom w:val="single" w:sz="4" w:space="0" w:color="auto"/>
              <w:right w:val="single" w:sz="4" w:space="0" w:color="auto"/>
            </w:tcBorders>
            <w:shd w:val="clear" w:color="auto" w:fill="auto"/>
            <w:noWrap/>
            <w:vAlign w:val="bottom"/>
            <w:hideMark/>
          </w:tcPr>
          <w:p w14:paraId="68494BB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5EE9D0B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F9E42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B1E7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714DD8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683A58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3717D2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43DA8CC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25822D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A3E26F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7C9060A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D6672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2E3F212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de Oliveira</w:t>
            </w:r>
          </w:p>
        </w:tc>
        <w:tc>
          <w:tcPr>
            <w:tcW w:w="0" w:type="auto"/>
            <w:tcBorders>
              <w:top w:val="nil"/>
              <w:left w:val="nil"/>
              <w:bottom w:val="single" w:sz="4" w:space="0" w:color="auto"/>
              <w:right w:val="single" w:sz="4" w:space="0" w:color="auto"/>
            </w:tcBorders>
            <w:shd w:val="clear" w:color="auto" w:fill="auto"/>
            <w:noWrap/>
            <w:vAlign w:val="bottom"/>
            <w:hideMark/>
          </w:tcPr>
          <w:p w14:paraId="46E87A1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5F9F92E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D4632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EC3C2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6CBDF4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642B66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5BC1F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32CFDF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016DEE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871B09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DFB36A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D8D1A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1DF04F4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de Oliveira</w:t>
            </w:r>
          </w:p>
        </w:tc>
        <w:tc>
          <w:tcPr>
            <w:tcW w:w="0" w:type="auto"/>
            <w:tcBorders>
              <w:top w:val="nil"/>
              <w:left w:val="nil"/>
              <w:bottom w:val="single" w:sz="4" w:space="0" w:color="auto"/>
              <w:right w:val="single" w:sz="4" w:space="0" w:color="auto"/>
            </w:tcBorders>
            <w:shd w:val="clear" w:color="auto" w:fill="auto"/>
            <w:noWrap/>
            <w:vAlign w:val="bottom"/>
            <w:hideMark/>
          </w:tcPr>
          <w:p w14:paraId="271E65E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54384C9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EDE6E5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63B7EE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381585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425C57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1515E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BF56D0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164449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EA729C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34C677E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6C595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5CAC530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Dressler</w:t>
            </w:r>
          </w:p>
        </w:tc>
        <w:tc>
          <w:tcPr>
            <w:tcW w:w="0" w:type="auto"/>
            <w:tcBorders>
              <w:top w:val="nil"/>
              <w:left w:val="nil"/>
              <w:bottom w:val="single" w:sz="4" w:space="0" w:color="auto"/>
              <w:right w:val="single" w:sz="4" w:space="0" w:color="auto"/>
            </w:tcBorders>
            <w:shd w:val="clear" w:color="auto" w:fill="auto"/>
            <w:noWrap/>
            <w:vAlign w:val="bottom"/>
            <w:hideMark/>
          </w:tcPr>
          <w:p w14:paraId="59FAB12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016BDF9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6C9DD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EEE9C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78AC1D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13ADE6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72B69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DD46A6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490377D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5186AD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0BA321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246D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35954861"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Beleigoli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B067EA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0335256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2000</w:t>
            </w:r>
          </w:p>
        </w:tc>
        <w:tc>
          <w:tcPr>
            <w:tcW w:w="0" w:type="auto"/>
            <w:tcBorders>
              <w:top w:val="nil"/>
              <w:left w:val="nil"/>
              <w:bottom w:val="single" w:sz="4" w:space="0" w:color="auto"/>
              <w:right w:val="single" w:sz="4" w:space="0" w:color="auto"/>
            </w:tcBorders>
            <w:shd w:val="clear" w:color="auto" w:fill="auto"/>
            <w:noWrap/>
            <w:vAlign w:val="bottom"/>
            <w:hideMark/>
          </w:tcPr>
          <w:p w14:paraId="28E8D9B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F5915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2D555C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D487C5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0D7401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CC1AF0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D63A99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36E7CE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ED1781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20481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0B7B5D6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Bustos</w:t>
            </w:r>
          </w:p>
        </w:tc>
        <w:tc>
          <w:tcPr>
            <w:tcW w:w="0" w:type="auto"/>
            <w:tcBorders>
              <w:top w:val="nil"/>
              <w:left w:val="nil"/>
              <w:bottom w:val="single" w:sz="4" w:space="0" w:color="auto"/>
              <w:right w:val="single" w:sz="4" w:space="0" w:color="auto"/>
            </w:tcBorders>
            <w:shd w:val="clear" w:color="auto" w:fill="auto"/>
            <w:noWrap/>
            <w:vAlign w:val="bottom"/>
            <w:hideMark/>
          </w:tcPr>
          <w:p w14:paraId="16B9E16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7407EDD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2002</w:t>
            </w:r>
          </w:p>
        </w:tc>
        <w:tc>
          <w:tcPr>
            <w:tcW w:w="0" w:type="auto"/>
            <w:tcBorders>
              <w:top w:val="nil"/>
              <w:left w:val="nil"/>
              <w:bottom w:val="single" w:sz="4" w:space="0" w:color="auto"/>
              <w:right w:val="single" w:sz="4" w:space="0" w:color="auto"/>
            </w:tcBorders>
            <w:shd w:val="clear" w:color="auto" w:fill="auto"/>
            <w:noWrap/>
            <w:vAlign w:val="bottom"/>
            <w:hideMark/>
          </w:tcPr>
          <w:p w14:paraId="6F3D879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6875DD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227943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36DC1A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ABA61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42.2</w:t>
            </w:r>
          </w:p>
        </w:tc>
        <w:tc>
          <w:tcPr>
            <w:tcW w:w="1314" w:type="dxa"/>
            <w:tcBorders>
              <w:top w:val="nil"/>
              <w:left w:val="nil"/>
              <w:bottom w:val="single" w:sz="4" w:space="0" w:color="auto"/>
              <w:right w:val="single" w:sz="4" w:space="0" w:color="auto"/>
            </w:tcBorders>
            <w:shd w:val="clear" w:color="auto" w:fill="auto"/>
            <w:noWrap/>
            <w:vAlign w:val="bottom"/>
            <w:hideMark/>
          </w:tcPr>
          <w:p w14:paraId="180FD2E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321B3FF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12.9</w:t>
            </w:r>
          </w:p>
        </w:tc>
        <w:tc>
          <w:tcPr>
            <w:tcW w:w="866" w:type="dxa"/>
            <w:tcBorders>
              <w:top w:val="nil"/>
              <w:left w:val="nil"/>
              <w:bottom w:val="single" w:sz="4" w:space="0" w:color="auto"/>
              <w:right w:val="single" w:sz="4" w:space="0" w:color="auto"/>
            </w:tcBorders>
            <w:shd w:val="clear" w:color="auto" w:fill="auto"/>
            <w:noWrap/>
            <w:vAlign w:val="bottom"/>
            <w:hideMark/>
          </w:tcPr>
          <w:p w14:paraId="5A70A75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E13FEFA"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F829D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2F6A457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Costa</w:t>
            </w:r>
          </w:p>
        </w:tc>
        <w:tc>
          <w:tcPr>
            <w:tcW w:w="0" w:type="auto"/>
            <w:tcBorders>
              <w:top w:val="nil"/>
              <w:left w:val="nil"/>
              <w:bottom w:val="single" w:sz="4" w:space="0" w:color="auto"/>
              <w:right w:val="single" w:sz="4" w:space="0" w:color="auto"/>
            </w:tcBorders>
            <w:shd w:val="clear" w:color="auto" w:fill="auto"/>
            <w:noWrap/>
            <w:vAlign w:val="bottom"/>
            <w:hideMark/>
          </w:tcPr>
          <w:p w14:paraId="1AF7EC0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3427984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6E0A72D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23.6</w:t>
            </w:r>
          </w:p>
        </w:tc>
        <w:tc>
          <w:tcPr>
            <w:tcW w:w="0" w:type="auto"/>
            <w:tcBorders>
              <w:top w:val="nil"/>
              <w:left w:val="nil"/>
              <w:bottom w:val="single" w:sz="4" w:space="0" w:color="auto"/>
              <w:right w:val="single" w:sz="4" w:space="0" w:color="auto"/>
            </w:tcBorders>
            <w:shd w:val="clear" w:color="auto" w:fill="auto"/>
            <w:noWrap/>
            <w:vAlign w:val="bottom"/>
            <w:hideMark/>
          </w:tcPr>
          <w:p w14:paraId="21E3F2F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0ED311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6680479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2486E8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FC64EF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45CF827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4CBEB7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0AEF5C8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29AE1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1A095A97"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Carnelosso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E5145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364A445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5A2DA03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44.4</w:t>
            </w:r>
          </w:p>
        </w:tc>
        <w:tc>
          <w:tcPr>
            <w:tcW w:w="0" w:type="auto"/>
            <w:tcBorders>
              <w:top w:val="nil"/>
              <w:left w:val="nil"/>
              <w:bottom w:val="single" w:sz="4" w:space="0" w:color="auto"/>
              <w:right w:val="single" w:sz="4" w:space="0" w:color="auto"/>
            </w:tcBorders>
            <w:shd w:val="clear" w:color="auto" w:fill="auto"/>
            <w:noWrap/>
            <w:vAlign w:val="bottom"/>
            <w:hideMark/>
          </w:tcPr>
          <w:p w14:paraId="2369390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16BE68F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1CE6D6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47EAC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D0780E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3E9143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13.3</w:t>
            </w:r>
          </w:p>
        </w:tc>
        <w:tc>
          <w:tcPr>
            <w:tcW w:w="866" w:type="dxa"/>
            <w:tcBorders>
              <w:top w:val="nil"/>
              <w:left w:val="nil"/>
              <w:bottom w:val="single" w:sz="4" w:space="0" w:color="auto"/>
              <w:right w:val="single" w:sz="4" w:space="0" w:color="auto"/>
            </w:tcBorders>
            <w:shd w:val="clear" w:color="auto" w:fill="auto"/>
            <w:noWrap/>
            <w:vAlign w:val="bottom"/>
            <w:hideMark/>
          </w:tcPr>
          <w:p w14:paraId="2FB9EE1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3827B83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BD195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4081A28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Cabral</w:t>
            </w:r>
          </w:p>
        </w:tc>
        <w:tc>
          <w:tcPr>
            <w:tcW w:w="0" w:type="auto"/>
            <w:tcBorders>
              <w:top w:val="nil"/>
              <w:left w:val="nil"/>
              <w:bottom w:val="single" w:sz="4" w:space="0" w:color="auto"/>
              <w:right w:val="single" w:sz="4" w:space="0" w:color="auto"/>
            </w:tcBorders>
            <w:shd w:val="clear" w:color="auto" w:fill="auto"/>
            <w:noWrap/>
            <w:vAlign w:val="bottom"/>
            <w:hideMark/>
          </w:tcPr>
          <w:p w14:paraId="4843F36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71DE57C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79DACD4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A010D9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573C8C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5EB43F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B00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8BDC1A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2BB293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1280A8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5DA7B2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D2655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Brazil</w:t>
            </w:r>
          </w:p>
        </w:tc>
        <w:tc>
          <w:tcPr>
            <w:tcW w:w="0" w:type="auto"/>
            <w:tcBorders>
              <w:top w:val="nil"/>
              <w:left w:val="nil"/>
              <w:bottom w:val="single" w:sz="4" w:space="0" w:color="auto"/>
              <w:right w:val="single" w:sz="4" w:space="0" w:color="auto"/>
            </w:tcBorders>
            <w:shd w:val="clear" w:color="auto" w:fill="auto"/>
            <w:noWrap/>
            <w:vAlign w:val="bottom"/>
            <w:hideMark/>
          </w:tcPr>
          <w:p w14:paraId="30870BF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Matos</w:t>
            </w:r>
          </w:p>
        </w:tc>
        <w:tc>
          <w:tcPr>
            <w:tcW w:w="0" w:type="auto"/>
            <w:tcBorders>
              <w:top w:val="nil"/>
              <w:left w:val="nil"/>
              <w:bottom w:val="single" w:sz="4" w:space="0" w:color="auto"/>
              <w:right w:val="single" w:sz="4" w:space="0" w:color="auto"/>
            </w:tcBorders>
            <w:shd w:val="clear" w:color="auto" w:fill="auto"/>
            <w:noWrap/>
            <w:vAlign w:val="bottom"/>
            <w:hideMark/>
          </w:tcPr>
          <w:p w14:paraId="47E27CD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2003</w:t>
            </w:r>
          </w:p>
        </w:tc>
        <w:tc>
          <w:tcPr>
            <w:tcW w:w="0" w:type="auto"/>
            <w:tcBorders>
              <w:top w:val="nil"/>
              <w:left w:val="nil"/>
              <w:bottom w:val="single" w:sz="4" w:space="0" w:color="auto"/>
              <w:right w:val="single" w:sz="4" w:space="0" w:color="auto"/>
            </w:tcBorders>
            <w:shd w:val="clear" w:color="auto" w:fill="auto"/>
            <w:noWrap/>
            <w:vAlign w:val="bottom"/>
            <w:hideMark/>
          </w:tcPr>
          <w:p w14:paraId="56DB03F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34E53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51.6</w:t>
            </w:r>
          </w:p>
        </w:tc>
        <w:tc>
          <w:tcPr>
            <w:tcW w:w="0" w:type="auto"/>
            <w:tcBorders>
              <w:top w:val="nil"/>
              <w:left w:val="nil"/>
              <w:bottom w:val="single" w:sz="4" w:space="0" w:color="auto"/>
              <w:right w:val="single" w:sz="4" w:space="0" w:color="auto"/>
            </w:tcBorders>
            <w:shd w:val="clear" w:color="auto" w:fill="auto"/>
            <w:noWrap/>
            <w:vAlign w:val="bottom"/>
            <w:hideMark/>
          </w:tcPr>
          <w:p w14:paraId="274B375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0B95F65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14.3</w:t>
            </w:r>
          </w:p>
        </w:tc>
        <w:tc>
          <w:tcPr>
            <w:tcW w:w="825" w:type="dxa"/>
            <w:tcBorders>
              <w:top w:val="nil"/>
              <w:left w:val="nil"/>
              <w:bottom w:val="single" w:sz="4" w:space="0" w:color="auto"/>
              <w:right w:val="single" w:sz="4" w:space="0" w:color="auto"/>
            </w:tcBorders>
            <w:shd w:val="clear" w:color="auto" w:fill="auto"/>
            <w:noWrap/>
            <w:vAlign w:val="bottom"/>
            <w:hideMark/>
          </w:tcPr>
          <w:p w14:paraId="13175DB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0273ED1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45C0FA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4AD17A9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14.3</w:t>
            </w:r>
          </w:p>
        </w:tc>
        <w:tc>
          <w:tcPr>
            <w:tcW w:w="866" w:type="dxa"/>
            <w:tcBorders>
              <w:top w:val="nil"/>
              <w:left w:val="nil"/>
              <w:bottom w:val="single" w:sz="4" w:space="0" w:color="auto"/>
              <w:right w:val="single" w:sz="4" w:space="0" w:color="auto"/>
            </w:tcBorders>
            <w:shd w:val="clear" w:color="auto" w:fill="auto"/>
            <w:noWrap/>
            <w:vAlign w:val="bottom"/>
            <w:hideMark/>
          </w:tcPr>
          <w:p w14:paraId="615A076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1CA6ED69"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B3F36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478E1EB2" w14:textId="2136295D"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Jadue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3C6FC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1999</w:t>
            </w:r>
          </w:p>
        </w:tc>
        <w:tc>
          <w:tcPr>
            <w:tcW w:w="0" w:type="auto"/>
            <w:tcBorders>
              <w:top w:val="nil"/>
              <w:left w:val="nil"/>
              <w:bottom w:val="single" w:sz="4" w:space="0" w:color="auto"/>
              <w:right w:val="single" w:sz="4" w:space="0" w:color="auto"/>
            </w:tcBorders>
            <w:shd w:val="clear" w:color="auto" w:fill="auto"/>
            <w:noWrap/>
            <w:vAlign w:val="bottom"/>
            <w:hideMark/>
          </w:tcPr>
          <w:p w14:paraId="5399DCD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1997</w:t>
            </w:r>
          </w:p>
        </w:tc>
        <w:tc>
          <w:tcPr>
            <w:tcW w:w="0" w:type="auto"/>
            <w:tcBorders>
              <w:top w:val="nil"/>
              <w:left w:val="nil"/>
              <w:bottom w:val="single" w:sz="4" w:space="0" w:color="auto"/>
              <w:right w:val="single" w:sz="4" w:space="0" w:color="auto"/>
            </w:tcBorders>
            <w:shd w:val="clear" w:color="auto" w:fill="auto"/>
            <w:noWrap/>
            <w:vAlign w:val="bottom"/>
            <w:hideMark/>
          </w:tcPr>
          <w:p w14:paraId="50BA2E5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46.9</w:t>
            </w:r>
          </w:p>
        </w:tc>
        <w:tc>
          <w:tcPr>
            <w:tcW w:w="0" w:type="auto"/>
            <w:tcBorders>
              <w:top w:val="nil"/>
              <w:left w:val="nil"/>
              <w:bottom w:val="single" w:sz="4" w:space="0" w:color="auto"/>
              <w:right w:val="single" w:sz="4" w:space="0" w:color="auto"/>
            </w:tcBorders>
            <w:shd w:val="clear" w:color="auto" w:fill="auto"/>
            <w:noWrap/>
            <w:vAlign w:val="bottom"/>
            <w:hideMark/>
          </w:tcPr>
          <w:p w14:paraId="1190EB0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7F95CF3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13CA45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7877C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E985B5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5F52C9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9BC6CC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03A100C8"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EE8F1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3CF3425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xml:space="preserve">Garcia </w:t>
            </w:r>
            <w:proofErr w:type="spellStart"/>
            <w:r w:rsidRPr="00665066">
              <w:rPr>
                <w:rFonts w:ascii="Arial" w:eastAsia="Times New Roman" w:hAnsi="Arial" w:cs="Arial"/>
                <w:color w:val="000000"/>
                <w:sz w:val="16"/>
                <w:szCs w:val="16"/>
                <w:lang w:eastAsia="en-GB"/>
              </w:rPr>
              <w:t>Hermozo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B43C74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5242102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4B722B3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43.3</w:t>
            </w:r>
          </w:p>
        </w:tc>
        <w:tc>
          <w:tcPr>
            <w:tcW w:w="0" w:type="auto"/>
            <w:tcBorders>
              <w:top w:val="nil"/>
              <w:left w:val="nil"/>
              <w:bottom w:val="single" w:sz="4" w:space="0" w:color="auto"/>
              <w:right w:val="single" w:sz="4" w:space="0" w:color="auto"/>
            </w:tcBorders>
            <w:shd w:val="clear" w:color="auto" w:fill="auto"/>
            <w:noWrap/>
            <w:vAlign w:val="bottom"/>
            <w:hideMark/>
          </w:tcPr>
          <w:p w14:paraId="75F1AE2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53B31D0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96E8AE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0D3EAE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CE78D1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A1C77C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12C17F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C021D7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A7B12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0643FD5D"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Vinueza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95B843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46ED25D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12D1E24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15.3</w:t>
            </w:r>
          </w:p>
        </w:tc>
        <w:tc>
          <w:tcPr>
            <w:tcW w:w="0" w:type="auto"/>
            <w:tcBorders>
              <w:top w:val="nil"/>
              <w:left w:val="nil"/>
              <w:bottom w:val="single" w:sz="4" w:space="0" w:color="auto"/>
              <w:right w:val="single" w:sz="4" w:space="0" w:color="auto"/>
            </w:tcBorders>
            <w:shd w:val="clear" w:color="auto" w:fill="auto"/>
            <w:noWrap/>
            <w:vAlign w:val="bottom"/>
            <w:hideMark/>
          </w:tcPr>
          <w:p w14:paraId="18E1AB1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246D2BC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w:t>
            </w:r>
          </w:p>
        </w:tc>
        <w:tc>
          <w:tcPr>
            <w:tcW w:w="825" w:type="dxa"/>
            <w:tcBorders>
              <w:top w:val="nil"/>
              <w:left w:val="nil"/>
              <w:bottom w:val="single" w:sz="4" w:space="0" w:color="auto"/>
              <w:right w:val="single" w:sz="4" w:space="0" w:color="auto"/>
            </w:tcBorders>
            <w:shd w:val="clear" w:color="auto" w:fill="auto"/>
            <w:noWrap/>
            <w:vAlign w:val="bottom"/>
            <w:hideMark/>
          </w:tcPr>
          <w:p w14:paraId="0B365C4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mixed with Fr</w:t>
            </w:r>
          </w:p>
        </w:tc>
        <w:tc>
          <w:tcPr>
            <w:tcW w:w="0" w:type="auto"/>
            <w:tcBorders>
              <w:top w:val="nil"/>
              <w:left w:val="nil"/>
              <w:bottom w:val="single" w:sz="4" w:space="0" w:color="auto"/>
              <w:right w:val="single" w:sz="4" w:space="0" w:color="auto"/>
            </w:tcBorders>
            <w:shd w:val="clear" w:color="auto" w:fill="auto"/>
            <w:noWrap/>
            <w:vAlign w:val="bottom"/>
            <w:hideMark/>
          </w:tcPr>
          <w:p w14:paraId="3F7DB1A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21.2</w:t>
            </w:r>
          </w:p>
        </w:tc>
        <w:tc>
          <w:tcPr>
            <w:tcW w:w="1314" w:type="dxa"/>
            <w:tcBorders>
              <w:top w:val="nil"/>
              <w:left w:val="nil"/>
              <w:bottom w:val="single" w:sz="4" w:space="0" w:color="auto"/>
              <w:right w:val="single" w:sz="4" w:space="0" w:color="auto"/>
            </w:tcBorders>
            <w:shd w:val="clear" w:color="auto" w:fill="auto"/>
            <w:noWrap/>
            <w:vAlign w:val="bottom"/>
            <w:hideMark/>
          </w:tcPr>
          <w:p w14:paraId="5414580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2B82365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22.7</w:t>
            </w:r>
          </w:p>
        </w:tc>
        <w:tc>
          <w:tcPr>
            <w:tcW w:w="866" w:type="dxa"/>
            <w:tcBorders>
              <w:top w:val="nil"/>
              <w:left w:val="nil"/>
              <w:bottom w:val="single" w:sz="4" w:space="0" w:color="auto"/>
              <w:right w:val="single" w:sz="4" w:space="0" w:color="auto"/>
            </w:tcBorders>
            <w:shd w:val="clear" w:color="auto" w:fill="auto"/>
            <w:noWrap/>
            <w:vAlign w:val="bottom"/>
            <w:hideMark/>
          </w:tcPr>
          <w:p w14:paraId="3D6BCF7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4C490CC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30F19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78AFF60E"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Palomo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17F61A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5ED1691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22B90D5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44.5</w:t>
            </w:r>
          </w:p>
        </w:tc>
        <w:tc>
          <w:tcPr>
            <w:tcW w:w="0" w:type="auto"/>
            <w:tcBorders>
              <w:top w:val="nil"/>
              <w:left w:val="nil"/>
              <w:bottom w:val="single" w:sz="4" w:space="0" w:color="auto"/>
              <w:right w:val="single" w:sz="4" w:space="0" w:color="auto"/>
            </w:tcBorders>
            <w:shd w:val="clear" w:color="auto" w:fill="auto"/>
            <w:noWrap/>
            <w:vAlign w:val="bottom"/>
            <w:hideMark/>
          </w:tcPr>
          <w:p w14:paraId="3040A93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3BA8F6E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65.3</w:t>
            </w:r>
          </w:p>
        </w:tc>
        <w:tc>
          <w:tcPr>
            <w:tcW w:w="825" w:type="dxa"/>
            <w:tcBorders>
              <w:top w:val="nil"/>
              <w:left w:val="nil"/>
              <w:bottom w:val="single" w:sz="4" w:space="0" w:color="auto"/>
              <w:right w:val="single" w:sz="4" w:space="0" w:color="auto"/>
            </w:tcBorders>
            <w:shd w:val="clear" w:color="auto" w:fill="auto"/>
            <w:noWrap/>
            <w:vAlign w:val="bottom"/>
            <w:hideMark/>
          </w:tcPr>
          <w:p w14:paraId="5C13E34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&gt;100</w:t>
            </w:r>
          </w:p>
        </w:tc>
        <w:tc>
          <w:tcPr>
            <w:tcW w:w="0" w:type="auto"/>
            <w:tcBorders>
              <w:top w:val="nil"/>
              <w:left w:val="nil"/>
              <w:bottom w:val="single" w:sz="4" w:space="0" w:color="auto"/>
              <w:right w:val="single" w:sz="4" w:space="0" w:color="auto"/>
            </w:tcBorders>
            <w:shd w:val="clear" w:color="auto" w:fill="auto"/>
            <w:noWrap/>
            <w:vAlign w:val="bottom"/>
            <w:hideMark/>
          </w:tcPr>
          <w:p w14:paraId="020367A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39.2</w:t>
            </w:r>
          </w:p>
        </w:tc>
        <w:tc>
          <w:tcPr>
            <w:tcW w:w="1314" w:type="dxa"/>
            <w:tcBorders>
              <w:top w:val="nil"/>
              <w:left w:val="nil"/>
              <w:bottom w:val="single" w:sz="4" w:space="0" w:color="auto"/>
              <w:right w:val="single" w:sz="4" w:space="0" w:color="auto"/>
            </w:tcBorders>
            <w:shd w:val="clear" w:color="auto" w:fill="auto"/>
            <w:noWrap/>
            <w:vAlign w:val="bottom"/>
            <w:hideMark/>
          </w:tcPr>
          <w:p w14:paraId="57AC160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7FD5283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40.1</w:t>
            </w:r>
          </w:p>
        </w:tc>
        <w:tc>
          <w:tcPr>
            <w:tcW w:w="866" w:type="dxa"/>
            <w:tcBorders>
              <w:top w:val="nil"/>
              <w:left w:val="nil"/>
              <w:bottom w:val="single" w:sz="4" w:space="0" w:color="auto"/>
              <w:right w:val="single" w:sz="4" w:space="0" w:color="auto"/>
            </w:tcBorders>
            <w:shd w:val="clear" w:color="auto" w:fill="auto"/>
            <w:noWrap/>
            <w:vAlign w:val="bottom"/>
            <w:hideMark/>
          </w:tcPr>
          <w:p w14:paraId="2F7591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4CC6807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7D508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4787BB30"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Tejos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25005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4F8B1CF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26E3FAC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17F76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97B588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C00F82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3CF5B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9AA550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68BC8B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B9F63D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FAC576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3ACF4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492FFC7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Villanueva</w:t>
            </w:r>
          </w:p>
        </w:tc>
        <w:tc>
          <w:tcPr>
            <w:tcW w:w="0" w:type="auto"/>
            <w:tcBorders>
              <w:top w:val="nil"/>
              <w:left w:val="nil"/>
              <w:bottom w:val="single" w:sz="4" w:space="0" w:color="auto"/>
              <w:right w:val="single" w:sz="4" w:space="0" w:color="auto"/>
            </w:tcBorders>
            <w:shd w:val="clear" w:color="auto" w:fill="auto"/>
            <w:noWrap/>
            <w:vAlign w:val="bottom"/>
            <w:hideMark/>
          </w:tcPr>
          <w:p w14:paraId="50F62BB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0EF8D3D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7AE2D0D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38.46</w:t>
            </w:r>
          </w:p>
        </w:tc>
        <w:tc>
          <w:tcPr>
            <w:tcW w:w="0" w:type="auto"/>
            <w:tcBorders>
              <w:top w:val="nil"/>
              <w:left w:val="nil"/>
              <w:bottom w:val="single" w:sz="4" w:space="0" w:color="auto"/>
              <w:right w:val="single" w:sz="4" w:space="0" w:color="auto"/>
            </w:tcBorders>
            <w:shd w:val="clear" w:color="auto" w:fill="auto"/>
            <w:noWrap/>
            <w:vAlign w:val="bottom"/>
            <w:hideMark/>
          </w:tcPr>
          <w:p w14:paraId="6A71BE3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289BFB9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30.23</w:t>
            </w:r>
          </w:p>
        </w:tc>
        <w:tc>
          <w:tcPr>
            <w:tcW w:w="825" w:type="dxa"/>
            <w:tcBorders>
              <w:top w:val="nil"/>
              <w:left w:val="nil"/>
              <w:bottom w:val="single" w:sz="4" w:space="0" w:color="auto"/>
              <w:right w:val="single" w:sz="4" w:space="0" w:color="auto"/>
            </w:tcBorders>
            <w:shd w:val="clear" w:color="auto" w:fill="auto"/>
            <w:noWrap/>
            <w:vAlign w:val="bottom"/>
            <w:hideMark/>
          </w:tcPr>
          <w:p w14:paraId="0310542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&gt;=130</w:t>
            </w:r>
          </w:p>
        </w:tc>
        <w:tc>
          <w:tcPr>
            <w:tcW w:w="0" w:type="auto"/>
            <w:tcBorders>
              <w:top w:val="nil"/>
              <w:left w:val="nil"/>
              <w:bottom w:val="single" w:sz="4" w:space="0" w:color="auto"/>
              <w:right w:val="single" w:sz="4" w:space="0" w:color="auto"/>
            </w:tcBorders>
            <w:shd w:val="clear" w:color="auto" w:fill="auto"/>
            <w:noWrap/>
            <w:vAlign w:val="bottom"/>
            <w:hideMark/>
          </w:tcPr>
          <w:p w14:paraId="24795D1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28.91</w:t>
            </w:r>
          </w:p>
        </w:tc>
        <w:tc>
          <w:tcPr>
            <w:tcW w:w="1314" w:type="dxa"/>
            <w:tcBorders>
              <w:top w:val="nil"/>
              <w:left w:val="nil"/>
              <w:bottom w:val="single" w:sz="4" w:space="0" w:color="auto"/>
              <w:right w:val="single" w:sz="4" w:space="0" w:color="auto"/>
            </w:tcBorders>
            <w:shd w:val="clear" w:color="auto" w:fill="auto"/>
            <w:noWrap/>
            <w:vAlign w:val="bottom"/>
            <w:hideMark/>
          </w:tcPr>
          <w:p w14:paraId="5EF638E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26F1706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30.75</w:t>
            </w:r>
          </w:p>
        </w:tc>
        <w:tc>
          <w:tcPr>
            <w:tcW w:w="866" w:type="dxa"/>
            <w:tcBorders>
              <w:top w:val="nil"/>
              <w:left w:val="nil"/>
              <w:bottom w:val="single" w:sz="4" w:space="0" w:color="auto"/>
              <w:right w:val="single" w:sz="4" w:space="0" w:color="auto"/>
            </w:tcBorders>
            <w:shd w:val="clear" w:color="auto" w:fill="auto"/>
            <w:noWrap/>
            <w:vAlign w:val="bottom"/>
            <w:hideMark/>
          </w:tcPr>
          <w:p w14:paraId="1770DBC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4A6D917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A1084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49C7055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Rubinstein</w:t>
            </w:r>
          </w:p>
        </w:tc>
        <w:tc>
          <w:tcPr>
            <w:tcW w:w="0" w:type="auto"/>
            <w:tcBorders>
              <w:top w:val="nil"/>
              <w:left w:val="nil"/>
              <w:bottom w:val="single" w:sz="4" w:space="0" w:color="auto"/>
              <w:right w:val="single" w:sz="4" w:space="0" w:color="auto"/>
            </w:tcBorders>
            <w:shd w:val="clear" w:color="auto" w:fill="auto"/>
            <w:noWrap/>
            <w:vAlign w:val="bottom"/>
            <w:hideMark/>
          </w:tcPr>
          <w:p w14:paraId="73250FD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6FDE2D4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397D072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24.8</w:t>
            </w:r>
          </w:p>
        </w:tc>
        <w:tc>
          <w:tcPr>
            <w:tcW w:w="0" w:type="auto"/>
            <w:tcBorders>
              <w:top w:val="nil"/>
              <w:left w:val="nil"/>
              <w:bottom w:val="single" w:sz="4" w:space="0" w:color="auto"/>
              <w:right w:val="single" w:sz="4" w:space="0" w:color="auto"/>
            </w:tcBorders>
            <w:shd w:val="clear" w:color="auto" w:fill="auto"/>
            <w:noWrap/>
            <w:vAlign w:val="bottom"/>
            <w:hideMark/>
          </w:tcPr>
          <w:p w14:paraId="0C87C90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50378F9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22.9</w:t>
            </w:r>
          </w:p>
        </w:tc>
        <w:tc>
          <w:tcPr>
            <w:tcW w:w="825" w:type="dxa"/>
            <w:tcBorders>
              <w:top w:val="nil"/>
              <w:left w:val="nil"/>
              <w:bottom w:val="single" w:sz="4" w:space="0" w:color="auto"/>
              <w:right w:val="single" w:sz="4" w:space="0" w:color="auto"/>
            </w:tcBorders>
            <w:shd w:val="clear" w:color="auto" w:fill="auto"/>
            <w:noWrap/>
            <w:vAlign w:val="bottom"/>
            <w:hideMark/>
          </w:tcPr>
          <w:p w14:paraId="7E8C9EB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73B102C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36.9</w:t>
            </w:r>
          </w:p>
        </w:tc>
        <w:tc>
          <w:tcPr>
            <w:tcW w:w="1314" w:type="dxa"/>
            <w:tcBorders>
              <w:top w:val="nil"/>
              <w:left w:val="nil"/>
              <w:bottom w:val="single" w:sz="4" w:space="0" w:color="auto"/>
              <w:right w:val="single" w:sz="4" w:space="0" w:color="auto"/>
            </w:tcBorders>
            <w:shd w:val="clear" w:color="auto" w:fill="auto"/>
            <w:noWrap/>
            <w:vAlign w:val="bottom"/>
            <w:hideMark/>
          </w:tcPr>
          <w:p w14:paraId="68C39C2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334954C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25.7</w:t>
            </w:r>
          </w:p>
        </w:tc>
        <w:tc>
          <w:tcPr>
            <w:tcW w:w="866" w:type="dxa"/>
            <w:tcBorders>
              <w:top w:val="nil"/>
              <w:left w:val="nil"/>
              <w:bottom w:val="single" w:sz="4" w:space="0" w:color="auto"/>
              <w:right w:val="single" w:sz="4" w:space="0" w:color="auto"/>
            </w:tcBorders>
            <w:shd w:val="clear" w:color="auto" w:fill="auto"/>
            <w:noWrap/>
            <w:vAlign w:val="bottom"/>
            <w:hideMark/>
          </w:tcPr>
          <w:p w14:paraId="1F458E3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318DDD1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7393D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lastRenderedPageBreak/>
              <w:t>Chile</w:t>
            </w:r>
          </w:p>
        </w:tc>
        <w:tc>
          <w:tcPr>
            <w:tcW w:w="0" w:type="auto"/>
            <w:tcBorders>
              <w:top w:val="nil"/>
              <w:left w:val="nil"/>
              <w:bottom w:val="single" w:sz="4" w:space="0" w:color="auto"/>
              <w:right w:val="single" w:sz="4" w:space="0" w:color="auto"/>
            </w:tcBorders>
            <w:shd w:val="clear" w:color="auto" w:fill="auto"/>
            <w:noWrap/>
            <w:vAlign w:val="bottom"/>
            <w:hideMark/>
          </w:tcPr>
          <w:p w14:paraId="34FBB616"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Lanas</w:t>
            </w:r>
            <w:proofErr w:type="spellEnd"/>
            <w:r w:rsidRPr="00665066">
              <w:rPr>
                <w:rFonts w:ascii="Arial" w:eastAsia="Times New Roman" w:hAnsi="Arial" w:cs="Arial"/>
                <w:color w:val="000000"/>
                <w:sz w:val="16"/>
                <w:szCs w:val="16"/>
                <w:lang w:eastAsia="en-GB"/>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3785440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0E90B3A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60494DC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38.5</w:t>
            </w:r>
          </w:p>
        </w:tc>
        <w:tc>
          <w:tcPr>
            <w:tcW w:w="0" w:type="auto"/>
            <w:tcBorders>
              <w:top w:val="nil"/>
              <w:left w:val="nil"/>
              <w:bottom w:val="single" w:sz="4" w:space="0" w:color="auto"/>
              <w:right w:val="single" w:sz="4" w:space="0" w:color="auto"/>
            </w:tcBorders>
            <w:shd w:val="clear" w:color="auto" w:fill="auto"/>
            <w:noWrap/>
            <w:vAlign w:val="bottom"/>
            <w:hideMark/>
          </w:tcPr>
          <w:p w14:paraId="7739E75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036DE8B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21.9</w:t>
            </w:r>
          </w:p>
        </w:tc>
        <w:tc>
          <w:tcPr>
            <w:tcW w:w="825" w:type="dxa"/>
            <w:tcBorders>
              <w:top w:val="nil"/>
              <w:left w:val="nil"/>
              <w:bottom w:val="single" w:sz="4" w:space="0" w:color="auto"/>
              <w:right w:val="single" w:sz="4" w:space="0" w:color="auto"/>
            </w:tcBorders>
            <w:shd w:val="clear" w:color="auto" w:fill="auto"/>
            <w:noWrap/>
            <w:vAlign w:val="bottom"/>
            <w:hideMark/>
          </w:tcPr>
          <w:p w14:paraId="2A84F61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increased</w:t>
            </w:r>
          </w:p>
        </w:tc>
        <w:tc>
          <w:tcPr>
            <w:tcW w:w="0" w:type="auto"/>
            <w:tcBorders>
              <w:top w:val="nil"/>
              <w:left w:val="nil"/>
              <w:bottom w:val="single" w:sz="4" w:space="0" w:color="auto"/>
              <w:right w:val="single" w:sz="4" w:space="0" w:color="auto"/>
            </w:tcBorders>
            <w:shd w:val="clear" w:color="auto" w:fill="auto"/>
            <w:noWrap/>
            <w:vAlign w:val="bottom"/>
            <w:hideMark/>
          </w:tcPr>
          <w:p w14:paraId="49E0B84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4D09536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79D2772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A32FFD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2838CF6"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68344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7AA9FE4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xml:space="preserve">Lara </w:t>
            </w:r>
          </w:p>
        </w:tc>
        <w:tc>
          <w:tcPr>
            <w:tcW w:w="0" w:type="auto"/>
            <w:tcBorders>
              <w:top w:val="nil"/>
              <w:left w:val="nil"/>
              <w:bottom w:val="single" w:sz="4" w:space="0" w:color="auto"/>
              <w:right w:val="single" w:sz="4" w:space="0" w:color="auto"/>
            </w:tcBorders>
            <w:shd w:val="clear" w:color="auto" w:fill="auto"/>
            <w:noWrap/>
            <w:vAlign w:val="bottom"/>
            <w:hideMark/>
          </w:tcPr>
          <w:p w14:paraId="668CC10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40D5540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30646E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25.9</w:t>
            </w:r>
          </w:p>
        </w:tc>
        <w:tc>
          <w:tcPr>
            <w:tcW w:w="0" w:type="auto"/>
            <w:tcBorders>
              <w:top w:val="nil"/>
              <w:left w:val="nil"/>
              <w:bottom w:val="single" w:sz="4" w:space="0" w:color="auto"/>
              <w:right w:val="single" w:sz="4" w:space="0" w:color="auto"/>
            </w:tcBorders>
            <w:shd w:val="clear" w:color="auto" w:fill="auto"/>
            <w:noWrap/>
            <w:vAlign w:val="bottom"/>
            <w:hideMark/>
          </w:tcPr>
          <w:p w14:paraId="32DAA6A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0938C20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10.4</w:t>
            </w:r>
          </w:p>
        </w:tc>
        <w:tc>
          <w:tcPr>
            <w:tcW w:w="825" w:type="dxa"/>
            <w:tcBorders>
              <w:top w:val="nil"/>
              <w:left w:val="nil"/>
              <w:bottom w:val="single" w:sz="4" w:space="0" w:color="auto"/>
              <w:right w:val="single" w:sz="4" w:space="0" w:color="auto"/>
            </w:tcBorders>
            <w:shd w:val="clear" w:color="auto" w:fill="auto"/>
            <w:noWrap/>
            <w:vAlign w:val="bottom"/>
            <w:hideMark/>
          </w:tcPr>
          <w:p w14:paraId="6178E44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75D97DA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49</w:t>
            </w:r>
          </w:p>
        </w:tc>
        <w:tc>
          <w:tcPr>
            <w:tcW w:w="1314" w:type="dxa"/>
            <w:tcBorders>
              <w:top w:val="nil"/>
              <w:left w:val="nil"/>
              <w:bottom w:val="single" w:sz="4" w:space="0" w:color="auto"/>
              <w:right w:val="single" w:sz="4" w:space="0" w:color="auto"/>
            </w:tcBorders>
            <w:shd w:val="clear" w:color="auto" w:fill="auto"/>
            <w:noWrap/>
            <w:vAlign w:val="bottom"/>
            <w:hideMark/>
          </w:tcPr>
          <w:p w14:paraId="33B6936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7E41127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17.6</w:t>
            </w:r>
          </w:p>
        </w:tc>
        <w:tc>
          <w:tcPr>
            <w:tcW w:w="866" w:type="dxa"/>
            <w:tcBorders>
              <w:top w:val="nil"/>
              <w:left w:val="nil"/>
              <w:bottom w:val="single" w:sz="4" w:space="0" w:color="auto"/>
              <w:right w:val="single" w:sz="4" w:space="0" w:color="auto"/>
            </w:tcBorders>
            <w:shd w:val="clear" w:color="auto" w:fill="auto"/>
            <w:noWrap/>
            <w:vAlign w:val="bottom"/>
            <w:hideMark/>
          </w:tcPr>
          <w:p w14:paraId="216DF60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50225D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C371D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73F4037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Mena</w:t>
            </w:r>
          </w:p>
        </w:tc>
        <w:tc>
          <w:tcPr>
            <w:tcW w:w="0" w:type="auto"/>
            <w:tcBorders>
              <w:top w:val="nil"/>
              <w:left w:val="nil"/>
              <w:bottom w:val="single" w:sz="4" w:space="0" w:color="auto"/>
              <w:right w:val="single" w:sz="4" w:space="0" w:color="auto"/>
            </w:tcBorders>
            <w:shd w:val="clear" w:color="auto" w:fill="auto"/>
            <w:noWrap/>
            <w:vAlign w:val="bottom"/>
            <w:hideMark/>
          </w:tcPr>
          <w:p w14:paraId="7336312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0108196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C370D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ACCBB9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B44E91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DAE915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D09F24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1A0281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082EF13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BE7C1C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C63B5A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71AF0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7A553D5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Miquel</w:t>
            </w:r>
          </w:p>
        </w:tc>
        <w:tc>
          <w:tcPr>
            <w:tcW w:w="0" w:type="auto"/>
            <w:tcBorders>
              <w:top w:val="nil"/>
              <w:left w:val="nil"/>
              <w:bottom w:val="single" w:sz="4" w:space="0" w:color="auto"/>
              <w:right w:val="single" w:sz="4" w:space="0" w:color="auto"/>
            </w:tcBorders>
            <w:shd w:val="clear" w:color="auto" w:fill="auto"/>
            <w:noWrap/>
            <w:vAlign w:val="bottom"/>
            <w:hideMark/>
          </w:tcPr>
          <w:p w14:paraId="331E441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1998</w:t>
            </w:r>
          </w:p>
        </w:tc>
        <w:tc>
          <w:tcPr>
            <w:tcW w:w="0" w:type="auto"/>
            <w:tcBorders>
              <w:top w:val="nil"/>
              <w:left w:val="nil"/>
              <w:bottom w:val="single" w:sz="4" w:space="0" w:color="auto"/>
              <w:right w:val="single" w:sz="4" w:space="0" w:color="auto"/>
            </w:tcBorders>
            <w:shd w:val="clear" w:color="auto" w:fill="auto"/>
            <w:noWrap/>
            <w:vAlign w:val="bottom"/>
            <w:hideMark/>
          </w:tcPr>
          <w:p w14:paraId="2B26DCF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CF84C9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CA0358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9320D4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0342E1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CD9054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CABE48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96B25A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E902EE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625AD6D"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C6C7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4119A576"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Mujica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FED7B8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4A7E3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7C8AA5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3C890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560AF5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932D3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DE1FEA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21.5</w:t>
            </w:r>
          </w:p>
        </w:tc>
        <w:tc>
          <w:tcPr>
            <w:tcW w:w="1314" w:type="dxa"/>
            <w:tcBorders>
              <w:top w:val="nil"/>
              <w:left w:val="nil"/>
              <w:bottom w:val="single" w:sz="4" w:space="0" w:color="auto"/>
              <w:right w:val="single" w:sz="4" w:space="0" w:color="auto"/>
            </w:tcBorders>
            <w:shd w:val="clear" w:color="auto" w:fill="auto"/>
            <w:noWrap/>
            <w:vAlign w:val="bottom"/>
            <w:hideMark/>
          </w:tcPr>
          <w:p w14:paraId="51F23A7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54BA724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40.1</w:t>
            </w:r>
          </w:p>
        </w:tc>
        <w:tc>
          <w:tcPr>
            <w:tcW w:w="866" w:type="dxa"/>
            <w:tcBorders>
              <w:top w:val="nil"/>
              <w:left w:val="nil"/>
              <w:bottom w:val="single" w:sz="4" w:space="0" w:color="auto"/>
              <w:right w:val="single" w:sz="4" w:space="0" w:color="auto"/>
            </w:tcBorders>
            <w:shd w:val="clear" w:color="auto" w:fill="auto"/>
            <w:noWrap/>
            <w:vAlign w:val="bottom"/>
            <w:hideMark/>
          </w:tcPr>
          <w:p w14:paraId="0FBECF5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0E00BFC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7B007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1FCED01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Valenzuela</w:t>
            </w:r>
          </w:p>
        </w:tc>
        <w:tc>
          <w:tcPr>
            <w:tcW w:w="0" w:type="auto"/>
            <w:tcBorders>
              <w:top w:val="nil"/>
              <w:left w:val="nil"/>
              <w:bottom w:val="single" w:sz="4" w:space="0" w:color="auto"/>
              <w:right w:val="single" w:sz="4" w:space="0" w:color="auto"/>
            </w:tcBorders>
            <w:shd w:val="clear" w:color="auto" w:fill="auto"/>
            <w:noWrap/>
            <w:vAlign w:val="bottom"/>
            <w:hideMark/>
          </w:tcPr>
          <w:p w14:paraId="5C11046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3E2B04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2003</w:t>
            </w:r>
          </w:p>
        </w:tc>
        <w:tc>
          <w:tcPr>
            <w:tcW w:w="0" w:type="auto"/>
            <w:tcBorders>
              <w:top w:val="nil"/>
              <w:left w:val="nil"/>
              <w:bottom w:val="single" w:sz="4" w:space="0" w:color="auto"/>
              <w:right w:val="single" w:sz="4" w:space="0" w:color="auto"/>
            </w:tcBorders>
            <w:shd w:val="clear" w:color="auto" w:fill="auto"/>
            <w:noWrap/>
            <w:vAlign w:val="bottom"/>
            <w:hideMark/>
          </w:tcPr>
          <w:p w14:paraId="7A92150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3D509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84A4AD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524D4B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026C4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52.6</w:t>
            </w:r>
          </w:p>
        </w:tc>
        <w:tc>
          <w:tcPr>
            <w:tcW w:w="1314" w:type="dxa"/>
            <w:tcBorders>
              <w:top w:val="nil"/>
              <w:left w:val="nil"/>
              <w:bottom w:val="single" w:sz="4" w:space="0" w:color="auto"/>
              <w:right w:val="single" w:sz="4" w:space="0" w:color="auto"/>
            </w:tcBorders>
            <w:shd w:val="clear" w:color="auto" w:fill="auto"/>
            <w:noWrap/>
            <w:vAlign w:val="bottom"/>
            <w:hideMark/>
          </w:tcPr>
          <w:p w14:paraId="150148F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6D59361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30</w:t>
            </w:r>
          </w:p>
        </w:tc>
        <w:tc>
          <w:tcPr>
            <w:tcW w:w="866" w:type="dxa"/>
            <w:tcBorders>
              <w:top w:val="nil"/>
              <w:left w:val="nil"/>
              <w:bottom w:val="single" w:sz="4" w:space="0" w:color="auto"/>
              <w:right w:val="single" w:sz="4" w:space="0" w:color="auto"/>
            </w:tcBorders>
            <w:shd w:val="clear" w:color="auto" w:fill="auto"/>
            <w:noWrap/>
            <w:vAlign w:val="bottom"/>
            <w:hideMark/>
          </w:tcPr>
          <w:p w14:paraId="127E2FE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7C813FD8"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CB2A9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062D93C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Group I multicentre collaborative</w:t>
            </w:r>
          </w:p>
        </w:tc>
        <w:tc>
          <w:tcPr>
            <w:tcW w:w="0" w:type="auto"/>
            <w:tcBorders>
              <w:top w:val="nil"/>
              <w:left w:val="nil"/>
              <w:bottom w:val="single" w:sz="4" w:space="0" w:color="auto"/>
              <w:right w:val="single" w:sz="4" w:space="0" w:color="auto"/>
            </w:tcBorders>
            <w:shd w:val="clear" w:color="auto" w:fill="auto"/>
            <w:noWrap/>
            <w:vAlign w:val="bottom"/>
            <w:hideMark/>
          </w:tcPr>
          <w:p w14:paraId="1D8B50F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1992</w:t>
            </w:r>
          </w:p>
        </w:tc>
        <w:tc>
          <w:tcPr>
            <w:tcW w:w="0" w:type="auto"/>
            <w:tcBorders>
              <w:top w:val="nil"/>
              <w:left w:val="nil"/>
              <w:bottom w:val="single" w:sz="4" w:space="0" w:color="auto"/>
              <w:right w:val="single" w:sz="4" w:space="0" w:color="auto"/>
            </w:tcBorders>
            <w:shd w:val="clear" w:color="auto" w:fill="auto"/>
            <w:noWrap/>
            <w:vAlign w:val="bottom"/>
            <w:hideMark/>
          </w:tcPr>
          <w:p w14:paraId="04AD465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1989</w:t>
            </w:r>
          </w:p>
        </w:tc>
        <w:tc>
          <w:tcPr>
            <w:tcW w:w="0" w:type="auto"/>
            <w:tcBorders>
              <w:top w:val="nil"/>
              <w:left w:val="nil"/>
              <w:bottom w:val="single" w:sz="4" w:space="0" w:color="auto"/>
              <w:right w:val="single" w:sz="4" w:space="0" w:color="auto"/>
            </w:tcBorders>
            <w:shd w:val="clear" w:color="auto" w:fill="auto"/>
            <w:noWrap/>
            <w:vAlign w:val="bottom"/>
            <w:hideMark/>
          </w:tcPr>
          <w:p w14:paraId="066FEC5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ECBA28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527AAE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DD3414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7CC5F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9C482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2D90C0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BAED07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0142618"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7B4C2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6625A32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Cuevas</w:t>
            </w:r>
          </w:p>
        </w:tc>
        <w:tc>
          <w:tcPr>
            <w:tcW w:w="0" w:type="auto"/>
            <w:tcBorders>
              <w:top w:val="nil"/>
              <w:left w:val="nil"/>
              <w:bottom w:val="single" w:sz="4" w:space="0" w:color="auto"/>
              <w:right w:val="single" w:sz="4" w:space="0" w:color="auto"/>
            </w:tcBorders>
            <w:shd w:val="clear" w:color="auto" w:fill="auto"/>
            <w:noWrap/>
            <w:vAlign w:val="bottom"/>
            <w:hideMark/>
          </w:tcPr>
          <w:p w14:paraId="4CEFE17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9AA2A3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1997</w:t>
            </w:r>
          </w:p>
        </w:tc>
        <w:tc>
          <w:tcPr>
            <w:tcW w:w="0" w:type="auto"/>
            <w:tcBorders>
              <w:top w:val="nil"/>
              <w:left w:val="nil"/>
              <w:bottom w:val="single" w:sz="4" w:space="0" w:color="auto"/>
              <w:right w:val="single" w:sz="4" w:space="0" w:color="auto"/>
            </w:tcBorders>
            <w:shd w:val="clear" w:color="auto" w:fill="auto"/>
            <w:noWrap/>
            <w:vAlign w:val="bottom"/>
            <w:hideMark/>
          </w:tcPr>
          <w:p w14:paraId="002337F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37.3</w:t>
            </w:r>
          </w:p>
        </w:tc>
        <w:tc>
          <w:tcPr>
            <w:tcW w:w="0" w:type="auto"/>
            <w:tcBorders>
              <w:top w:val="nil"/>
              <w:left w:val="nil"/>
              <w:bottom w:val="single" w:sz="4" w:space="0" w:color="auto"/>
              <w:right w:val="single" w:sz="4" w:space="0" w:color="auto"/>
            </w:tcBorders>
            <w:shd w:val="clear" w:color="auto" w:fill="auto"/>
            <w:noWrap/>
            <w:vAlign w:val="bottom"/>
            <w:hideMark/>
          </w:tcPr>
          <w:p w14:paraId="62277F8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20538A9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FF8044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8C9716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30FA90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AD41EA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6A8AD7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7D0C00D3"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063B7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4A24086A"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Pivatto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363AF9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0253E89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680F575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96F7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DAB92B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A2823A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ECF88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66.7</w:t>
            </w:r>
          </w:p>
        </w:tc>
        <w:tc>
          <w:tcPr>
            <w:tcW w:w="1314" w:type="dxa"/>
            <w:tcBorders>
              <w:top w:val="nil"/>
              <w:left w:val="nil"/>
              <w:bottom w:val="single" w:sz="4" w:space="0" w:color="auto"/>
              <w:right w:val="single" w:sz="4" w:space="0" w:color="auto"/>
            </w:tcBorders>
            <w:shd w:val="clear" w:color="auto" w:fill="auto"/>
            <w:noWrap/>
            <w:vAlign w:val="bottom"/>
            <w:hideMark/>
          </w:tcPr>
          <w:p w14:paraId="1E07A06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25A2245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17.9</w:t>
            </w:r>
          </w:p>
        </w:tc>
        <w:tc>
          <w:tcPr>
            <w:tcW w:w="866" w:type="dxa"/>
            <w:tcBorders>
              <w:top w:val="nil"/>
              <w:left w:val="nil"/>
              <w:bottom w:val="single" w:sz="4" w:space="0" w:color="auto"/>
              <w:right w:val="single" w:sz="4" w:space="0" w:color="auto"/>
            </w:tcBorders>
            <w:shd w:val="clear" w:color="auto" w:fill="auto"/>
            <w:noWrap/>
            <w:vAlign w:val="bottom"/>
            <w:hideMark/>
          </w:tcPr>
          <w:p w14:paraId="5859833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6DF683E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88A26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24CA234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Amigo</w:t>
            </w:r>
          </w:p>
        </w:tc>
        <w:tc>
          <w:tcPr>
            <w:tcW w:w="0" w:type="auto"/>
            <w:tcBorders>
              <w:top w:val="nil"/>
              <w:left w:val="nil"/>
              <w:bottom w:val="single" w:sz="4" w:space="0" w:color="auto"/>
              <w:right w:val="single" w:sz="4" w:space="0" w:color="auto"/>
            </w:tcBorders>
            <w:shd w:val="clear" w:color="auto" w:fill="auto"/>
            <w:noWrap/>
            <w:vAlign w:val="bottom"/>
            <w:hideMark/>
          </w:tcPr>
          <w:p w14:paraId="79B9266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4F03FB3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2002</w:t>
            </w:r>
          </w:p>
        </w:tc>
        <w:tc>
          <w:tcPr>
            <w:tcW w:w="0" w:type="auto"/>
            <w:tcBorders>
              <w:top w:val="nil"/>
              <w:left w:val="nil"/>
              <w:bottom w:val="single" w:sz="4" w:space="0" w:color="auto"/>
              <w:right w:val="single" w:sz="4" w:space="0" w:color="auto"/>
            </w:tcBorders>
            <w:shd w:val="clear" w:color="auto" w:fill="auto"/>
            <w:noWrap/>
            <w:vAlign w:val="bottom"/>
            <w:hideMark/>
          </w:tcPr>
          <w:p w14:paraId="66C8475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C64B0F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2DE5B29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60015A4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F0D5D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849867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7B8040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98066D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0641F72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2EEC1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14231607"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LabraÃ±a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110D9D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1E81078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5709E53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1AC14E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31AB91A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E0081E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85200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47.3</w:t>
            </w:r>
          </w:p>
        </w:tc>
        <w:tc>
          <w:tcPr>
            <w:tcW w:w="1314" w:type="dxa"/>
            <w:tcBorders>
              <w:top w:val="nil"/>
              <w:left w:val="nil"/>
              <w:bottom w:val="single" w:sz="4" w:space="0" w:color="auto"/>
              <w:right w:val="single" w:sz="4" w:space="0" w:color="auto"/>
            </w:tcBorders>
            <w:shd w:val="clear" w:color="auto" w:fill="auto"/>
            <w:noWrap/>
            <w:vAlign w:val="bottom"/>
            <w:hideMark/>
          </w:tcPr>
          <w:p w14:paraId="522AE94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5344849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35.2</w:t>
            </w:r>
          </w:p>
        </w:tc>
        <w:tc>
          <w:tcPr>
            <w:tcW w:w="866" w:type="dxa"/>
            <w:tcBorders>
              <w:top w:val="nil"/>
              <w:left w:val="nil"/>
              <w:bottom w:val="single" w:sz="4" w:space="0" w:color="auto"/>
              <w:right w:val="single" w:sz="4" w:space="0" w:color="auto"/>
            </w:tcBorders>
            <w:shd w:val="clear" w:color="auto" w:fill="auto"/>
            <w:noWrap/>
            <w:vAlign w:val="bottom"/>
            <w:hideMark/>
          </w:tcPr>
          <w:p w14:paraId="069E698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92EA48C"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B3F1C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314F523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Acevedo</w:t>
            </w:r>
          </w:p>
        </w:tc>
        <w:tc>
          <w:tcPr>
            <w:tcW w:w="0" w:type="auto"/>
            <w:tcBorders>
              <w:top w:val="nil"/>
              <w:left w:val="nil"/>
              <w:bottom w:val="single" w:sz="4" w:space="0" w:color="auto"/>
              <w:right w:val="single" w:sz="4" w:space="0" w:color="auto"/>
            </w:tcBorders>
            <w:shd w:val="clear" w:color="auto" w:fill="auto"/>
            <w:noWrap/>
            <w:vAlign w:val="bottom"/>
            <w:hideMark/>
          </w:tcPr>
          <w:p w14:paraId="4B1293B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22B913F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313EDD3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3B8761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66965F2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1CCB04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94A47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575191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84FFD8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FBE78D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0DB42AD6"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6B83E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50AFDDC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Acevedo</w:t>
            </w:r>
          </w:p>
        </w:tc>
        <w:tc>
          <w:tcPr>
            <w:tcW w:w="0" w:type="auto"/>
            <w:tcBorders>
              <w:top w:val="nil"/>
              <w:left w:val="nil"/>
              <w:bottom w:val="single" w:sz="4" w:space="0" w:color="auto"/>
              <w:right w:val="single" w:sz="4" w:space="0" w:color="auto"/>
            </w:tcBorders>
            <w:shd w:val="clear" w:color="auto" w:fill="auto"/>
            <w:noWrap/>
            <w:vAlign w:val="bottom"/>
            <w:hideMark/>
          </w:tcPr>
          <w:p w14:paraId="05DB0EC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3FD3B89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385C9AA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3A685F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66E012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52F771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F83DC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666599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F87406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2BFA89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4B1FC3B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C162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Chile</w:t>
            </w:r>
          </w:p>
        </w:tc>
        <w:tc>
          <w:tcPr>
            <w:tcW w:w="0" w:type="auto"/>
            <w:tcBorders>
              <w:top w:val="nil"/>
              <w:left w:val="nil"/>
              <w:bottom w:val="single" w:sz="4" w:space="0" w:color="auto"/>
              <w:right w:val="single" w:sz="4" w:space="0" w:color="auto"/>
            </w:tcBorders>
            <w:shd w:val="clear" w:color="auto" w:fill="auto"/>
            <w:noWrap/>
            <w:vAlign w:val="bottom"/>
            <w:hideMark/>
          </w:tcPr>
          <w:p w14:paraId="3D49DE4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Berrios</w:t>
            </w:r>
          </w:p>
        </w:tc>
        <w:tc>
          <w:tcPr>
            <w:tcW w:w="0" w:type="auto"/>
            <w:tcBorders>
              <w:top w:val="nil"/>
              <w:left w:val="nil"/>
              <w:bottom w:val="single" w:sz="4" w:space="0" w:color="auto"/>
              <w:right w:val="single" w:sz="4" w:space="0" w:color="auto"/>
            </w:tcBorders>
            <w:shd w:val="clear" w:color="auto" w:fill="auto"/>
            <w:noWrap/>
            <w:vAlign w:val="bottom"/>
            <w:hideMark/>
          </w:tcPr>
          <w:p w14:paraId="55E1586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1997</w:t>
            </w:r>
          </w:p>
        </w:tc>
        <w:tc>
          <w:tcPr>
            <w:tcW w:w="0" w:type="auto"/>
            <w:tcBorders>
              <w:top w:val="nil"/>
              <w:left w:val="nil"/>
              <w:bottom w:val="single" w:sz="4" w:space="0" w:color="auto"/>
              <w:right w:val="single" w:sz="4" w:space="0" w:color="auto"/>
            </w:tcBorders>
            <w:shd w:val="clear" w:color="auto" w:fill="auto"/>
            <w:noWrap/>
            <w:vAlign w:val="bottom"/>
            <w:hideMark/>
          </w:tcPr>
          <w:p w14:paraId="4108747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1988</w:t>
            </w:r>
          </w:p>
        </w:tc>
        <w:tc>
          <w:tcPr>
            <w:tcW w:w="0" w:type="auto"/>
            <w:tcBorders>
              <w:top w:val="nil"/>
              <w:left w:val="nil"/>
              <w:bottom w:val="single" w:sz="4" w:space="0" w:color="auto"/>
              <w:right w:val="single" w:sz="4" w:space="0" w:color="auto"/>
            </w:tcBorders>
            <w:shd w:val="clear" w:color="auto" w:fill="auto"/>
            <w:noWrap/>
            <w:vAlign w:val="bottom"/>
            <w:hideMark/>
          </w:tcPr>
          <w:p w14:paraId="7C69541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7.23</w:t>
            </w:r>
          </w:p>
        </w:tc>
        <w:tc>
          <w:tcPr>
            <w:tcW w:w="0" w:type="auto"/>
            <w:tcBorders>
              <w:top w:val="nil"/>
              <w:left w:val="nil"/>
              <w:bottom w:val="single" w:sz="4" w:space="0" w:color="auto"/>
              <w:right w:val="single" w:sz="4" w:space="0" w:color="auto"/>
            </w:tcBorders>
            <w:shd w:val="clear" w:color="auto" w:fill="auto"/>
            <w:noWrap/>
            <w:vAlign w:val="bottom"/>
            <w:hideMark/>
          </w:tcPr>
          <w:p w14:paraId="6FCC0C8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&gt;=6.15</w:t>
            </w:r>
          </w:p>
        </w:tc>
        <w:tc>
          <w:tcPr>
            <w:tcW w:w="643" w:type="dxa"/>
            <w:tcBorders>
              <w:top w:val="nil"/>
              <w:left w:val="nil"/>
              <w:bottom w:val="single" w:sz="4" w:space="0" w:color="auto"/>
              <w:right w:val="single" w:sz="4" w:space="0" w:color="auto"/>
            </w:tcBorders>
            <w:shd w:val="clear" w:color="auto" w:fill="auto"/>
            <w:noWrap/>
            <w:vAlign w:val="bottom"/>
            <w:hideMark/>
          </w:tcPr>
          <w:p w14:paraId="0208D7B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848E83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0006FA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7BC9227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E3B977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F2F0D5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F8F898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A3CF6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Colombia</w:t>
            </w:r>
          </w:p>
        </w:tc>
        <w:tc>
          <w:tcPr>
            <w:tcW w:w="0" w:type="auto"/>
            <w:tcBorders>
              <w:top w:val="nil"/>
              <w:left w:val="nil"/>
              <w:bottom w:val="single" w:sz="4" w:space="0" w:color="auto"/>
              <w:right w:val="single" w:sz="4" w:space="0" w:color="auto"/>
            </w:tcBorders>
            <w:shd w:val="clear" w:color="auto" w:fill="auto"/>
            <w:noWrap/>
            <w:vAlign w:val="bottom"/>
            <w:hideMark/>
          </w:tcPr>
          <w:p w14:paraId="53582AF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Roldan-</w:t>
            </w:r>
            <w:proofErr w:type="spellStart"/>
            <w:r w:rsidRPr="00665066">
              <w:rPr>
                <w:rFonts w:ascii="Arial" w:eastAsia="Times New Roman" w:hAnsi="Arial" w:cs="Arial"/>
                <w:color w:val="000000"/>
                <w:sz w:val="16"/>
                <w:szCs w:val="16"/>
                <w:lang w:eastAsia="en-GB"/>
              </w:rPr>
              <w:t>Menco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874EDF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38DA0B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FF14CE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1F833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EF9E49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3C4631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01AD74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79.6</w:t>
            </w:r>
          </w:p>
        </w:tc>
        <w:tc>
          <w:tcPr>
            <w:tcW w:w="1314" w:type="dxa"/>
            <w:tcBorders>
              <w:top w:val="nil"/>
              <w:left w:val="nil"/>
              <w:bottom w:val="single" w:sz="4" w:space="0" w:color="auto"/>
              <w:right w:val="single" w:sz="4" w:space="0" w:color="auto"/>
            </w:tcBorders>
            <w:shd w:val="clear" w:color="auto" w:fill="auto"/>
            <w:noWrap/>
            <w:vAlign w:val="bottom"/>
            <w:hideMark/>
          </w:tcPr>
          <w:p w14:paraId="70C0A74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29DE911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75.9</w:t>
            </w:r>
          </w:p>
        </w:tc>
        <w:tc>
          <w:tcPr>
            <w:tcW w:w="866" w:type="dxa"/>
            <w:tcBorders>
              <w:top w:val="nil"/>
              <w:left w:val="nil"/>
              <w:bottom w:val="single" w:sz="4" w:space="0" w:color="auto"/>
              <w:right w:val="single" w:sz="4" w:space="0" w:color="auto"/>
            </w:tcBorders>
            <w:shd w:val="clear" w:color="auto" w:fill="auto"/>
            <w:noWrap/>
            <w:vAlign w:val="bottom"/>
            <w:hideMark/>
          </w:tcPr>
          <w:p w14:paraId="5A70AC5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728EE62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9BBB5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Colombia</w:t>
            </w:r>
          </w:p>
        </w:tc>
        <w:tc>
          <w:tcPr>
            <w:tcW w:w="0" w:type="auto"/>
            <w:tcBorders>
              <w:top w:val="nil"/>
              <w:left w:val="nil"/>
              <w:bottom w:val="single" w:sz="4" w:space="0" w:color="auto"/>
              <w:right w:val="single" w:sz="4" w:space="0" w:color="auto"/>
            </w:tcBorders>
            <w:shd w:val="clear" w:color="auto" w:fill="auto"/>
            <w:noWrap/>
            <w:vAlign w:val="bottom"/>
            <w:hideMark/>
          </w:tcPr>
          <w:p w14:paraId="616DB98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Pirkle</w:t>
            </w:r>
          </w:p>
        </w:tc>
        <w:tc>
          <w:tcPr>
            <w:tcW w:w="0" w:type="auto"/>
            <w:tcBorders>
              <w:top w:val="nil"/>
              <w:left w:val="nil"/>
              <w:bottom w:val="single" w:sz="4" w:space="0" w:color="auto"/>
              <w:right w:val="single" w:sz="4" w:space="0" w:color="auto"/>
            </w:tcBorders>
            <w:shd w:val="clear" w:color="auto" w:fill="auto"/>
            <w:noWrap/>
            <w:vAlign w:val="bottom"/>
            <w:hideMark/>
          </w:tcPr>
          <w:p w14:paraId="4973B5E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77173A4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5123DFA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48017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2D6D902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F409C3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B58E3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C1EDD6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72196E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EA81DD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B04CF3E"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F4BF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Colombia</w:t>
            </w:r>
          </w:p>
        </w:tc>
        <w:tc>
          <w:tcPr>
            <w:tcW w:w="0" w:type="auto"/>
            <w:tcBorders>
              <w:top w:val="nil"/>
              <w:left w:val="nil"/>
              <w:bottom w:val="single" w:sz="4" w:space="0" w:color="auto"/>
              <w:right w:val="single" w:sz="4" w:space="0" w:color="auto"/>
            </w:tcBorders>
            <w:shd w:val="clear" w:color="auto" w:fill="auto"/>
            <w:noWrap/>
            <w:vAlign w:val="bottom"/>
            <w:hideMark/>
          </w:tcPr>
          <w:p w14:paraId="1EB223C4"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Arbey</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312D25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741D5AE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53457C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419739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F746E6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0BD2E2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9F7C5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5729D4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9088E0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83E59B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D7D217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8F70D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Colombia</w:t>
            </w:r>
          </w:p>
        </w:tc>
        <w:tc>
          <w:tcPr>
            <w:tcW w:w="0" w:type="auto"/>
            <w:tcBorders>
              <w:top w:val="nil"/>
              <w:left w:val="nil"/>
              <w:bottom w:val="single" w:sz="4" w:space="0" w:color="auto"/>
              <w:right w:val="single" w:sz="4" w:space="0" w:color="auto"/>
            </w:tcBorders>
            <w:shd w:val="clear" w:color="auto" w:fill="auto"/>
            <w:noWrap/>
            <w:vAlign w:val="bottom"/>
            <w:hideMark/>
          </w:tcPr>
          <w:p w14:paraId="33E8B07D"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Patino-Villada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0C770B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7E3C1D5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633F161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9</w:t>
            </w:r>
          </w:p>
        </w:tc>
        <w:tc>
          <w:tcPr>
            <w:tcW w:w="0" w:type="auto"/>
            <w:tcBorders>
              <w:top w:val="nil"/>
              <w:left w:val="nil"/>
              <w:bottom w:val="single" w:sz="4" w:space="0" w:color="auto"/>
              <w:right w:val="single" w:sz="4" w:space="0" w:color="auto"/>
            </w:tcBorders>
            <w:shd w:val="clear" w:color="auto" w:fill="auto"/>
            <w:noWrap/>
            <w:vAlign w:val="bottom"/>
            <w:hideMark/>
          </w:tcPr>
          <w:p w14:paraId="063F09E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3B6BE0C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5.9</w:t>
            </w:r>
          </w:p>
        </w:tc>
        <w:tc>
          <w:tcPr>
            <w:tcW w:w="825" w:type="dxa"/>
            <w:tcBorders>
              <w:top w:val="nil"/>
              <w:left w:val="nil"/>
              <w:bottom w:val="single" w:sz="4" w:space="0" w:color="auto"/>
              <w:right w:val="single" w:sz="4" w:space="0" w:color="auto"/>
            </w:tcBorders>
            <w:shd w:val="clear" w:color="auto" w:fill="auto"/>
            <w:noWrap/>
            <w:vAlign w:val="bottom"/>
            <w:hideMark/>
          </w:tcPr>
          <w:p w14:paraId="349BD1F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58D1F09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14</w:t>
            </w:r>
          </w:p>
        </w:tc>
        <w:tc>
          <w:tcPr>
            <w:tcW w:w="1314" w:type="dxa"/>
            <w:tcBorders>
              <w:top w:val="nil"/>
              <w:left w:val="nil"/>
              <w:bottom w:val="single" w:sz="4" w:space="0" w:color="auto"/>
              <w:right w:val="single" w:sz="4" w:space="0" w:color="auto"/>
            </w:tcBorders>
            <w:shd w:val="clear" w:color="auto" w:fill="auto"/>
            <w:noWrap/>
            <w:vAlign w:val="bottom"/>
            <w:hideMark/>
          </w:tcPr>
          <w:p w14:paraId="09082CE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19B01F9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19.3</w:t>
            </w:r>
          </w:p>
        </w:tc>
        <w:tc>
          <w:tcPr>
            <w:tcW w:w="866" w:type="dxa"/>
            <w:tcBorders>
              <w:top w:val="nil"/>
              <w:left w:val="nil"/>
              <w:bottom w:val="single" w:sz="4" w:space="0" w:color="auto"/>
              <w:right w:val="single" w:sz="4" w:space="0" w:color="auto"/>
            </w:tcBorders>
            <w:shd w:val="clear" w:color="auto" w:fill="auto"/>
            <w:noWrap/>
            <w:vAlign w:val="bottom"/>
            <w:hideMark/>
          </w:tcPr>
          <w:p w14:paraId="14B7E29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746A1D6D"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7A6F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Colombia</w:t>
            </w:r>
          </w:p>
        </w:tc>
        <w:tc>
          <w:tcPr>
            <w:tcW w:w="0" w:type="auto"/>
            <w:tcBorders>
              <w:top w:val="nil"/>
              <w:left w:val="nil"/>
              <w:bottom w:val="single" w:sz="4" w:space="0" w:color="auto"/>
              <w:right w:val="single" w:sz="4" w:space="0" w:color="auto"/>
            </w:tcBorders>
            <w:shd w:val="clear" w:color="auto" w:fill="auto"/>
            <w:noWrap/>
            <w:vAlign w:val="bottom"/>
            <w:hideMark/>
          </w:tcPr>
          <w:p w14:paraId="180DEF4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Camacho</w:t>
            </w:r>
          </w:p>
        </w:tc>
        <w:tc>
          <w:tcPr>
            <w:tcW w:w="0" w:type="auto"/>
            <w:tcBorders>
              <w:top w:val="nil"/>
              <w:left w:val="nil"/>
              <w:bottom w:val="single" w:sz="4" w:space="0" w:color="auto"/>
              <w:right w:val="single" w:sz="4" w:space="0" w:color="auto"/>
            </w:tcBorders>
            <w:shd w:val="clear" w:color="auto" w:fill="auto"/>
            <w:noWrap/>
            <w:vAlign w:val="bottom"/>
            <w:hideMark/>
          </w:tcPr>
          <w:p w14:paraId="69A0C00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56F3621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5208251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48.7</w:t>
            </w:r>
          </w:p>
        </w:tc>
        <w:tc>
          <w:tcPr>
            <w:tcW w:w="0" w:type="auto"/>
            <w:tcBorders>
              <w:top w:val="nil"/>
              <w:left w:val="nil"/>
              <w:bottom w:val="single" w:sz="4" w:space="0" w:color="auto"/>
              <w:right w:val="single" w:sz="4" w:space="0" w:color="auto"/>
            </w:tcBorders>
            <w:shd w:val="clear" w:color="auto" w:fill="auto"/>
            <w:noWrap/>
            <w:vAlign w:val="bottom"/>
            <w:hideMark/>
          </w:tcPr>
          <w:p w14:paraId="1D83B76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6120A2C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75.3</w:t>
            </w:r>
          </w:p>
        </w:tc>
        <w:tc>
          <w:tcPr>
            <w:tcW w:w="825" w:type="dxa"/>
            <w:tcBorders>
              <w:top w:val="nil"/>
              <w:left w:val="nil"/>
              <w:bottom w:val="single" w:sz="4" w:space="0" w:color="auto"/>
              <w:right w:val="single" w:sz="4" w:space="0" w:color="auto"/>
            </w:tcBorders>
            <w:shd w:val="clear" w:color="auto" w:fill="auto"/>
            <w:noWrap/>
            <w:vAlign w:val="bottom"/>
            <w:hideMark/>
          </w:tcPr>
          <w:p w14:paraId="3C12298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&gt;=130</w:t>
            </w:r>
          </w:p>
        </w:tc>
        <w:tc>
          <w:tcPr>
            <w:tcW w:w="0" w:type="auto"/>
            <w:tcBorders>
              <w:top w:val="nil"/>
              <w:left w:val="nil"/>
              <w:bottom w:val="single" w:sz="4" w:space="0" w:color="auto"/>
              <w:right w:val="single" w:sz="4" w:space="0" w:color="auto"/>
            </w:tcBorders>
            <w:shd w:val="clear" w:color="auto" w:fill="auto"/>
            <w:noWrap/>
            <w:vAlign w:val="bottom"/>
            <w:hideMark/>
          </w:tcPr>
          <w:p w14:paraId="1FD0DDF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57.1</w:t>
            </w:r>
          </w:p>
        </w:tc>
        <w:tc>
          <w:tcPr>
            <w:tcW w:w="1314" w:type="dxa"/>
            <w:tcBorders>
              <w:top w:val="nil"/>
              <w:left w:val="nil"/>
              <w:bottom w:val="single" w:sz="4" w:space="0" w:color="auto"/>
              <w:right w:val="single" w:sz="4" w:space="0" w:color="auto"/>
            </w:tcBorders>
            <w:shd w:val="clear" w:color="auto" w:fill="auto"/>
            <w:noWrap/>
            <w:vAlign w:val="bottom"/>
            <w:hideMark/>
          </w:tcPr>
          <w:p w14:paraId="2AE01B1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727CB47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49.7</w:t>
            </w:r>
          </w:p>
        </w:tc>
        <w:tc>
          <w:tcPr>
            <w:tcW w:w="866" w:type="dxa"/>
            <w:tcBorders>
              <w:top w:val="nil"/>
              <w:left w:val="nil"/>
              <w:bottom w:val="single" w:sz="4" w:space="0" w:color="auto"/>
              <w:right w:val="single" w:sz="4" w:space="0" w:color="auto"/>
            </w:tcBorders>
            <w:shd w:val="clear" w:color="auto" w:fill="auto"/>
            <w:noWrap/>
            <w:vAlign w:val="bottom"/>
            <w:hideMark/>
          </w:tcPr>
          <w:p w14:paraId="3525563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39FCE47D"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F7D27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Colombia</w:t>
            </w:r>
          </w:p>
        </w:tc>
        <w:tc>
          <w:tcPr>
            <w:tcW w:w="0" w:type="auto"/>
            <w:tcBorders>
              <w:top w:val="nil"/>
              <w:left w:val="nil"/>
              <w:bottom w:val="single" w:sz="4" w:space="0" w:color="auto"/>
              <w:right w:val="single" w:sz="4" w:space="0" w:color="auto"/>
            </w:tcBorders>
            <w:shd w:val="clear" w:color="auto" w:fill="auto"/>
            <w:noWrap/>
            <w:vAlign w:val="bottom"/>
            <w:hideMark/>
          </w:tcPr>
          <w:p w14:paraId="2F50E5A2"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Vinueza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86549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3568DFE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13637F9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11.7</w:t>
            </w:r>
          </w:p>
        </w:tc>
        <w:tc>
          <w:tcPr>
            <w:tcW w:w="0" w:type="auto"/>
            <w:tcBorders>
              <w:top w:val="nil"/>
              <w:left w:val="nil"/>
              <w:bottom w:val="single" w:sz="4" w:space="0" w:color="auto"/>
              <w:right w:val="single" w:sz="4" w:space="0" w:color="auto"/>
            </w:tcBorders>
            <w:shd w:val="clear" w:color="auto" w:fill="auto"/>
            <w:noWrap/>
            <w:vAlign w:val="bottom"/>
            <w:hideMark/>
          </w:tcPr>
          <w:p w14:paraId="6B2253F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1EFC069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19.1</w:t>
            </w:r>
          </w:p>
        </w:tc>
        <w:tc>
          <w:tcPr>
            <w:tcW w:w="825" w:type="dxa"/>
            <w:tcBorders>
              <w:top w:val="nil"/>
              <w:left w:val="nil"/>
              <w:bottom w:val="single" w:sz="4" w:space="0" w:color="auto"/>
              <w:right w:val="single" w:sz="4" w:space="0" w:color="auto"/>
            </w:tcBorders>
            <w:shd w:val="clear" w:color="auto" w:fill="auto"/>
            <w:noWrap/>
            <w:vAlign w:val="bottom"/>
            <w:hideMark/>
          </w:tcPr>
          <w:p w14:paraId="4595C35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mixed with Fr</w:t>
            </w:r>
          </w:p>
        </w:tc>
        <w:tc>
          <w:tcPr>
            <w:tcW w:w="0" w:type="auto"/>
            <w:tcBorders>
              <w:top w:val="nil"/>
              <w:left w:val="nil"/>
              <w:bottom w:val="single" w:sz="4" w:space="0" w:color="auto"/>
              <w:right w:val="single" w:sz="4" w:space="0" w:color="auto"/>
            </w:tcBorders>
            <w:shd w:val="clear" w:color="auto" w:fill="auto"/>
            <w:noWrap/>
            <w:vAlign w:val="bottom"/>
            <w:hideMark/>
          </w:tcPr>
          <w:p w14:paraId="1D74D84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45.6</w:t>
            </w:r>
          </w:p>
        </w:tc>
        <w:tc>
          <w:tcPr>
            <w:tcW w:w="1314" w:type="dxa"/>
            <w:tcBorders>
              <w:top w:val="nil"/>
              <w:left w:val="nil"/>
              <w:bottom w:val="single" w:sz="4" w:space="0" w:color="auto"/>
              <w:right w:val="single" w:sz="4" w:space="0" w:color="auto"/>
            </w:tcBorders>
            <w:shd w:val="clear" w:color="auto" w:fill="auto"/>
            <w:noWrap/>
            <w:vAlign w:val="bottom"/>
            <w:hideMark/>
          </w:tcPr>
          <w:p w14:paraId="269AABB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16BA1F4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23.2</w:t>
            </w:r>
          </w:p>
        </w:tc>
        <w:tc>
          <w:tcPr>
            <w:tcW w:w="866" w:type="dxa"/>
            <w:tcBorders>
              <w:top w:val="nil"/>
              <w:left w:val="nil"/>
              <w:bottom w:val="single" w:sz="4" w:space="0" w:color="auto"/>
              <w:right w:val="single" w:sz="4" w:space="0" w:color="auto"/>
            </w:tcBorders>
            <w:shd w:val="clear" w:color="auto" w:fill="auto"/>
            <w:noWrap/>
            <w:vAlign w:val="bottom"/>
            <w:hideMark/>
          </w:tcPr>
          <w:p w14:paraId="7D4E256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641C125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D658C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Colombia</w:t>
            </w:r>
          </w:p>
        </w:tc>
        <w:tc>
          <w:tcPr>
            <w:tcW w:w="0" w:type="auto"/>
            <w:tcBorders>
              <w:top w:val="nil"/>
              <w:left w:val="nil"/>
              <w:bottom w:val="single" w:sz="4" w:space="0" w:color="auto"/>
              <w:right w:val="single" w:sz="4" w:space="0" w:color="auto"/>
            </w:tcBorders>
            <w:shd w:val="clear" w:color="auto" w:fill="auto"/>
            <w:noWrap/>
            <w:vAlign w:val="bottom"/>
            <w:hideMark/>
          </w:tcPr>
          <w:p w14:paraId="7B182A5F"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Palmett</w:t>
            </w:r>
            <w:proofErr w:type="spellEnd"/>
            <w:r w:rsidRPr="00665066">
              <w:rPr>
                <w:rFonts w:ascii="Arial" w:eastAsia="Times New Roman" w:hAnsi="Arial" w:cs="Arial"/>
                <w:color w:val="000000"/>
                <w:sz w:val="16"/>
                <w:szCs w:val="16"/>
                <w:lang w:eastAsia="en-GB"/>
              </w:rPr>
              <w:t>-Rios</w:t>
            </w:r>
          </w:p>
        </w:tc>
        <w:tc>
          <w:tcPr>
            <w:tcW w:w="0" w:type="auto"/>
            <w:tcBorders>
              <w:top w:val="nil"/>
              <w:left w:val="nil"/>
              <w:bottom w:val="single" w:sz="4" w:space="0" w:color="auto"/>
              <w:right w:val="single" w:sz="4" w:space="0" w:color="auto"/>
            </w:tcBorders>
            <w:shd w:val="clear" w:color="auto" w:fill="auto"/>
            <w:noWrap/>
            <w:vAlign w:val="bottom"/>
            <w:hideMark/>
          </w:tcPr>
          <w:p w14:paraId="691E702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4FC25D5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6E82C6A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A0B4FB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EFE7D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42CABD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0C826F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80.5</w:t>
            </w:r>
          </w:p>
        </w:tc>
        <w:tc>
          <w:tcPr>
            <w:tcW w:w="1314" w:type="dxa"/>
            <w:tcBorders>
              <w:top w:val="nil"/>
              <w:left w:val="nil"/>
              <w:bottom w:val="single" w:sz="4" w:space="0" w:color="auto"/>
              <w:right w:val="single" w:sz="4" w:space="0" w:color="auto"/>
            </w:tcBorders>
            <w:shd w:val="clear" w:color="auto" w:fill="auto"/>
            <w:noWrap/>
            <w:vAlign w:val="bottom"/>
            <w:hideMark/>
          </w:tcPr>
          <w:p w14:paraId="298B10B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570C3D0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B8E108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18CF86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F82F2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Colombia</w:t>
            </w:r>
          </w:p>
        </w:tc>
        <w:tc>
          <w:tcPr>
            <w:tcW w:w="0" w:type="auto"/>
            <w:tcBorders>
              <w:top w:val="nil"/>
              <w:left w:val="nil"/>
              <w:bottom w:val="single" w:sz="4" w:space="0" w:color="auto"/>
              <w:right w:val="single" w:sz="4" w:space="0" w:color="auto"/>
            </w:tcBorders>
            <w:shd w:val="clear" w:color="auto" w:fill="auto"/>
            <w:noWrap/>
            <w:vAlign w:val="bottom"/>
            <w:hideMark/>
          </w:tcPr>
          <w:p w14:paraId="0336CB8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Bautista</w:t>
            </w:r>
          </w:p>
        </w:tc>
        <w:tc>
          <w:tcPr>
            <w:tcW w:w="0" w:type="auto"/>
            <w:tcBorders>
              <w:top w:val="nil"/>
              <w:left w:val="nil"/>
              <w:bottom w:val="single" w:sz="4" w:space="0" w:color="auto"/>
              <w:right w:val="single" w:sz="4" w:space="0" w:color="auto"/>
            </w:tcBorders>
            <w:shd w:val="clear" w:color="auto" w:fill="auto"/>
            <w:noWrap/>
            <w:vAlign w:val="bottom"/>
            <w:hideMark/>
          </w:tcPr>
          <w:p w14:paraId="682BEA3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77C6165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0553822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18.3</w:t>
            </w:r>
          </w:p>
        </w:tc>
        <w:tc>
          <w:tcPr>
            <w:tcW w:w="0" w:type="auto"/>
            <w:tcBorders>
              <w:top w:val="nil"/>
              <w:left w:val="nil"/>
              <w:bottom w:val="single" w:sz="4" w:space="0" w:color="auto"/>
              <w:right w:val="single" w:sz="4" w:space="0" w:color="auto"/>
            </w:tcBorders>
            <w:shd w:val="clear" w:color="auto" w:fill="auto"/>
            <w:noWrap/>
            <w:vAlign w:val="bottom"/>
            <w:hideMark/>
          </w:tcPr>
          <w:p w14:paraId="6FB448A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&gt;=6.15</w:t>
            </w:r>
          </w:p>
        </w:tc>
        <w:tc>
          <w:tcPr>
            <w:tcW w:w="643" w:type="dxa"/>
            <w:tcBorders>
              <w:top w:val="nil"/>
              <w:left w:val="nil"/>
              <w:bottom w:val="single" w:sz="4" w:space="0" w:color="auto"/>
              <w:right w:val="single" w:sz="4" w:space="0" w:color="auto"/>
            </w:tcBorders>
            <w:shd w:val="clear" w:color="auto" w:fill="auto"/>
            <w:noWrap/>
            <w:vAlign w:val="bottom"/>
            <w:hideMark/>
          </w:tcPr>
          <w:p w14:paraId="7254745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22.3</w:t>
            </w:r>
          </w:p>
        </w:tc>
        <w:tc>
          <w:tcPr>
            <w:tcW w:w="825" w:type="dxa"/>
            <w:tcBorders>
              <w:top w:val="nil"/>
              <w:left w:val="nil"/>
              <w:bottom w:val="single" w:sz="4" w:space="0" w:color="auto"/>
              <w:right w:val="single" w:sz="4" w:space="0" w:color="auto"/>
            </w:tcBorders>
            <w:shd w:val="clear" w:color="auto" w:fill="auto"/>
            <w:noWrap/>
            <w:vAlign w:val="bottom"/>
            <w:hideMark/>
          </w:tcPr>
          <w:p w14:paraId="2CFF9AF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&gt;=4.1</w:t>
            </w:r>
          </w:p>
        </w:tc>
        <w:tc>
          <w:tcPr>
            <w:tcW w:w="0" w:type="auto"/>
            <w:tcBorders>
              <w:top w:val="nil"/>
              <w:left w:val="nil"/>
              <w:bottom w:val="single" w:sz="4" w:space="0" w:color="auto"/>
              <w:right w:val="single" w:sz="4" w:space="0" w:color="auto"/>
            </w:tcBorders>
            <w:shd w:val="clear" w:color="auto" w:fill="auto"/>
            <w:noWrap/>
            <w:vAlign w:val="bottom"/>
            <w:hideMark/>
          </w:tcPr>
          <w:p w14:paraId="64E82D6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27.7</w:t>
            </w:r>
          </w:p>
        </w:tc>
        <w:tc>
          <w:tcPr>
            <w:tcW w:w="1314" w:type="dxa"/>
            <w:tcBorders>
              <w:top w:val="nil"/>
              <w:left w:val="nil"/>
              <w:bottom w:val="single" w:sz="4" w:space="0" w:color="auto"/>
              <w:right w:val="single" w:sz="4" w:space="0" w:color="auto"/>
            </w:tcBorders>
            <w:shd w:val="clear" w:color="auto" w:fill="auto"/>
            <w:noWrap/>
            <w:vAlign w:val="bottom"/>
            <w:hideMark/>
          </w:tcPr>
          <w:p w14:paraId="3A237D9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&lt;0.9</w:t>
            </w:r>
          </w:p>
        </w:tc>
        <w:tc>
          <w:tcPr>
            <w:tcW w:w="590" w:type="dxa"/>
            <w:tcBorders>
              <w:top w:val="nil"/>
              <w:left w:val="nil"/>
              <w:bottom w:val="single" w:sz="4" w:space="0" w:color="auto"/>
              <w:right w:val="single" w:sz="4" w:space="0" w:color="auto"/>
            </w:tcBorders>
            <w:shd w:val="clear" w:color="auto" w:fill="auto"/>
            <w:noWrap/>
            <w:vAlign w:val="bottom"/>
            <w:hideMark/>
          </w:tcPr>
          <w:p w14:paraId="7E95351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D2362A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EF4F0E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21C5A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Colombia</w:t>
            </w:r>
          </w:p>
        </w:tc>
        <w:tc>
          <w:tcPr>
            <w:tcW w:w="0" w:type="auto"/>
            <w:tcBorders>
              <w:top w:val="nil"/>
              <w:left w:val="nil"/>
              <w:bottom w:val="single" w:sz="4" w:space="0" w:color="auto"/>
              <w:right w:val="single" w:sz="4" w:space="0" w:color="auto"/>
            </w:tcBorders>
            <w:shd w:val="clear" w:color="auto" w:fill="auto"/>
            <w:noWrap/>
            <w:vAlign w:val="bottom"/>
            <w:hideMark/>
          </w:tcPr>
          <w:p w14:paraId="72A79F4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Gallo</w:t>
            </w:r>
          </w:p>
        </w:tc>
        <w:tc>
          <w:tcPr>
            <w:tcW w:w="0" w:type="auto"/>
            <w:tcBorders>
              <w:top w:val="nil"/>
              <w:left w:val="nil"/>
              <w:bottom w:val="single" w:sz="4" w:space="0" w:color="auto"/>
              <w:right w:val="single" w:sz="4" w:space="0" w:color="auto"/>
            </w:tcBorders>
            <w:shd w:val="clear" w:color="auto" w:fill="auto"/>
            <w:noWrap/>
            <w:vAlign w:val="bottom"/>
            <w:hideMark/>
          </w:tcPr>
          <w:p w14:paraId="239584C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3A13FCB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2BD3EA2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BCBA26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E2326E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5978C8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1F734D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3B30A7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6A5B32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DD6A7E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06D7336"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C9FA8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Colombia</w:t>
            </w:r>
          </w:p>
        </w:tc>
        <w:tc>
          <w:tcPr>
            <w:tcW w:w="0" w:type="auto"/>
            <w:tcBorders>
              <w:top w:val="nil"/>
              <w:left w:val="nil"/>
              <w:bottom w:val="single" w:sz="4" w:space="0" w:color="auto"/>
              <w:right w:val="single" w:sz="4" w:space="0" w:color="auto"/>
            </w:tcBorders>
            <w:shd w:val="clear" w:color="auto" w:fill="auto"/>
            <w:noWrap/>
            <w:vAlign w:val="bottom"/>
            <w:hideMark/>
          </w:tcPr>
          <w:p w14:paraId="609CBA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AlayÃ³n</w:t>
            </w:r>
          </w:p>
        </w:tc>
        <w:tc>
          <w:tcPr>
            <w:tcW w:w="0" w:type="auto"/>
            <w:tcBorders>
              <w:top w:val="nil"/>
              <w:left w:val="nil"/>
              <w:bottom w:val="single" w:sz="4" w:space="0" w:color="auto"/>
              <w:right w:val="single" w:sz="4" w:space="0" w:color="auto"/>
            </w:tcBorders>
            <w:shd w:val="clear" w:color="auto" w:fill="auto"/>
            <w:noWrap/>
            <w:vAlign w:val="bottom"/>
            <w:hideMark/>
          </w:tcPr>
          <w:p w14:paraId="779E2B2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09E97D5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5D7A18E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39</w:t>
            </w:r>
          </w:p>
        </w:tc>
        <w:tc>
          <w:tcPr>
            <w:tcW w:w="0" w:type="auto"/>
            <w:tcBorders>
              <w:top w:val="nil"/>
              <w:left w:val="nil"/>
              <w:bottom w:val="single" w:sz="4" w:space="0" w:color="auto"/>
              <w:right w:val="single" w:sz="4" w:space="0" w:color="auto"/>
            </w:tcBorders>
            <w:shd w:val="clear" w:color="auto" w:fill="auto"/>
            <w:noWrap/>
            <w:vAlign w:val="bottom"/>
            <w:hideMark/>
          </w:tcPr>
          <w:p w14:paraId="3019DC1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6B1C279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34</w:t>
            </w:r>
          </w:p>
        </w:tc>
        <w:tc>
          <w:tcPr>
            <w:tcW w:w="825" w:type="dxa"/>
            <w:tcBorders>
              <w:top w:val="nil"/>
              <w:left w:val="nil"/>
              <w:bottom w:val="single" w:sz="4" w:space="0" w:color="auto"/>
              <w:right w:val="single" w:sz="4" w:space="0" w:color="auto"/>
            </w:tcBorders>
            <w:shd w:val="clear" w:color="auto" w:fill="auto"/>
            <w:noWrap/>
            <w:vAlign w:val="bottom"/>
            <w:hideMark/>
          </w:tcPr>
          <w:p w14:paraId="32283E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&gt;130</w:t>
            </w:r>
          </w:p>
        </w:tc>
        <w:tc>
          <w:tcPr>
            <w:tcW w:w="0" w:type="auto"/>
            <w:tcBorders>
              <w:top w:val="nil"/>
              <w:left w:val="nil"/>
              <w:bottom w:val="single" w:sz="4" w:space="0" w:color="auto"/>
              <w:right w:val="single" w:sz="4" w:space="0" w:color="auto"/>
            </w:tcBorders>
            <w:shd w:val="clear" w:color="auto" w:fill="auto"/>
            <w:noWrap/>
            <w:vAlign w:val="bottom"/>
            <w:hideMark/>
          </w:tcPr>
          <w:p w14:paraId="4CEBC7E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42</w:t>
            </w:r>
          </w:p>
        </w:tc>
        <w:tc>
          <w:tcPr>
            <w:tcW w:w="1314" w:type="dxa"/>
            <w:tcBorders>
              <w:top w:val="nil"/>
              <w:left w:val="nil"/>
              <w:bottom w:val="single" w:sz="4" w:space="0" w:color="auto"/>
              <w:right w:val="single" w:sz="4" w:space="0" w:color="auto"/>
            </w:tcBorders>
            <w:shd w:val="clear" w:color="auto" w:fill="auto"/>
            <w:noWrap/>
            <w:vAlign w:val="bottom"/>
            <w:hideMark/>
          </w:tcPr>
          <w:p w14:paraId="0C60A2E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7256B51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39</w:t>
            </w:r>
          </w:p>
        </w:tc>
        <w:tc>
          <w:tcPr>
            <w:tcW w:w="866" w:type="dxa"/>
            <w:tcBorders>
              <w:top w:val="nil"/>
              <w:left w:val="nil"/>
              <w:bottom w:val="single" w:sz="4" w:space="0" w:color="auto"/>
              <w:right w:val="single" w:sz="4" w:space="0" w:color="auto"/>
            </w:tcBorders>
            <w:shd w:val="clear" w:color="auto" w:fill="auto"/>
            <w:noWrap/>
            <w:vAlign w:val="bottom"/>
            <w:hideMark/>
          </w:tcPr>
          <w:p w14:paraId="036EE5A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7BA00FF6"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E9D14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Costa Rica</w:t>
            </w:r>
          </w:p>
        </w:tc>
        <w:tc>
          <w:tcPr>
            <w:tcW w:w="0" w:type="auto"/>
            <w:tcBorders>
              <w:top w:val="nil"/>
              <w:left w:val="nil"/>
              <w:bottom w:val="single" w:sz="4" w:space="0" w:color="auto"/>
              <w:right w:val="single" w:sz="4" w:space="0" w:color="auto"/>
            </w:tcBorders>
            <w:shd w:val="clear" w:color="auto" w:fill="auto"/>
            <w:noWrap/>
            <w:vAlign w:val="bottom"/>
            <w:hideMark/>
          </w:tcPr>
          <w:p w14:paraId="520DA75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Campos</w:t>
            </w:r>
          </w:p>
        </w:tc>
        <w:tc>
          <w:tcPr>
            <w:tcW w:w="0" w:type="auto"/>
            <w:tcBorders>
              <w:top w:val="nil"/>
              <w:left w:val="nil"/>
              <w:bottom w:val="single" w:sz="4" w:space="0" w:color="auto"/>
              <w:right w:val="single" w:sz="4" w:space="0" w:color="auto"/>
            </w:tcBorders>
            <w:shd w:val="clear" w:color="auto" w:fill="auto"/>
            <w:noWrap/>
            <w:vAlign w:val="bottom"/>
            <w:hideMark/>
          </w:tcPr>
          <w:p w14:paraId="70DAAB8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1991</w:t>
            </w:r>
          </w:p>
        </w:tc>
        <w:tc>
          <w:tcPr>
            <w:tcW w:w="0" w:type="auto"/>
            <w:tcBorders>
              <w:top w:val="nil"/>
              <w:left w:val="nil"/>
              <w:bottom w:val="single" w:sz="4" w:space="0" w:color="auto"/>
              <w:right w:val="single" w:sz="4" w:space="0" w:color="auto"/>
            </w:tcBorders>
            <w:shd w:val="clear" w:color="auto" w:fill="auto"/>
            <w:noWrap/>
            <w:vAlign w:val="bottom"/>
            <w:hideMark/>
          </w:tcPr>
          <w:p w14:paraId="0FF3F10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1988</w:t>
            </w:r>
          </w:p>
        </w:tc>
        <w:tc>
          <w:tcPr>
            <w:tcW w:w="0" w:type="auto"/>
            <w:tcBorders>
              <w:top w:val="nil"/>
              <w:left w:val="nil"/>
              <w:bottom w:val="single" w:sz="4" w:space="0" w:color="auto"/>
              <w:right w:val="single" w:sz="4" w:space="0" w:color="auto"/>
            </w:tcBorders>
            <w:shd w:val="clear" w:color="auto" w:fill="auto"/>
            <w:noWrap/>
            <w:vAlign w:val="bottom"/>
            <w:hideMark/>
          </w:tcPr>
          <w:p w14:paraId="1C71706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8.21</w:t>
            </w:r>
          </w:p>
        </w:tc>
        <w:tc>
          <w:tcPr>
            <w:tcW w:w="0" w:type="auto"/>
            <w:tcBorders>
              <w:top w:val="nil"/>
              <w:left w:val="nil"/>
              <w:bottom w:val="single" w:sz="4" w:space="0" w:color="auto"/>
              <w:right w:val="single" w:sz="4" w:space="0" w:color="auto"/>
            </w:tcBorders>
            <w:shd w:val="clear" w:color="auto" w:fill="auto"/>
            <w:noWrap/>
            <w:vAlign w:val="bottom"/>
            <w:hideMark/>
          </w:tcPr>
          <w:p w14:paraId="46F3073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7468F8A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8.32</w:t>
            </w:r>
          </w:p>
        </w:tc>
        <w:tc>
          <w:tcPr>
            <w:tcW w:w="825" w:type="dxa"/>
            <w:tcBorders>
              <w:top w:val="nil"/>
              <w:left w:val="nil"/>
              <w:bottom w:val="single" w:sz="4" w:space="0" w:color="auto"/>
              <w:right w:val="single" w:sz="4" w:space="0" w:color="auto"/>
            </w:tcBorders>
            <w:shd w:val="clear" w:color="auto" w:fill="auto"/>
            <w:noWrap/>
            <w:vAlign w:val="bottom"/>
            <w:hideMark/>
          </w:tcPr>
          <w:p w14:paraId="7A194FC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3815747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21.34</w:t>
            </w:r>
          </w:p>
        </w:tc>
        <w:tc>
          <w:tcPr>
            <w:tcW w:w="1314" w:type="dxa"/>
            <w:tcBorders>
              <w:top w:val="nil"/>
              <w:left w:val="nil"/>
              <w:bottom w:val="single" w:sz="4" w:space="0" w:color="auto"/>
              <w:right w:val="single" w:sz="4" w:space="0" w:color="auto"/>
            </w:tcBorders>
            <w:shd w:val="clear" w:color="auto" w:fill="auto"/>
            <w:noWrap/>
            <w:vAlign w:val="bottom"/>
            <w:hideMark/>
          </w:tcPr>
          <w:p w14:paraId="2A2182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&lt;35</w:t>
            </w:r>
          </w:p>
        </w:tc>
        <w:tc>
          <w:tcPr>
            <w:tcW w:w="590" w:type="dxa"/>
            <w:tcBorders>
              <w:top w:val="nil"/>
              <w:left w:val="nil"/>
              <w:bottom w:val="single" w:sz="4" w:space="0" w:color="auto"/>
              <w:right w:val="single" w:sz="4" w:space="0" w:color="auto"/>
            </w:tcBorders>
            <w:shd w:val="clear" w:color="auto" w:fill="auto"/>
            <w:noWrap/>
            <w:vAlign w:val="bottom"/>
            <w:hideMark/>
          </w:tcPr>
          <w:p w14:paraId="628AB6E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E96D61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010BB8D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9147E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Costa Rica</w:t>
            </w:r>
          </w:p>
        </w:tc>
        <w:tc>
          <w:tcPr>
            <w:tcW w:w="0" w:type="auto"/>
            <w:tcBorders>
              <w:top w:val="nil"/>
              <w:left w:val="nil"/>
              <w:bottom w:val="single" w:sz="4" w:space="0" w:color="auto"/>
              <w:right w:val="single" w:sz="4" w:space="0" w:color="auto"/>
            </w:tcBorders>
            <w:shd w:val="clear" w:color="auto" w:fill="auto"/>
            <w:noWrap/>
            <w:vAlign w:val="bottom"/>
            <w:hideMark/>
          </w:tcPr>
          <w:p w14:paraId="4E7F51C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Wong-McClure</w:t>
            </w:r>
          </w:p>
        </w:tc>
        <w:tc>
          <w:tcPr>
            <w:tcW w:w="0" w:type="auto"/>
            <w:tcBorders>
              <w:top w:val="nil"/>
              <w:left w:val="nil"/>
              <w:bottom w:val="single" w:sz="4" w:space="0" w:color="auto"/>
              <w:right w:val="single" w:sz="4" w:space="0" w:color="auto"/>
            </w:tcBorders>
            <w:shd w:val="clear" w:color="auto" w:fill="auto"/>
            <w:noWrap/>
            <w:vAlign w:val="bottom"/>
            <w:hideMark/>
          </w:tcPr>
          <w:p w14:paraId="05717E1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6DFDF0D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420C8D4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954A6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853B77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EB33C9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28EC5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62</w:t>
            </w:r>
          </w:p>
        </w:tc>
        <w:tc>
          <w:tcPr>
            <w:tcW w:w="1314" w:type="dxa"/>
            <w:tcBorders>
              <w:top w:val="nil"/>
              <w:left w:val="nil"/>
              <w:bottom w:val="single" w:sz="4" w:space="0" w:color="auto"/>
              <w:right w:val="single" w:sz="4" w:space="0" w:color="auto"/>
            </w:tcBorders>
            <w:shd w:val="clear" w:color="auto" w:fill="auto"/>
            <w:noWrap/>
            <w:vAlign w:val="bottom"/>
            <w:hideMark/>
          </w:tcPr>
          <w:p w14:paraId="06006E6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599804E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58</w:t>
            </w:r>
          </w:p>
        </w:tc>
        <w:tc>
          <w:tcPr>
            <w:tcW w:w="866" w:type="dxa"/>
            <w:tcBorders>
              <w:top w:val="nil"/>
              <w:left w:val="nil"/>
              <w:bottom w:val="single" w:sz="4" w:space="0" w:color="auto"/>
              <w:right w:val="single" w:sz="4" w:space="0" w:color="auto"/>
            </w:tcBorders>
            <w:shd w:val="clear" w:color="auto" w:fill="auto"/>
            <w:noWrap/>
            <w:vAlign w:val="bottom"/>
            <w:hideMark/>
          </w:tcPr>
          <w:p w14:paraId="38005D6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482E50C8"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BFF9E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Costa Rica</w:t>
            </w:r>
          </w:p>
        </w:tc>
        <w:tc>
          <w:tcPr>
            <w:tcW w:w="0" w:type="auto"/>
            <w:tcBorders>
              <w:top w:val="nil"/>
              <w:left w:val="nil"/>
              <w:bottom w:val="single" w:sz="4" w:space="0" w:color="auto"/>
              <w:right w:val="single" w:sz="4" w:space="0" w:color="auto"/>
            </w:tcBorders>
            <w:shd w:val="clear" w:color="auto" w:fill="auto"/>
            <w:noWrap/>
            <w:vAlign w:val="bottom"/>
            <w:hideMark/>
          </w:tcPr>
          <w:p w14:paraId="14E4252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Holst</w:t>
            </w:r>
          </w:p>
        </w:tc>
        <w:tc>
          <w:tcPr>
            <w:tcW w:w="0" w:type="auto"/>
            <w:tcBorders>
              <w:top w:val="nil"/>
              <w:left w:val="nil"/>
              <w:bottom w:val="single" w:sz="4" w:space="0" w:color="auto"/>
              <w:right w:val="single" w:sz="4" w:space="0" w:color="auto"/>
            </w:tcBorders>
            <w:shd w:val="clear" w:color="auto" w:fill="auto"/>
            <w:noWrap/>
            <w:vAlign w:val="bottom"/>
            <w:hideMark/>
          </w:tcPr>
          <w:p w14:paraId="0F71707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0DF3E99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6154D1F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E08E77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6A3E90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92F07C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4B635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732FFED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34F608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7371BB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4D979856"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DDEFA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lastRenderedPageBreak/>
              <w:t>Costa Rica</w:t>
            </w:r>
          </w:p>
        </w:tc>
        <w:tc>
          <w:tcPr>
            <w:tcW w:w="0" w:type="auto"/>
            <w:tcBorders>
              <w:top w:val="nil"/>
              <w:left w:val="nil"/>
              <w:bottom w:val="single" w:sz="4" w:space="0" w:color="auto"/>
              <w:right w:val="single" w:sz="4" w:space="0" w:color="auto"/>
            </w:tcBorders>
            <w:shd w:val="clear" w:color="auto" w:fill="auto"/>
            <w:noWrap/>
            <w:vAlign w:val="bottom"/>
            <w:hideMark/>
          </w:tcPr>
          <w:p w14:paraId="6440DD0C"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Chanti-Ketterl</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76CF25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199A03C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448F62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BBBE81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2C471D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54FD54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B65AB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48C2FF5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BCB674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546F0F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3D0B53C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BBFC3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Costa Rica</w:t>
            </w:r>
          </w:p>
        </w:tc>
        <w:tc>
          <w:tcPr>
            <w:tcW w:w="0" w:type="auto"/>
            <w:tcBorders>
              <w:top w:val="nil"/>
              <w:left w:val="nil"/>
              <w:bottom w:val="single" w:sz="4" w:space="0" w:color="auto"/>
              <w:right w:val="single" w:sz="4" w:space="0" w:color="auto"/>
            </w:tcBorders>
            <w:shd w:val="clear" w:color="auto" w:fill="auto"/>
            <w:noWrap/>
            <w:vAlign w:val="bottom"/>
            <w:hideMark/>
          </w:tcPr>
          <w:p w14:paraId="05C70C0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Campos</w:t>
            </w:r>
          </w:p>
        </w:tc>
        <w:tc>
          <w:tcPr>
            <w:tcW w:w="0" w:type="auto"/>
            <w:tcBorders>
              <w:top w:val="nil"/>
              <w:left w:val="nil"/>
              <w:bottom w:val="single" w:sz="4" w:space="0" w:color="auto"/>
              <w:right w:val="single" w:sz="4" w:space="0" w:color="auto"/>
            </w:tcBorders>
            <w:shd w:val="clear" w:color="auto" w:fill="auto"/>
            <w:noWrap/>
            <w:vAlign w:val="bottom"/>
            <w:hideMark/>
          </w:tcPr>
          <w:p w14:paraId="4024C6F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1991</w:t>
            </w:r>
          </w:p>
        </w:tc>
        <w:tc>
          <w:tcPr>
            <w:tcW w:w="0" w:type="auto"/>
            <w:tcBorders>
              <w:top w:val="nil"/>
              <w:left w:val="nil"/>
              <w:bottom w:val="single" w:sz="4" w:space="0" w:color="auto"/>
              <w:right w:val="single" w:sz="4" w:space="0" w:color="auto"/>
            </w:tcBorders>
            <w:shd w:val="clear" w:color="auto" w:fill="auto"/>
            <w:noWrap/>
            <w:vAlign w:val="bottom"/>
            <w:hideMark/>
          </w:tcPr>
          <w:p w14:paraId="5DF2304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1988</w:t>
            </w:r>
          </w:p>
        </w:tc>
        <w:tc>
          <w:tcPr>
            <w:tcW w:w="0" w:type="auto"/>
            <w:tcBorders>
              <w:top w:val="nil"/>
              <w:left w:val="nil"/>
              <w:bottom w:val="single" w:sz="4" w:space="0" w:color="auto"/>
              <w:right w:val="single" w:sz="4" w:space="0" w:color="auto"/>
            </w:tcBorders>
            <w:shd w:val="clear" w:color="auto" w:fill="auto"/>
            <w:noWrap/>
            <w:vAlign w:val="bottom"/>
            <w:hideMark/>
          </w:tcPr>
          <w:p w14:paraId="2F32C3E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992198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4EB55F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34DEED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CFE56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5A1591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9E3C71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25A4B6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34D0AB7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9AF82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Costa Rica</w:t>
            </w:r>
          </w:p>
        </w:tc>
        <w:tc>
          <w:tcPr>
            <w:tcW w:w="0" w:type="auto"/>
            <w:tcBorders>
              <w:top w:val="nil"/>
              <w:left w:val="nil"/>
              <w:bottom w:val="single" w:sz="4" w:space="0" w:color="auto"/>
              <w:right w:val="single" w:sz="4" w:space="0" w:color="auto"/>
            </w:tcBorders>
            <w:shd w:val="clear" w:color="auto" w:fill="auto"/>
            <w:noWrap/>
            <w:vAlign w:val="bottom"/>
            <w:hideMark/>
          </w:tcPr>
          <w:p w14:paraId="322FB73B"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Rehkopf</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B95270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5407142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2E9D097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981DAC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65B2BA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4970E5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20EB04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88D208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925D69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BA6B09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1A949B3"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4DDA7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Costa Rica</w:t>
            </w:r>
          </w:p>
        </w:tc>
        <w:tc>
          <w:tcPr>
            <w:tcW w:w="0" w:type="auto"/>
            <w:tcBorders>
              <w:top w:val="nil"/>
              <w:left w:val="nil"/>
              <w:bottom w:val="single" w:sz="4" w:space="0" w:color="auto"/>
              <w:right w:val="single" w:sz="4" w:space="0" w:color="auto"/>
            </w:tcBorders>
            <w:shd w:val="clear" w:color="auto" w:fill="auto"/>
            <w:noWrap/>
            <w:vAlign w:val="bottom"/>
            <w:hideMark/>
          </w:tcPr>
          <w:p w14:paraId="79C1EEB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Jimenez</w:t>
            </w:r>
          </w:p>
        </w:tc>
        <w:tc>
          <w:tcPr>
            <w:tcW w:w="0" w:type="auto"/>
            <w:tcBorders>
              <w:top w:val="nil"/>
              <w:left w:val="nil"/>
              <w:bottom w:val="single" w:sz="4" w:space="0" w:color="auto"/>
              <w:right w:val="single" w:sz="4" w:space="0" w:color="auto"/>
            </w:tcBorders>
            <w:shd w:val="clear" w:color="auto" w:fill="auto"/>
            <w:noWrap/>
            <w:vAlign w:val="bottom"/>
            <w:hideMark/>
          </w:tcPr>
          <w:p w14:paraId="1FEFB38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1987</w:t>
            </w:r>
          </w:p>
        </w:tc>
        <w:tc>
          <w:tcPr>
            <w:tcW w:w="0" w:type="auto"/>
            <w:tcBorders>
              <w:top w:val="nil"/>
              <w:left w:val="nil"/>
              <w:bottom w:val="single" w:sz="4" w:space="0" w:color="auto"/>
              <w:right w:val="single" w:sz="4" w:space="0" w:color="auto"/>
            </w:tcBorders>
            <w:shd w:val="clear" w:color="auto" w:fill="auto"/>
            <w:noWrap/>
            <w:vAlign w:val="bottom"/>
            <w:hideMark/>
          </w:tcPr>
          <w:p w14:paraId="49C816B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1982</w:t>
            </w:r>
          </w:p>
        </w:tc>
        <w:tc>
          <w:tcPr>
            <w:tcW w:w="0" w:type="auto"/>
            <w:tcBorders>
              <w:top w:val="nil"/>
              <w:left w:val="nil"/>
              <w:bottom w:val="single" w:sz="4" w:space="0" w:color="auto"/>
              <w:right w:val="single" w:sz="4" w:space="0" w:color="auto"/>
            </w:tcBorders>
            <w:shd w:val="clear" w:color="auto" w:fill="auto"/>
            <w:noWrap/>
            <w:vAlign w:val="bottom"/>
            <w:hideMark/>
          </w:tcPr>
          <w:p w14:paraId="1C1D4DC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3E254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A283DE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4DA9F9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29BFF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6B7667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4E1B77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24950B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58E965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7D491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Costa Rica</w:t>
            </w:r>
          </w:p>
        </w:tc>
        <w:tc>
          <w:tcPr>
            <w:tcW w:w="0" w:type="auto"/>
            <w:tcBorders>
              <w:top w:val="nil"/>
              <w:left w:val="nil"/>
              <w:bottom w:val="single" w:sz="4" w:space="0" w:color="auto"/>
              <w:right w:val="single" w:sz="4" w:space="0" w:color="auto"/>
            </w:tcBorders>
            <w:shd w:val="clear" w:color="auto" w:fill="auto"/>
            <w:noWrap/>
            <w:vAlign w:val="bottom"/>
            <w:hideMark/>
          </w:tcPr>
          <w:p w14:paraId="6F6A123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xml:space="preserve">Goldman </w:t>
            </w:r>
          </w:p>
        </w:tc>
        <w:tc>
          <w:tcPr>
            <w:tcW w:w="0" w:type="auto"/>
            <w:tcBorders>
              <w:top w:val="nil"/>
              <w:left w:val="nil"/>
              <w:bottom w:val="single" w:sz="4" w:space="0" w:color="auto"/>
              <w:right w:val="single" w:sz="4" w:space="0" w:color="auto"/>
            </w:tcBorders>
            <w:shd w:val="clear" w:color="auto" w:fill="auto"/>
            <w:noWrap/>
            <w:vAlign w:val="bottom"/>
            <w:hideMark/>
          </w:tcPr>
          <w:p w14:paraId="534A4C9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6468C06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21A9115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29.81</w:t>
            </w:r>
          </w:p>
        </w:tc>
        <w:tc>
          <w:tcPr>
            <w:tcW w:w="0" w:type="auto"/>
            <w:tcBorders>
              <w:top w:val="nil"/>
              <w:left w:val="nil"/>
              <w:bottom w:val="single" w:sz="4" w:space="0" w:color="auto"/>
              <w:right w:val="single" w:sz="4" w:space="0" w:color="auto"/>
            </w:tcBorders>
            <w:shd w:val="clear" w:color="auto" w:fill="auto"/>
            <w:noWrap/>
            <w:vAlign w:val="bottom"/>
            <w:hideMark/>
          </w:tcPr>
          <w:p w14:paraId="6E0A469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1B42D37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6DB84AE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21F9B9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1A02DD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90B905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23.61</w:t>
            </w:r>
          </w:p>
        </w:tc>
        <w:tc>
          <w:tcPr>
            <w:tcW w:w="866" w:type="dxa"/>
            <w:tcBorders>
              <w:top w:val="nil"/>
              <w:left w:val="nil"/>
              <w:bottom w:val="single" w:sz="4" w:space="0" w:color="auto"/>
              <w:right w:val="single" w:sz="4" w:space="0" w:color="auto"/>
            </w:tcBorders>
            <w:shd w:val="clear" w:color="auto" w:fill="auto"/>
            <w:noWrap/>
            <w:vAlign w:val="bottom"/>
            <w:hideMark/>
          </w:tcPr>
          <w:p w14:paraId="6BACF70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3554F3D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29B78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Costa Rica</w:t>
            </w:r>
          </w:p>
        </w:tc>
        <w:tc>
          <w:tcPr>
            <w:tcW w:w="0" w:type="auto"/>
            <w:tcBorders>
              <w:top w:val="nil"/>
              <w:left w:val="nil"/>
              <w:bottom w:val="single" w:sz="4" w:space="0" w:color="auto"/>
              <w:right w:val="single" w:sz="4" w:space="0" w:color="auto"/>
            </w:tcBorders>
            <w:shd w:val="clear" w:color="auto" w:fill="auto"/>
            <w:noWrap/>
            <w:vAlign w:val="bottom"/>
            <w:hideMark/>
          </w:tcPr>
          <w:p w14:paraId="1D71C96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Williams</w:t>
            </w:r>
          </w:p>
        </w:tc>
        <w:tc>
          <w:tcPr>
            <w:tcW w:w="0" w:type="auto"/>
            <w:tcBorders>
              <w:top w:val="nil"/>
              <w:left w:val="nil"/>
              <w:bottom w:val="single" w:sz="4" w:space="0" w:color="auto"/>
              <w:right w:val="single" w:sz="4" w:space="0" w:color="auto"/>
            </w:tcBorders>
            <w:shd w:val="clear" w:color="auto" w:fill="auto"/>
            <w:noWrap/>
            <w:vAlign w:val="bottom"/>
            <w:hideMark/>
          </w:tcPr>
          <w:p w14:paraId="3148195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3601A6F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1996</w:t>
            </w:r>
          </w:p>
        </w:tc>
        <w:tc>
          <w:tcPr>
            <w:tcW w:w="0" w:type="auto"/>
            <w:tcBorders>
              <w:top w:val="nil"/>
              <w:left w:val="nil"/>
              <w:bottom w:val="single" w:sz="4" w:space="0" w:color="auto"/>
              <w:right w:val="single" w:sz="4" w:space="0" w:color="auto"/>
            </w:tcBorders>
            <w:shd w:val="clear" w:color="auto" w:fill="auto"/>
            <w:noWrap/>
            <w:vAlign w:val="bottom"/>
            <w:hideMark/>
          </w:tcPr>
          <w:p w14:paraId="786EB1E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9AB23B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586CE3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FA21BE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15336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60.36</w:t>
            </w:r>
          </w:p>
        </w:tc>
        <w:tc>
          <w:tcPr>
            <w:tcW w:w="1314" w:type="dxa"/>
            <w:tcBorders>
              <w:top w:val="nil"/>
              <w:left w:val="nil"/>
              <w:bottom w:val="single" w:sz="4" w:space="0" w:color="auto"/>
              <w:right w:val="single" w:sz="4" w:space="0" w:color="auto"/>
            </w:tcBorders>
            <w:shd w:val="clear" w:color="auto" w:fill="auto"/>
            <w:noWrap/>
            <w:vAlign w:val="bottom"/>
            <w:hideMark/>
          </w:tcPr>
          <w:p w14:paraId="6D62B38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7E8D9D6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67.18</w:t>
            </w:r>
          </w:p>
        </w:tc>
        <w:tc>
          <w:tcPr>
            <w:tcW w:w="866" w:type="dxa"/>
            <w:tcBorders>
              <w:top w:val="nil"/>
              <w:left w:val="nil"/>
              <w:bottom w:val="single" w:sz="4" w:space="0" w:color="auto"/>
              <w:right w:val="single" w:sz="4" w:space="0" w:color="auto"/>
            </w:tcBorders>
            <w:shd w:val="clear" w:color="auto" w:fill="auto"/>
            <w:noWrap/>
            <w:vAlign w:val="bottom"/>
            <w:hideMark/>
          </w:tcPr>
          <w:p w14:paraId="19DC592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27DCC2B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1ACA8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Cuba</w:t>
            </w:r>
          </w:p>
        </w:tc>
        <w:tc>
          <w:tcPr>
            <w:tcW w:w="0" w:type="auto"/>
            <w:tcBorders>
              <w:top w:val="nil"/>
              <w:left w:val="nil"/>
              <w:bottom w:val="single" w:sz="4" w:space="0" w:color="auto"/>
              <w:right w:val="single" w:sz="4" w:space="0" w:color="auto"/>
            </w:tcBorders>
            <w:shd w:val="clear" w:color="auto" w:fill="auto"/>
            <w:noWrap/>
            <w:vAlign w:val="bottom"/>
            <w:hideMark/>
          </w:tcPr>
          <w:p w14:paraId="79D7A36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Salas</w:t>
            </w:r>
          </w:p>
        </w:tc>
        <w:tc>
          <w:tcPr>
            <w:tcW w:w="0" w:type="auto"/>
            <w:tcBorders>
              <w:top w:val="nil"/>
              <w:left w:val="nil"/>
              <w:bottom w:val="single" w:sz="4" w:space="0" w:color="auto"/>
              <w:right w:val="single" w:sz="4" w:space="0" w:color="auto"/>
            </w:tcBorders>
            <w:shd w:val="clear" w:color="auto" w:fill="auto"/>
            <w:noWrap/>
            <w:vAlign w:val="bottom"/>
            <w:hideMark/>
          </w:tcPr>
          <w:p w14:paraId="60A5BAB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50F976D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0D5201D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1C2FE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A66724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73A107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99576F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55.1</w:t>
            </w:r>
          </w:p>
        </w:tc>
        <w:tc>
          <w:tcPr>
            <w:tcW w:w="1314" w:type="dxa"/>
            <w:tcBorders>
              <w:top w:val="nil"/>
              <w:left w:val="nil"/>
              <w:bottom w:val="single" w:sz="4" w:space="0" w:color="auto"/>
              <w:right w:val="single" w:sz="4" w:space="0" w:color="auto"/>
            </w:tcBorders>
            <w:shd w:val="clear" w:color="auto" w:fill="auto"/>
            <w:noWrap/>
            <w:vAlign w:val="bottom"/>
            <w:hideMark/>
          </w:tcPr>
          <w:p w14:paraId="56010F1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&lt;45 (women)</w:t>
            </w:r>
          </w:p>
        </w:tc>
        <w:tc>
          <w:tcPr>
            <w:tcW w:w="590" w:type="dxa"/>
            <w:tcBorders>
              <w:top w:val="nil"/>
              <w:left w:val="nil"/>
              <w:bottom w:val="single" w:sz="4" w:space="0" w:color="auto"/>
              <w:right w:val="single" w:sz="4" w:space="0" w:color="auto"/>
            </w:tcBorders>
            <w:shd w:val="clear" w:color="auto" w:fill="auto"/>
            <w:noWrap/>
            <w:vAlign w:val="bottom"/>
            <w:hideMark/>
          </w:tcPr>
          <w:p w14:paraId="01AC8B6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32.7</w:t>
            </w:r>
          </w:p>
        </w:tc>
        <w:tc>
          <w:tcPr>
            <w:tcW w:w="866" w:type="dxa"/>
            <w:tcBorders>
              <w:top w:val="nil"/>
              <w:left w:val="nil"/>
              <w:bottom w:val="single" w:sz="4" w:space="0" w:color="auto"/>
              <w:right w:val="single" w:sz="4" w:space="0" w:color="auto"/>
            </w:tcBorders>
            <w:shd w:val="clear" w:color="auto" w:fill="auto"/>
            <w:noWrap/>
            <w:vAlign w:val="bottom"/>
            <w:hideMark/>
          </w:tcPr>
          <w:p w14:paraId="536D6C3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0C94877A"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25A27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Cuba</w:t>
            </w:r>
          </w:p>
        </w:tc>
        <w:tc>
          <w:tcPr>
            <w:tcW w:w="0" w:type="auto"/>
            <w:tcBorders>
              <w:top w:val="nil"/>
              <w:left w:val="nil"/>
              <w:bottom w:val="single" w:sz="4" w:space="0" w:color="auto"/>
              <w:right w:val="single" w:sz="4" w:space="0" w:color="auto"/>
            </w:tcBorders>
            <w:shd w:val="clear" w:color="auto" w:fill="auto"/>
            <w:noWrap/>
            <w:vAlign w:val="bottom"/>
            <w:hideMark/>
          </w:tcPr>
          <w:p w14:paraId="4DD6A8D7"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Nordet</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F18126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985D7A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EAECEE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5.9</w:t>
            </w:r>
          </w:p>
        </w:tc>
        <w:tc>
          <w:tcPr>
            <w:tcW w:w="0" w:type="auto"/>
            <w:tcBorders>
              <w:top w:val="nil"/>
              <w:left w:val="nil"/>
              <w:bottom w:val="single" w:sz="4" w:space="0" w:color="auto"/>
              <w:right w:val="single" w:sz="4" w:space="0" w:color="auto"/>
            </w:tcBorders>
            <w:shd w:val="clear" w:color="auto" w:fill="auto"/>
            <w:noWrap/>
            <w:vAlign w:val="bottom"/>
            <w:hideMark/>
          </w:tcPr>
          <w:p w14:paraId="534528D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&gt;=6</w:t>
            </w:r>
          </w:p>
        </w:tc>
        <w:tc>
          <w:tcPr>
            <w:tcW w:w="643" w:type="dxa"/>
            <w:tcBorders>
              <w:top w:val="nil"/>
              <w:left w:val="nil"/>
              <w:bottom w:val="single" w:sz="4" w:space="0" w:color="auto"/>
              <w:right w:val="single" w:sz="4" w:space="0" w:color="auto"/>
            </w:tcBorders>
            <w:shd w:val="clear" w:color="auto" w:fill="auto"/>
            <w:noWrap/>
            <w:vAlign w:val="bottom"/>
            <w:hideMark/>
          </w:tcPr>
          <w:p w14:paraId="1F3CE30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DDD4C7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DCC614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4BCC30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8929C0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B7903D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2D86D7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1E144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Dominica</w:t>
            </w:r>
          </w:p>
        </w:tc>
        <w:tc>
          <w:tcPr>
            <w:tcW w:w="0" w:type="auto"/>
            <w:tcBorders>
              <w:top w:val="nil"/>
              <w:left w:val="nil"/>
              <w:bottom w:val="single" w:sz="4" w:space="0" w:color="auto"/>
              <w:right w:val="single" w:sz="4" w:space="0" w:color="auto"/>
            </w:tcBorders>
            <w:shd w:val="clear" w:color="auto" w:fill="auto"/>
            <w:noWrap/>
            <w:vAlign w:val="bottom"/>
            <w:hideMark/>
          </w:tcPr>
          <w:p w14:paraId="51FCFA8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Robinson</w:t>
            </w:r>
          </w:p>
        </w:tc>
        <w:tc>
          <w:tcPr>
            <w:tcW w:w="0" w:type="auto"/>
            <w:tcBorders>
              <w:top w:val="nil"/>
              <w:left w:val="nil"/>
              <w:bottom w:val="single" w:sz="4" w:space="0" w:color="auto"/>
              <w:right w:val="single" w:sz="4" w:space="0" w:color="auto"/>
            </w:tcBorders>
            <w:shd w:val="clear" w:color="auto" w:fill="auto"/>
            <w:noWrap/>
            <w:vAlign w:val="bottom"/>
            <w:hideMark/>
          </w:tcPr>
          <w:p w14:paraId="7122F35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64DF221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2B5DA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B51B0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7DA8DF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685464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1E6BE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C208BD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7A24D9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88860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01ED1189"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EB68C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Dominican Republic</w:t>
            </w:r>
          </w:p>
        </w:tc>
        <w:tc>
          <w:tcPr>
            <w:tcW w:w="0" w:type="auto"/>
            <w:tcBorders>
              <w:top w:val="nil"/>
              <w:left w:val="nil"/>
              <w:bottom w:val="single" w:sz="4" w:space="0" w:color="auto"/>
              <w:right w:val="single" w:sz="4" w:space="0" w:color="auto"/>
            </w:tcBorders>
            <w:shd w:val="clear" w:color="auto" w:fill="auto"/>
            <w:noWrap/>
            <w:vAlign w:val="bottom"/>
            <w:hideMark/>
          </w:tcPr>
          <w:p w14:paraId="091FAD9B"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Aono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F53CAD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1999</w:t>
            </w:r>
          </w:p>
        </w:tc>
        <w:tc>
          <w:tcPr>
            <w:tcW w:w="0" w:type="auto"/>
            <w:tcBorders>
              <w:top w:val="nil"/>
              <w:left w:val="nil"/>
              <w:bottom w:val="single" w:sz="4" w:space="0" w:color="auto"/>
              <w:right w:val="single" w:sz="4" w:space="0" w:color="auto"/>
            </w:tcBorders>
            <w:shd w:val="clear" w:color="auto" w:fill="auto"/>
            <w:noWrap/>
            <w:vAlign w:val="bottom"/>
            <w:hideMark/>
          </w:tcPr>
          <w:p w14:paraId="6C9917B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1993</w:t>
            </w:r>
          </w:p>
        </w:tc>
        <w:tc>
          <w:tcPr>
            <w:tcW w:w="0" w:type="auto"/>
            <w:tcBorders>
              <w:top w:val="nil"/>
              <w:left w:val="nil"/>
              <w:bottom w:val="single" w:sz="4" w:space="0" w:color="auto"/>
              <w:right w:val="single" w:sz="4" w:space="0" w:color="auto"/>
            </w:tcBorders>
            <w:shd w:val="clear" w:color="auto" w:fill="auto"/>
            <w:noWrap/>
            <w:vAlign w:val="bottom"/>
            <w:hideMark/>
          </w:tcPr>
          <w:p w14:paraId="482F5BC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BE1108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6444C59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D5D1FE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9E9A6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796D41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Rep. Dom</w:t>
            </w:r>
          </w:p>
        </w:tc>
        <w:tc>
          <w:tcPr>
            <w:tcW w:w="590" w:type="dxa"/>
            <w:tcBorders>
              <w:top w:val="nil"/>
              <w:left w:val="nil"/>
              <w:bottom w:val="single" w:sz="4" w:space="0" w:color="auto"/>
              <w:right w:val="single" w:sz="4" w:space="0" w:color="auto"/>
            </w:tcBorders>
            <w:shd w:val="clear" w:color="auto" w:fill="auto"/>
            <w:noWrap/>
            <w:vAlign w:val="bottom"/>
            <w:hideMark/>
          </w:tcPr>
          <w:p w14:paraId="30541CD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5E29EA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0EB29ED9"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C676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Dominican Republic</w:t>
            </w:r>
          </w:p>
        </w:tc>
        <w:tc>
          <w:tcPr>
            <w:tcW w:w="0" w:type="auto"/>
            <w:tcBorders>
              <w:top w:val="nil"/>
              <w:left w:val="nil"/>
              <w:bottom w:val="single" w:sz="4" w:space="0" w:color="auto"/>
              <w:right w:val="single" w:sz="4" w:space="0" w:color="auto"/>
            </w:tcBorders>
            <w:shd w:val="clear" w:color="auto" w:fill="auto"/>
            <w:noWrap/>
            <w:vAlign w:val="bottom"/>
            <w:hideMark/>
          </w:tcPr>
          <w:p w14:paraId="1EB6724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Salas</w:t>
            </w:r>
          </w:p>
        </w:tc>
        <w:tc>
          <w:tcPr>
            <w:tcW w:w="0" w:type="auto"/>
            <w:tcBorders>
              <w:top w:val="nil"/>
              <w:left w:val="nil"/>
              <w:bottom w:val="single" w:sz="4" w:space="0" w:color="auto"/>
              <w:right w:val="single" w:sz="4" w:space="0" w:color="auto"/>
            </w:tcBorders>
            <w:shd w:val="clear" w:color="auto" w:fill="auto"/>
            <w:noWrap/>
            <w:vAlign w:val="bottom"/>
            <w:hideMark/>
          </w:tcPr>
          <w:p w14:paraId="5849C3D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20EBBB1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0E7652D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41.1</w:t>
            </w:r>
          </w:p>
        </w:tc>
        <w:tc>
          <w:tcPr>
            <w:tcW w:w="0" w:type="auto"/>
            <w:tcBorders>
              <w:top w:val="nil"/>
              <w:left w:val="nil"/>
              <w:bottom w:val="single" w:sz="4" w:space="0" w:color="auto"/>
              <w:right w:val="single" w:sz="4" w:space="0" w:color="auto"/>
            </w:tcBorders>
            <w:shd w:val="clear" w:color="auto" w:fill="auto"/>
            <w:noWrap/>
            <w:vAlign w:val="bottom"/>
            <w:hideMark/>
          </w:tcPr>
          <w:p w14:paraId="6C545C3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&gt;=5.2</w:t>
            </w:r>
          </w:p>
        </w:tc>
        <w:tc>
          <w:tcPr>
            <w:tcW w:w="643" w:type="dxa"/>
            <w:tcBorders>
              <w:top w:val="nil"/>
              <w:left w:val="nil"/>
              <w:bottom w:val="single" w:sz="4" w:space="0" w:color="auto"/>
              <w:right w:val="single" w:sz="4" w:space="0" w:color="auto"/>
            </w:tcBorders>
            <w:shd w:val="clear" w:color="auto" w:fill="auto"/>
            <w:noWrap/>
            <w:vAlign w:val="bottom"/>
            <w:hideMark/>
          </w:tcPr>
          <w:p w14:paraId="7B61A11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6B6DA86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E14D8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66922F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A6F4A8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19.4</w:t>
            </w:r>
          </w:p>
        </w:tc>
        <w:tc>
          <w:tcPr>
            <w:tcW w:w="866" w:type="dxa"/>
            <w:tcBorders>
              <w:top w:val="nil"/>
              <w:left w:val="nil"/>
              <w:bottom w:val="single" w:sz="4" w:space="0" w:color="auto"/>
              <w:right w:val="single" w:sz="4" w:space="0" w:color="auto"/>
            </w:tcBorders>
            <w:shd w:val="clear" w:color="auto" w:fill="auto"/>
            <w:noWrap/>
            <w:vAlign w:val="bottom"/>
            <w:hideMark/>
          </w:tcPr>
          <w:p w14:paraId="0A8AECF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2DE0E42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84A4C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Dominican Republic</w:t>
            </w:r>
          </w:p>
        </w:tc>
        <w:tc>
          <w:tcPr>
            <w:tcW w:w="0" w:type="auto"/>
            <w:tcBorders>
              <w:top w:val="nil"/>
              <w:left w:val="nil"/>
              <w:bottom w:val="single" w:sz="4" w:space="0" w:color="auto"/>
              <w:right w:val="single" w:sz="4" w:space="0" w:color="auto"/>
            </w:tcBorders>
            <w:shd w:val="clear" w:color="auto" w:fill="auto"/>
            <w:noWrap/>
            <w:vAlign w:val="bottom"/>
            <w:hideMark/>
          </w:tcPr>
          <w:p w14:paraId="7CB1433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Dong</w:t>
            </w:r>
          </w:p>
        </w:tc>
        <w:tc>
          <w:tcPr>
            <w:tcW w:w="0" w:type="auto"/>
            <w:tcBorders>
              <w:top w:val="nil"/>
              <w:left w:val="nil"/>
              <w:bottom w:val="single" w:sz="4" w:space="0" w:color="auto"/>
              <w:right w:val="single" w:sz="4" w:space="0" w:color="auto"/>
            </w:tcBorders>
            <w:shd w:val="clear" w:color="auto" w:fill="auto"/>
            <w:noWrap/>
            <w:vAlign w:val="bottom"/>
            <w:hideMark/>
          </w:tcPr>
          <w:p w14:paraId="376DBE8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0831FCA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1997</w:t>
            </w:r>
          </w:p>
        </w:tc>
        <w:tc>
          <w:tcPr>
            <w:tcW w:w="0" w:type="auto"/>
            <w:tcBorders>
              <w:top w:val="nil"/>
              <w:left w:val="nil"/>
              <w:bottom w:val="single" w:sz="4" w:space="0" w:color="auto"/>
              <w:right w:val="single" w:sz="4" w:space="0" w:color="auto"/>
            </w:tcBorders>
            <w:shd w:val="clear" w:color="auto" w:fill="auto"/>
            <w:noWrap/>
            <w:vAlign w:val="bottom"/>
            <w:hideMark/>
          </w:tcPr>
          <w:p w14:paraId="00B68FC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B76BF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5B68B7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710852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FD21DC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4ACD8D6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4AB652A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F8EA1C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5CF4A0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9C662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Ecuador</w:t>
            </w:r>
          </w:p>
        </w:tc>
        <w:tc>
          <w:tcPr>
            <w:tcW w:w="0" w:type="auto"/>
            <w:tcBorders>
              <w:top w:val="nil"/>
              <w:left w:val="nil"/>
              <w:bottom w:val="single" w:sz="4" w:space="0" w:color="auto"/>
              <w:right w:val="single" w:sz="4" w:space="0" w:color="auto"/>
            </w:tcBorders>
            <w:shd w:val="clear" w:color="auto" w:fill="auto"/>
            <w:noWrap/>
            <w:vAlign w:val="bottom"/>
            <w:hideMark/>
          </w:tcPr>
          <w:p w14:paraId="3606FD45"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Encalada</w:t>
            </w:r>
            <w:proofErr w:type="spellEnd"/>
            <w:r w:rsidRPr="00665066">
              <w:rPr>
                <w:rFonts w:ascii="Arial" w:eastAsia="Times New Roman" w:hAnsi="Arial" w:cs="Arial"/>
                <w:color w:val="000000"/>
                <w:sz w:val="16"/>
                <w:szCs w:val="16"/>
                <w:lang w:eastAsia="en-GB"/>
              </w:rPr>
              <w:t>-Torres</w:t>
            </w:r>
          </w:p>
        </w:tc>
        <w:tc>
          <w:tcPr>
            <w:tcW w:w="0" w:type="auto"/>
            <w:tcBorders>
              <w:top w:val="nil"/>
              <w:left w:val="nil"/>
              <w:bottom w:val="single" w:sz="4" w:space="0" w:color="auto"/>
              <w:right w:val="single" w:sz="4" w:space="0" w:color="auto"/>
            </w:tcBorders>
            <w:shd w:val="clear" w:color="auto" w:fill="auto"/>
            <w:noWrap/>
            <w:vAlign w:val="bottom"/>
            <w:hideMark/>
          </w:tcPr>
          <w:p w14:paraId="452F0E8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394CBE9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50394CA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3E5E5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0B4ED0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7F5970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3AEF86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A7D392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1055E0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5F652B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39B4224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5901A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Ecuador</w:t>
            </w:r>
          </w:p>
        </w:tc>
        <w:tc>
          <w:tcPr>
            <w:tcW w:w="0" w:type="auto"/>
            <w:tcBorders>
              <w:top w:val="nil"/>
              <w:left w:val="nil"/>
              <w:bottom w:val="single" w:sz="4" w:space="0" w:color="auto"/>
              <w:right w:val="single" w:sz="4" w:space="0" w:color="auto"/>
            </w:tcBorders>
            <w:shd w:val="clear" w:color="auto" w:fill="auto"/>
            <w:noWrap/>
            <w:vAlign w:val="bottom"/>
            <w:hideMark/>
          </w:tcPr>
          <w:p w14:paraId="5DA16C8F"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Vinueza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4CEA4A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5690954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03BBBE7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20.2</w:t>
            </w:r>
          </w:p>
        </w:tc>
        <w:tc>
          <w:tcPr>
            <w:tcW w:w="0" w:type="auto"/>
            <w:tcBorders>
              <w:top w:val="nil"/>
              <w:left w:val="nil"/>
              <w:bottom w:val="single" w:sz="4" w:space="0" w:color="auto"/>
              <w:right w:val="single" w:sz="4" w:space="0" w:color="auto"/>
            </w:tcBorders>
            <w:shd w:val="clear" w:color="auto" w:fill="auto"/>
            <w:noWrap/>
            <w:vAlign w:val="bottom"/>
            <w:hideMark/>
          </w:tcPr>
          <w:p w14:paraId="5487278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60057F9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23.9</w:t>
            </w:r>
          </w:p>
        </w:tc>
        <w:tc>
          <w:tcPr>
            <w:tcW w:w="825" w:type="dxa"/>
            <w:tcBorders>
              <w:top w:val="nil"/>
              <w:left w:val="nil"/>
              <w:bottom w:val="single" w:sz="4" w:space="0" w:color="auto"/>
              <w:right w:val="single" w:sz="4" w:space="0" w:color="auto"/>
            </w:tcBorders>
            <w:shd w:val="clear" w:color="auto" w:fill="auto"/>
            <w:noWrap/>
            <w:vAlign w:val="bottom"/>
            <w:hideMark/>
          </w:tcPr>
          <w:p w14:paraId="4DFD0AF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mixed with Fr</w:t>
            </w:r>
          </w:p>
        </w:tc>
        <w:tc>
          <w:tcPr>
            <w:tcW w:w="0" w:type="auto"/>
            <w:tcBorders>
              <w:top w:val="nil"/>
              <w:left w:val="nil"/>
              <w:bottom w:val="single" w:sz="4" w:space="0" w:color="auto"/>
              <w:right w:val="single" w:sz="4" w:space="0" w:color="auto"/>
            </w:tcBorders>
            <w:shd w:val="clear" w:color="auto" w:fill="auto"/>
            <w:noWrap/>
            <w:vAlign w:val="bottom"/>
            <w:hideMark/>
          </w:tcPr>
          <w:p w14:paraId="7F998AC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21.6</w:t>
            </w:r>
          </w:p>
        </w:tc>
        <w:tc>
          <w:tcPr>
            <w:tcW w:w="1314" w:type="dxa"/>
            <w:tcBorders>
              <w:top w:val="nil"/>
              <w:left w:val="nil"/>
              <w:bottom w:val="single" w:sz="4" w:space="0" w:color="auto"/>
              <w:right w:val="single" w:sz="4" w:space="0" w:color="auto"/>
            </w:tcBorders>
            <w:shd w:val="clear" w:color="auto" w:fill="auto"/>
            <w:noWrap/>
            <w:vAlign w:val="bottom"/>
            <w:hideMark/>
          </w:tcPr>
          <w:p w14:paraId="406DDC3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51A627C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23.8</w:t>
            </w:r>
          </w:p>
        </w:tc>
        <w:tc>
          <w:tcPr>
            <w:tcW w:w="866" w:type="dxa"/>
            <w:tcBorders>
              <w:top w:val="nil"/>
              <w:left w:val="nil"/>
              <w:bottom w:val="single" w:sz="4" w:space="0" w:color="auto"/>
              <w:right w:val="single" w:sz="4" w:space="0" w:color="auto"/>
            </w:tcBorders>
            <w:shd w:val="clear" w:color="auto" w:fill="auto"/>
            <w:noWrap/>
            <w:vAlign w:val="bottom"/>
            <w:hideMark/>
          </w:tcPr>
          <w:p w14:paraId="6E5122E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3A924A8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93C01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Ecuador</w:t>
            </w:r>
          </w:p>
        </w:tc>
        <w:tc>
          <w:tcPr>
            <w:tcW w:w="0" w:type="auto"/>
            <w:tcBorders>
              <w:top w:val="nil"/>
              <w:left w:val="nil"/>
              <w:bottom w:val="single" w:sz="4" w:space="0" w:color="auto"/>
              <w:right w:val="single" w:sz="4" w:space="0" w:color="auto"/>
            </w:tcBorders>
            <w:shd w:val="clear" w:color="auto" w:fill="auto"/>
            <w:noWrap/>
            <w:vAlign w:val="bottom"/>
            <w:hideMark/>
          </w:tcPr>
          <w:p w14:paraId="153D9C22"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Orces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79B936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2672A21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6C15E3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16.54</w:t>
            </w:r>
          </w:p>
        </w:tc>
        <w:tc>
          <w:tcPr>
            <w:tcW w:w="0" w:type="auto"/>
            <w:tcBorders>
              <w:top w:val="nil"/>
              <w:left w:val="nil"/>
              <w:bottom w:val="single" w:sz="4" w:space="0" w:color="auto"/>
              <w:right w:val="single" w:sz="4" w:space="0" w:color="auto"/>
            </w:tcBorders>
            <w:shd w:val="clear" w:color="auto" w:fill="auto"/>
            <w:noWrap/>
            <w:vAlign w:val="bottom"/>
            <w:hideMark/>
          </w:tcPr>
          <w:p w14:paraId="13493D1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7BB9DA5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12.24</w:t>
            </w:r>
          </w:p>
        </w:tc>
        <w:tc>
          <w:tcPr>
            <w:tcW w:w="825" w:type="dxa"/>
            <w:tcBorders>
              <w:top w:val="nil"/>
              <w:left w:val="nil"/>
              <w:bottom w:val="single" w:sz="4" w:space="0" w:color="auto"/>
              <w:right w:val="single" w:sz="4" w:space="0" w:color="auto"/>
            </w:tcBorders>
            <w:shd w:val="clear" w:color="auto" w:fill="auto"/>
            <w:noWrap/>
            <w:vAlign w:val="bottom"/>
            <w:hideMark/>
          </w:tcPr>
          <w:p w14:paraId="23FA623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5797E38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28.61</w:t>
            </w:r>
          </w:p>
        </w:tc>
        <w:tc>
          <w:tcPr>
            <w:tcW w:w="1314" w:type="dxa"/>
            <w:tcBorders>
              <w:top w:val="nil"/>
              <w:left w:val="nil"/>
              <w:bottom w:val="single" w:sz="4" w:space="0" w:color="auto"/>
              <w:right w:val="single" w:sz="4" w:space="0" w:color="auto"/>
            </w:tcBorders>
            <w:shd w:val="clear" w:color="auto" w:fill="auto"/>
            <w:noWrap/>
            <w:vAlign w:val="bottom"/>
            <w:hideMark/>
          </w:tcPr>
          <w:p w14:paraId="7900874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2453D6A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23.28</w:t>
            </w:r>
          </w:p>
        </w:tc>
        <w:tc>
          <w:tcPr>
            <w:tcW w:w="866" w:type="dxa"/>
            <w:tcBorders>
              <w:top w:val="nil"/>
              <w:left w:val="nil"/>
              <w:bottom w:val="single" w:sz="4" w:space="0" w:color="auto"/>
              <w:right w:val="single" w:sz="4" w:space="0" w:color="auto"/>
            </w:tcBorders>
            <w:shd w:val="clear" w:color="auto" w:fill="auto"/>
            <w:noWrap/>
            <w:vAlign w:val="bottom"/>
            <w:hideMark/>
          </w:tcPr>
          <w:p w14:paraId="3F5F001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5CD57E19"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41889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Ecuador</w:t>
            </w:r>
          </w:p>
        </w:tc>
        <w:tc>
          <w:tcPr>
            <w:tcW w:w="0" w:type="auto"/>
            <w:tcBorders>
              <w:top w:val="nil"/>
              <w:left w:val="nil"/>
              <w:bottom w:val="single" w:sz="4" w:space="0" w:color="auto"/>
              <w:right w:val="single" w:sz="4" w:space="0" w:color="auto"/>
            </w:tcBorders>
            <w:shd w:val="clear" w:color="auto" w:fill="auto"/>
            <w:noWrap/>
            <w:vAlign w:val="bottom"/>
            <w:hideMark/>
          </w:tcPr>
          <w:p w14:paraId="0221CC25"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Sisa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5A15F4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7AD0738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29ED830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7C93E6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E6B9D2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177DF2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EB948D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752C403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DA93FB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0FE74D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457552AE"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537A0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El Salvador</w:t>
            </w:r>
          </w:p>
        </w:tc>
        <w:tc>
          <w:tcPr>
            <w:tcW w:w="0" w:type="auto"/>
            <w:tcBorders>
              <w:top w:val="nil"/>
              <w:left w:val="nil"/>
              <w:bottom w:val="single" w:sz="4" w:space="0" w:color="auto"/>
              <w:right w:val="single" w:sz="4" w:space="0" w:color="auto"/>
            </w:tcBorders>
            <w:shd w:val="clear" w:color="auto" w:fill="auto"/>
            <w:noWrap/>
            <w:vAlign w:val="bottom"/>
            <w:hideMark/>
          </w:tcPr>
          <w:p w14:paraId="6E7DE696"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Orantes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F040C9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0963DFB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57892CE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23.2</w:t>
            </w:r>
          </w:p>
        </w:tc>
        <w:tc>
          <w:tcPr>
            <w:tcW w:w="0" w:type="auto"/>
            <w:tcBorders>
              <w:top w:val="nil"/>
              <w:left w:val="nil"/>
              <w:bottom w:val="single" w:sz="4" w:space="0" w:color="auto"/>
              <w:right w:val="single" w:sz="4" w:space="0" w:color="auto"/>
            </w:tcBorders>
            <w:shd w:val="clear" w:color="auto" w:fill="auto"/>
            <w:noWrap/>
            <w:vAlign w:val="bottom"/>
            <w:hideMark/>
          </w:tcPr>
          <w:p w14:paraId="448C0B6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4B9D7F4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15</w:t>
            </w:r>
          </w:p>
        </w:tc>
        <w:tc>
          <w:tcPr>
            <w:tcW w:w="825" w:type="dxa"/>
            <w:tcBorders>
              <w:top w:val="nil"/>
              <w:left w:val="nil"/>
              <w:bottom w:val="single" w:sz="4" w:space="0" w:color="auto"/>
              <w:right w:val="single" w:sz="4" w:space="0" w:color="auto"/>
            </w:tcBorders>
            <w:shd w:val="clear" w:color="auto" w:fill="auto"/>
            <w:noWrap/>
            <w:vAlign w:val="bottom"/>
            <w:hideMark/>
          </w:tcPr>
          <w:p w14:paraId="7429787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7600A3E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19.6</w:t>
            </w:r>
          </w:p>
        </w:tc>
        <w:tc>
          <w:tcPr>
            <w:tcW w:w="1314" w:type="dxa"/>
            <w:tcBorders>
              <w:top w:val="nil"/>
              <w:left w:val="nil"/>
              <w:bottom w:val="single" w:sz="4" w:space="0" w:color="auto"/>
              <w:right w:val="single" w:sz="4" w:space="0" w:color="auto"/>
            </w:tcBorders>
            <w:shd w:val="clear" w:color="auto" w:fill="auto"/>
            <w:noWrap/>
            <w:vAlign w:val="bottom"/>
            <w:hideMark/>
          </w:tcPr>
          <w:p w14:paraId="119DF5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&lt;35(men) &amp; &lt;39 (women)</w:t>
            </w:r>
          </w:p>
        </w:tc>
        <w:tc>
          <w:tcPr>
            <w:tcW w:w="590" w:type="dxa"/>
            <w:tcBorders>
              <w:top w:val="nil"/>
              <w:left w:val="nil"/>
              <w:bottom w:val="single" w:sz="4" w:space="0" w:color="auto"/>
              <w:right w:val="single" w:sz="4" w:space="0" w:color="auto"/>
            </w:tcBorders>
            <w:shd w:val="clear" w:color="auto" w:fill="auto"/>
            <w:noWrap/>
            <w:vAlign w:val="bottom"/>
            <w:hideMark/>
          </w:tcPr>
          <w:p w14:paraId="73D266E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49.7</w:t>
            </w:r>
          </w:p>
        </w:tc>
        <w:tc>
          <w:tcPr>
            <w:tcW w:w="866" w:type="dxa"/>
            <w:tcBorders>
              <w:top w:val="nil"/>
              <w:left w:val="nil"/>
              <w:bottom w:val="single" w:sz="4" w:space="0" w:color="auto"/>
              <w:right w:val="single" w:sz="4" w:space="0" w:color="auto"/>
            </w:tcBorders>
            <w:shd w:val="clear" w:color="auto" w:fill="auto"/>
            <w:noWrap/>
            <w:vAlign w:val="bottom"/>
            <w:hideMark/>
          </w:tcPr>
          <w:p w14:paraId="69C1A8C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33F2CA2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F1BC5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Granada</w:t>
            </w:r>
          </w:p>
        </w:tc>
        <w:tc>
          <w:tcPr>
            <w:tcW w:w="0" w:type="auto"/>
            <w:tcBorders>
              <w:top w:val="nil"/>
              <w:left w:val="nil"/>
              <w:bottom w:val="single" w:sz="4" w:space="0" w:color="auto"/>
              <w:right w:val="single" w:sz="4" w:space="0" w:color="auto"/>
            </w:tcBorders>
            <w:shd w:val="clear" w:color="auto" w:fill="auto"/>
            <w:noWrap/>
            <w:vAlign w:val="bottom"/>
            <w:hideMark/>
          </w:tcPr>
          <w:p w14:paraId="14D45637"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Bansilal</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0FC3D5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57C9354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5D0CB68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8.6</w:t>
            </w:r>
          </w:p>
        </w:tc>
        <w:tc>
          <w:tcPr>
            <w:tcW w:w="0" w:type="auto"/>
            <w:tcBorders>
              <w:top w:val="nil"/>
              <w:left w:val="nil"/>
              <w:bottom w:val="single" w:sz="4" w:space="0" w:color="auto"/>
              <w:right w:val="single" w:sz="4" w:space="0" w:color="auto"/>
            </w:tcBorders>
            <w:shd w:val="clear" w:color="auto" w:fill="auto"/>
            <w:noWrap/>
            <w:vAlign w:val="bottom"/>
            <w:hideMark/>
          </w:tcPr>
          <w:p w14:paraId="4BC2866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00AAC37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21A2A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CA974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7192F4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4C37A1C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D453AF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45BB892A"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42002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Guatemala</w:t>
            </w:r>
          </w:p>
        </w:tc>
        <w:tc>
          <w:tcPr>
            <w:tcW w:w="0" w:type="auto"/>
            <w:tcBorders>
              <w:top w:val="nil"/>
              <w:left w:val="nil"/>
              <w:bottom w:val="single" w:sz="4" w:space="0" w:color="auto"/>
              <w:right w:val="single" w:sz="4" w:space="0" w:color="auto"/>
            </w:tcBorders>
            <w:shd w:val="clear" w:color="auto" w:fill="auto"/>
            <w:noWrap/>
            <w:vAlign w:val="bottom"/>
            <w:hideMark/>
          </w:tcPr>
          <w:p w14:paraId="730CA4A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Wong-McClure</w:t>
            </w:r>
          </w:p>
        </w:tc>
        <w:tc>
          <w:tcPr>
            <w:tcW w:w="0" w:type="auto"/>
            <w:tcBorders>
              <w:top w:val="nil"/>
              <w:left w:val="nil"/>
              <w:bottom w:val="single" w:sz="4" w:space="0" w:color="auto"/>
              <w:right w:val="single" w:sz="4" w:space="0" w:color="auto"/>
            </w:tcBorders>
            <w:shd w:val="clear" w:color="auto" w:fill="auto"/>
            <w:noWrap/>
            <w:vAlign w:val="bottom"/>
            <w:hideMark/>
          </w:tcPr>
          <w:p w14:paraId="47161F6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36C029E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0514818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BAB0A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B17B38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74E6EF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703294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38</w:t>
            </w:r>
          </w:p>
        </w:tc>
        <w:tc>
          <w:tcPr>
            <w:tcW w:w="1314" w:type="dxa"/>
            <w:tcBorders>
              <w:top w:val="nil"/>
              <w:left w:val="nil"/>
              <w:bottom w:val="single" w:sz="4" w:space="0" w:color="auto"/>
              <w:right w:val="single" w:sz="4" w:space="0" w:color="auto"/>
            </w:tcBorders>
            <w:shd w:val="clear" w:color="auto" w:fill="auto"/>
            <w:noWrap/>
            <w:vAlign w:val="bottom"/>
            <w:hideMark/>
          </w:tcPr>
          <w:p w14:paraId="2F529FA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0FC4430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62</w:t>
            </w:r>
          </w:p>
        </w:tc>
        <w:tc>
          <w:tcPr>
            <w:tcW w:w="866" w:type="dxa"/>
            <w:tcBorders>
              <w:top w:val="nil"/>
              <w:left w:val="nil"/>
              <w:bottom w:val="single" w:sz="4" w:space="0" w:color="auto"/>
              <w:right w:val="single" w:sz="4" w:space="0" w:color="auto"/>
            </w:tcBorders>
            <w:shd w:val="clear" w:color="auto" w:fill="auto"/>
            <w:noWrap/>
            <w:vAlign w:val="bottom"/>
            <w:hideMark/>
          </w:tcPr>
          <w:p w14:paraId="774C509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78FAA85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89FCF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Guatemala</w:t>
            </w:r>
          </w:p>
        </w:tc>
        <w:tc>
          <w:tcPr>
            <w:tcW w:w="0" w:type="auto"/>
            <w:tcBorders>
              <w:top w:val="nil"/>
              <w:left w:val="nil"/>
              <w:bottom w:val="single" w:sz="4" w:space="0" w:color="auto"/>
              <w:right w:val="single" w:sz="4" w:space="0" w:color="auto"/>
            </w:tcBorders>
            <w:shd w:val="clear" w:color="auto" w:fill="auto"/>
            <w:noWrap/>
            <w:vAlign w:val="bottom"/>
            <w:hideMark/>
          </w:tcPr>
          <w:p w14:paraId="36BAF22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Romero-</w:t>
            </w:r>
            <w:proofErr w:type="spellStart"/>
            <w:r w:rsidRPr="00665066">
              <w:rPr>
                <w:rFonts w:ascii="Arial" w:eastAsia="Times New Roman" w:hAnsi="Arial" w:cs="Arial"/>
                <w:color w:val="000000"/>
                <w:sz w:val="16"/>
                <w:szCs w:val="16"/>
                <w:lang w:eastAsia="en-GB"/>
              </w:rPr>
              <w:t>Abal</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CE90BF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1994</w:t>
            </w:r>
          </w:p>
        </w:tc>
        <w:tc>
          <w:tcPr>
            <w:tcW w:w="0" w:type="auto"/>
            <w:tcBorders>
              <w:top w:val="nil"/>
              <w:left w:val="nil"/>
              <w:bottom w:val="single" w:sz="4" w:space="0" w:color="auto"/>
              <w:right w:val="single" w:sz="4" w:space="0" w:color="auto"/>
            </w:tcBorders>
            <w:shd w:val="clear" w:color="auto" w:fill="auto"/>
            <w:noWrap/>
            <w:vAlign w:val="bottom"/>
            <w:hideMark/>
          </w:tcPr>
          <w:p w14:paraId="537C492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2107D1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26</w:t>
            </w:r>
          </w:p>
        </w:tc>
        <w:tc>
          <w:tcPr>
            <w:tcW w:w="0" w:type="auto"/>
            <w:tcBorders>
              <w:top w:val="nil"/>
              <w:left w:val="nil"/>
              <w:bottom w:val="single" w:sz="4" w:space="0" w:color="auto"/>
              <w:right w:val="single" w:sz="4" w:space="0" w:color="auto"/>
            </w:tcBorders>
            <w:shd w:val="clear" w:color="auto" w:fill="auto"/>
            <w:noWrap/>
            <w:vAlign w:val="bottom"/>
            <w:hideMark/>
          </w:tcPr>
          <w:p w14:paraId="2D9BE69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50E95B9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36C511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D6F4B3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1A4C2B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8CDA7A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36</w:t>
            </w:r>
          </w:p>
        </w:tc>
        <w:tc>
          <w:tcPr>
            <w:tcW w:w="866" w:type="dxa"/>
            <w:tcBorders>
              <w:top w:val="nil"/>
              <w:left w:val="nil"/>
              <w:bottom w:val="single" w:sz="4" w:space="0" w:color="auto"/>
              <w:right w:val="single" w:sz="4" w:space="0" w:color="auto"/>
            </w:tcBorders>
            <w:shd w:val="clear" w:color="auto" w:fill="auto"/>
            <w:noWrap/>
            <w:vAlign w:val="bottom"/>
            <w:hideMark/>
          </w:tcPr>
          <w:p w14:paraId="74A4FFE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&gt;170</w:t>
            </w:r>
          </w:p>
        </w:tc>
      </w:tr>
      <w:tr w:rsidR="00665066" w:rsidRPr="00665066" w14:paraId="59DCCFB3"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18B1E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Guatemala</w:t>
            </w:r>
          </w:p>
        </w:tc>
        <w:tc>
          <w:tcPr>
            <w:tcW w:w="0" w:type="auto"/>
            <w:tcBorders>
              <w:top w:val="nil"/>
              <w:left w:val="nil"/>
              <w:bottom w:val="single" w:sz="4" w:space="0" w:color="auto"/>
              <w:right w:val="single" w:sz="4" w:space="0" w:color="auto"/>
            </w:tcBorders>
            <w:shd w:val="clear" w:color="auto" w:fill="auto"/>
            <w:noWrap/>
            <w:vAlign w:val="bottom"/>
            <w:hideMark/>
          </w:tcPr>
          <w:p w14:paraId="256DA97C"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Cria</w:t>
            </w:r>
            <w:proofErr w:type="spellEnd"/>
            <w:r w:rsidRPr="00665066">
              <w:rPr>
                <w:rFonts w:ascii="Arial" w:eastAsia="Times New Roman" w:hAnsi="Arial" w:cs="Arial"/>
                <w:color w:val="000000"/>
                <w:sz w:val="16"/>
                <w:szCs w:val="16"/>
                <w:lang w:eastAsia="en-GB"/>
              </w:rPr>
              <w:t xml:space="preserve"> O Gregory </w:t>
            </w:r>
          </w:p>
        </w:tc>
        <w:tc>
          <w:tcPr>
            <w:tcW w:w="0" w:type="auto"/>
            <w:tcBorders>
              <w:top w:val="nil"/>
              <w:left w:val="nil"/>
              <w:bottom w:val="single" w:sz="4" w:space="0" w:color="auto"/>
              <w:right w:val="single" w:sz="4" w:space="0" w:color="auto"/>
            </w:tcBorders>
            <w:shd w:val="clear" w:color="auto" w:fill="auto"/>
            <w:noWrap/>
            <w:vAlign w:val="bottom"/>
            <w:hideMark/>
          </w:tcPr>
          <w:p w14:paraId="7B0BC73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0DE6B2F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1998</w:t>
            </w:r>
          </w:p>
        </w:tc>
        <w:tc>
          <w:tcPr>
            <w:tcW w:w="0" w:type="auto"/>
            <w:tcBorders>
              <w:top w:val="nil"/>
              <w:left w:val="nil"/>
              <w:bottom w:val="single" w:sz="4" w:space="0" w:color="auto"/>
              <w:right w:val="single" w:sz="4" w:space="0" w:color="auto"/>
            </w:tcBorders>
            <w:shd w:val="clear" w:color="auto" w:fill="auto"/>
            <w:noWrap/>
            <w:vAlign w:val="bottom"/>
            <w:hideMark/>
          </w:tcPr>
          <w:p w14:paraId="666D99A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3.53</w:t>
            </w:r>
          </w:p>
        </w:tc>
        <w:tc>
          <w:tcPr>
            <w:tcW w:w="0" w:type="auto"/>
            <w:tcBorders>
              <w:top w:val="nil"/>
              <w:left w:val="nil"/>
              <w:bottom w:val="single" w:sz="4" w:space="0" w:color="auto"/>
              <w:right w:val="single" w:sz="4" w:space="0" w:color="auto"/>
            </w:tcBorders>
            <w:shd w:val="clear" w:color="auto" w:fill="auto"/>
            <w:noWrap/>
            <w:vAlign w:val="bottom"/>
            <w:hideMark/>
          </w:tcPr>
          <w:p w14:paraId="15ACA4A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1B34DC8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5FDF72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0026A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81.03</w:t>
            </w:r>
          </w:p>
        </w:tc>
        <w:tc>
          <w:tcPr>
            <w:tcW w:w="1314" w:type="dxa"/>
            <w:tcBorders>
              <w:top w:val="nil"/>
              <w:left w:val="nil"/>
              <w:bottom w:val="single" w:sz="4" w:space="0" w:color="auto"/>
              <w:right w:val="single" w:sz="4" w:space="0" w:color="auto"/>
            </w:tcBorders>
            <w:shd w:val="clear" w:color="auto" w:fill="auto"/>
            <w:noWrap/>
            <w:vAlign w:val="bottom"/>
            <w:hideMark/>
          </w:tcPr>
          <w:p w14:paraId="1FD8B6E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57EE9A8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28.73</w:t>
            </w:r>
          </w:p>
        </w:tc>
        <w:tc>
          <w:tcPr>
            <w:tcW w:w="866" w:type="dxa"/>
            <w:tcBorders>
              <w:top w:val="nil"/>
              <w:left w:val="nil"/>
              <w:bottom w:val="single" w:sz="4" w:space="0" w:color="auto"/>
              <w:right w:val="single" w:sz="4" w:space="0" w:color="auto"/>
            </w:tcBorders>
            <w:shd w:val="clear" w:color="auto" w:fill="auto"/>
            <w:noWrap/>
            <w:vAlign w:val="bottom"/>
            <w:hideMark/>
          </w:tcPr>
          <w:p w14:paraId="77AA431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40D6CA46"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18FA1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Haiti</w:t>
            </w:r>
          </w:p>
        </w:tc>
        <w:tc>
          <w:tcPr>
            <w:tcW w:w="0" w:type="auto"/>
            <w:tcBorders>
              <w:top w:val="nil"/>
              <w:left w:val="nil"/>
              <w:bottom w:val="single" w:sz="4" w:space="0" w:color="auto"/>
              <w:right w:val="single" w:sz="4" w:space="0" w:color="auto"/>
            </w:tcBorders>
            <w:shd w:val="clear" w:color="auto" w:fill="auto"/>
            <w:noWrap/>
            <w:vAlign w:val="bottom"/>
            <w:hideMark/>
          </w:tcPr>
          <w:p w14:paraId="643F2C0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DeGennaro</w:t>
            </w:r>
          </w:p>
        </w:tc>
        <w:tc>
          <w:tcPr>
            <w:tcW w:w="0" w:type="auto"/>
            <w:tcBorders>
              <w:top w:val="nil"/>
              <w:left w:val="nil"/>
              <w:bottom w:val="single" w:sz="4" w:space="0" w:color="auto"/>
              <w:right w:val="single" w:sz="4" w:space="0" w:color="auto"/>
            </w:tcBorders>
            <w:shd w:val="clear" w:color="auto" w:fill="auto"/>
            <w:noWrap/>
            <w:vAlign w:val="bottom"/>
            <w:hideMark/>
          </w:tcPr>
          <w:p w14:paraId="6689FDE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56DEB1E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385BD81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2.3</w:t>
            </w:r>
          </w:p>
        </w:tc>
        <w:tc>
          <w:tcPr>
            <w:tcW w:w="0" w:type="auto"/>
            <w:tcBorders>
              <w:top w:val="nil"/>
              <w:left w:val="nil"/>
              <w:bottom w:val="single" w:sz="4" w:space="0" w:color="auto"/>
              <w:right w:val="single" w:sz="4" w:space="0" w:color="auto"/>
            </w:tcBorders>
            <w:shd w:val="clear" w:color="auto" w:fill="auto"/>
            <w:noWrap/>
            <w:vAlign w:val="bottom"/>
            <w:hideMark/>
          </w:tcPr>
          <w:p w14:paraId="367DB6C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0FD9FAF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2.7</w:t>
            </w:r>
          </w:p>
        </w:tc>
        <w:tc>
          <w:tcPr>
            <w:tcW w:w="825" w:type="dxa"/>
            <w:tcBorders>
              <w:top w:val="nil"/>
              <w:left w:val="nil"/>
              <w:bottom w:val="single" w:sz="4" w:space="0" w:color="auto"/>
              <w:right w:val="single" w:sz="4" w:space="0" w:color="auto"/>
            </w:tcBorders>
            <w:shd w:val="clear" w:color="auto" w:fill="auto"/>
            <w:noWrap/>
            <w:vAlign w:val="bottom"/>
            <w:hideMark/>
          </w:tcPr>
          <w:p w14:paraId="387E77B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66C30C4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34.7</w:t>
            </w:r>
          </w:p>
        </w:tc>
        <w:tc>
          <w:tcPr>
            <w:tcW w:w="1314" w:type="dxa"/>
            <w:tcBorders>
              <w:top w:val="nil"/>
              <w:left w:val="nil"/>
              <w:bottom w:val="single" w:sz="4" w:space="0" w:color="auto"/>
              <w:right w:val="single" w:sz="4" w:space="0" w:color="auto"/>
            </w:tcBorders>
            <w:shd w:val="clear" w:color="auto" w:fill="auto"/>
            <w:noWrap/>
            <w:vAlign w:val="bottom"/>
            <w:hideMark/>
          </w:tcPr>
          <w:p w14:paraId="63BB027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185A870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7.4</w:t>
            </w:r>
          </w:p>
        </w:tc>
        <w:tc>
          <w:tcPr>
            <w:tcW w:w="866" w:type="dxa"/>
            <w:tcBorders>
              <w:top w:val="nil"/>
              <w:left w:val="nil"/>
              <w:bottom w:val="single" w:sz="4" w:space="0" w:color="auto"/>
              <w:right w:val="single" w:sz="4" w:space="0" w:color="auto"/>
            </w:tcBorders>
            <w:shd w:val="clear" w:color="auto" w:fill="auto"/>
            <w:noWrap/>
            <w:vAlign w:val="bottom"/>
            <w:hideMark/>
          </w:tcPr>
          <w:p w14:paraId="63FB757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06C2293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AAA1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Honduras</w:t>
            </w:r>
          </w:p>
        </w:tc>
        <w:tc>
          <w:tcPr>
            <w:tcW w:w="0" w:type="auto"/>
            <w:tcBorders>
              <w:top w:val="nil"/>
              <w:left w:val="nil"/>
              <w:bottom w:val="single" w:sz="4" w:space="0" w:color="auto"/>
              <w:right w:val="single" w:sz="4" w:space="0" w:color="auto"/>
            </w:tcBorders>
            <w:shd w:val="clear" w:color="auto" w:fill="auto"/>
            <w:noWrap/>
            <w:vAlign w:val="bottom"/>
            <w:hideMark/>
          </w:tcPr>
          <w:p w14:paraId="18FAD7F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Wong-McClure</w:t>
            </w:r>
          </w:p>
        </w:tc>
        <w:tc>
          <w:tcPr>
            <w:tcW w:w="0" w:type="auto"/>
            <w:tcBorders>
              <w:top w:val="nil"/>
              <w:left w:val="nil"/>
              <w:bottom w:val="single" w:sz="4" w:space="0" w:color="auto"/>
              <w:right w:val="single" w:sz="4" w:space="0" w:color="auto"/>
            </w:tcBorders>
            <w:shd w:val="clear" w:color="auto" w:fill="auto"/>
            <w:noWrap/>
            <w:vAlign w:val="bottom"/>
            <w:hideMark/>
          </w:tcPr>
          <w:p w14:paraId="6A3CFD3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40CC28C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73458B1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DF717E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B5BD0B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C626B8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C4B1C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21</w:t>
            </w:r>
          </w:p>
        </w:tc>
        <w:tc>
          <w:tcPr>
            <w:tcW w:w="1314" w:type="dxa"/>
            <w:tcBorders>
              <w:top w:val="nil"/>
              <w:left w:val="nil"/>
              <w:bottom w:val="single" w:sz="4" w:space="0" w:color="auto"/>
              <w:right w:val="single" w:sz="4" w:space="0" w:color="auto"/>
            </w:tcBorders>
            <w:shd w:val="clear" w:color="auto" w:fill="auto"/>
            <w:noWrap/>
            <w:vAlign w:val="bottom"/>
            <w:hideMark/>
          </w:tcPr>
          <w:p w14:paraId="52E3EF1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0D570A4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56</w:t>
            </w:r>
          </w:p>
        </w:tc>
        <w:tc>
          <w:tcPr>
            <w:tcW w:w="866" w:type="dxa"/>
            <w:tcBorders>
              <w:top w:val="nil"/>
              <w:left w:val="nil"/>
              <w:bottom w:val="single" w:sz="4" w:space="0" w:color="auto"/>
              <w:right w:val="single" w:sz="4" w:space="0" w:color="auto"/>
            </w:tcBorders>
            <w:shd w:val="clear" w:color="auto" w:fill="auto"/>
            <w:noWrap/>
            <w:vAlign w:val="bottom"/>
            <w:hideMark/>
          </w:tcPr>
          <w:p w14:paraId="5F3170D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F618CA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B4FA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Honduras</w:t>
            </w:r>
          </w:p>
        </w:tc>
        <w:tc>
          <w:tcPr>
            <w:tcW w:w="0" w:type="auto"/>
            <w:tcBorders>
              <w:top w:val="nil"/>
              <w:left w:val="nil"/>
              <w:bottom w:val="single" w:sz="4" w:space="0" w:color="auto"/>
              <w:right w:val="single" w:sz="4" w:space="0" w:color="auto"/>
            </w:tcBorders>
            <w:shd w:val="clear" w:color="auto" w:fill="auto"/>
            <w:noWrap/>
            <w:vAlign w:val="bottom"/>
            <w:hideMark/>
          </w:tcPr>
          <w:p w14:paraId="76ED80B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xml:space="preserve">Jaime Hall </w:t>
            </w:r>
            <w:proofErr w:type="spellStart"/>
            <w:r w:rsidRPr="00665066">
              <w:rPr>
                <w:rFonts w:ascii="Arial" w:eastAsia="Times New Roman" w:hAnsi="Arial" w:cs="Arial"/>
                <w:color w:val="000000"/>
                <w:sz w:val="16"/>
                <w:szCs w:val="16"/>
                <w:lang w:eastAsia="en-GB"/>
              </w:rPr>
              <w:t>MartÃ</w:t>
            </w:r>
            <w:r w:rsidRPr="00665066">
              <w:rPr>
                <w:rFonts w:ascii="Arial" w:eastAsia="Times New Roman" w:hAnsi="Arial" w:cs="Arial"/>
                <w:color w:val="000000"/>
                <w:sz w:val="16"/>
                <w:szCs w:val="16"/>
                <w:lang w:eastAsia="en-GB"/>
              </w:rPr>
              <w:softHyphen/>
              <w:t>ne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06F981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242A796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2003</w:t>
            </w:r>
          </w:p>
        </w:tc>
        <w:tc>
          <w:tcPr>
            <w:tcW w:w="0" w:type="auto"/>
            <w:tcBorders>
              <w:top w:val="nil"/>
              <w:left w:val="nil"/>
              <w:bottom w:val="single" w:sz="4" w:space="0" w:color="auto"/>
              <w:right w:val="single" w:sz="4" w:space="0" w:color="auto"/>
            </w:tcBorders>
            <w:shd w:val="clear" w:color="auto" w:fill="auto"/>
            <w:noWrap/>
            <w:vAlign w:val="bottom"/>
            <w:hideMark/>
          </w:tcPr>
          <w:p w14:paraId="0C80567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81B1E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491C36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701346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4436CC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9B07AE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2672E9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B72D4F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CC9BFF3"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5CE87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Jamaica</w:t>
            </w:r>
          </w:p>
        </w:tc>
        <w:tc>
          <w:tcPr>
            <w:tcW w:w="0" w:type="auto"/>
            <w:tcBorders>
              <w:top w:val="nil"/>
              <w:left w:val="nil"/>
              <w:bottom w:val="single" w:sz="4" w:space="0" w:color="auto"/>
              <w:right w:val="single" w:sz="4" w:space="0" w:color="auto"/>
            </w:tcBorders>
            <w:shd w:val="clear" w:color="auto" w:fill="auto"/>
            <w:noWrap/>
            <w:vAlign w:val="bottom"/>
            <w:hideMark/>
          </w:tcPr>
          <w:p w14:paraId="534EC6E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Ferguson</w:t>
            </w:r>
          </w:p>
        </w:tc>
        <w:tc>
          <w:tcPr>
            <w:tcW w:w="0" w:type="auto"/>
            <w:tcBorders>
              <w:top w:val="nil"/>
              <w:left w:val="nil"/>
              <w:bottom w:val="single" w:sz="4" w:space="0" w:color="auto"/>
              <w:right w:val="single" w:sz="4" w:space="0" w:color="auto"/>
            </w:tcBorders>
            <w:shd w:val="clear" w:color="auto" w:fill="auto"/>
            <w:noWrap/>
            <w:vAlign w:val="bottom"/>
            <w:hideMark/>
          </w:tcPr>
          <w:p w14:paraId="1030F25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40CEDC4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5AE6AC9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18.1</w:t>
            </w:r>
          </w:p>
        </w:tc>
        <w:tc>
          <w:tcPr>
            <w:tcW w:w="0" w:type="auto"/>
            <w:tcBorders>
              <w:top w:val="nil"/>
              <w:left w:val="nil"/>
              <w:bottom w:val="single" w:sz="4" w:space="0" w:color="auto"/>
              <w:right w:val="single" w:sz="4" w:space="0" w:color="auto"/>
            </w:tcBorders>
            <w:shd w:val="clear" w:color="auto" w:fill="auto"/>
            <w:noWrap/>
            <w:vAlign w:val="bottom"/>
            <w:hideMark/>
          </w:tcPr>
          <w:p w14:paraId="5E77502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&gt;=5.2</w:t>
            </w:r>
          </w:p>
        </w:tc>
        <w:tc>
          <w:tcPr>
            <w:tcW w:w="643" w:type="dxa"/>
            <w:tcBorders>
              <w:top w:val="nil"/>
              <w:left w:val="nil"/>
              <w:bottom w:val="single" w:sz="4" w:space="0" w:color="auto"/>
              <w:right w:val="single" w:sz="4" w:space="0" w:color="auto"/>
            </w:tcBorders>
            <w:shd w:val="clear" w:color="auto" w:fill="auto"/>
            <w:noWrap/>
            <w:vAlign w:val="bottom"/>
            <w:hideMark/>
          </w:tcPr>
          <w:p w14:paraId="2249DBD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68325B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049AA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51826B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A9312C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744284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8526513"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D5A1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Jamaica</w:t>
            </w:r>
          </w:p>
        </w:tc>
        <w:tc>
          <w:tcPr>
            <w:tcW w:w="0" w:type="auto"/>
            <w:tcBorders>
              <w:top w:val="nil"/>
              <w:left w:val="nil"/>
              <w:bottom w:val="single" w:sz="4" w:space="0" w:color="auto"/>
              <w:right w:val="single" w:sz="4" w:space="0" w:color="auto"/>
            </w:tcBorders>
            <w:shd w:val="clear" w:color="auto" w:fill="auto"/>
            <w:noWrap/>
            <w:vAlign w:val="bottom"/>
            <w:hideMark/>
          </w:tcPr>
          <w:p w14:paraId="68ACE4C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Gupta</w:t>
            </w:r>
          </w:p>
        </w:tc>
        <w:tc>
          <w:tcPr>
            <w:tcW w:w="0" w:type="auto"/>
            <w:tcBorders>
              <w:top w:val="nil"/>
              <w:left w:val="nil"/>
              <w:bottom w:val="single" w:sz="4" w:space="0" w:color="auto"/>
              <w:right w:val="single" w:sz="4" w:space="0" w:color="auto"/>
            </w:tcBorders>
            <w:shd w:val="clear" w:color="auto" w:fill="auto"/>
            <w:noWrap/>
            <w:vAlign w:val="bottom"/>
            <w:hideMark/>
          </w:tcPr>
          <w:p w14:paraId="4BD08B3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A78B0C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1996</w:t>
            </w:r>
          </w:p>
        </w:tc>
        <w:tc>
          <w:tcPr>
            <w:tcW w:w="0" w:type="auto"/>
            <w:tcBorders>
              <w:top w:val="nil"/>
              <w:left w:val="nil"/>
              <w:bottom w:val="single" w:sz="4" w:space="0" w:color="auto"/>
              <w:right w:val="single" w:sz="4" w:space="0" w:color="auto"/>
            </w:tcBorders>
            <w:shd w:val="clear" w:color="auto" w:fill="auto"/>
            <w:noWrap/>
            <w:vAlign w:val="bottom"/>
            <w:hideMark/>
          </w:tcPr>
          <w:p w14:paraId="232314F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E9256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24D6F3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FB02F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51472B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C81E87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EBF0A9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206575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62CF9C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FC5F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Jamaica</w:t>
            </w:r>
          </w:p>
        </w:tc>
        <w:tc>
          <w:tcPr>
            <w:tcW w:w="0" w:type="auto"/>
            <w:tcBorders>
              <w:top w:val="nil"/>
              <w:left w:val="nil"/>
              <w:bottom w:val="single" w:sz="4" w:space="0" w:color="auto"/>
              <w:right w:val="single" w:sz="4" w:space="0" w:color="auto"/>
            </w:tcBorders>
            <w:shd w:val="clear" w:color="auto" w:fill="auto"/>
            <w:noWrap/>
            <w:vAlign w:val="bottom"/>
            <w:hideMark/>
          </w:tcPr>
          <w:p w14:paraId="1BD629D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Florey</w:t>
            </w:r>
          </w:p>
        </w:tc>
        <w:tc>
          <w:tcPr>
            <w:tcW w:w="0" w:type="auto"/>
            <w:tcBorders>
              <w:top w:val="nil"/>
              <w:left w:val="nil"/>
              <w:bottom w:val="single" w:sz="4" w:space="0" w:color="auto"/>
              <w:right w:val="single" w:sz="4" w:space="0" w:color="auto"/>
            </w:tcBorders>
            <w:shd w:val="clear" w:color="auto" w:fill="auto"/>
            <w:noWrap/>
            <w:vAlign w:val="bottom"/>
            <w:hideMark/>
          </w:tcPr>
          <w:p w14:paraId="0210140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1973</w:t>
            </w:r>
          </w:p>
        </w:tc>
        <w:tc>
          <w:tcPr>
            <w:tcW w:w="0" w:type="auto"/>
            <w:tcBorders>
              <w:top w:val="nil"/>
              <w:left w:val="nil"/>
              <w:bottom w:val="single" w:sz="4" w:space="0" w:color="auto"/>
              <w:right w:val="single" w:sz="4" w:space="0" w:color="auto"/>
            </w:tcBorders>
            <w:shd w:val="clear" w:color="auto" w:fill="auto"/>
            <w:noWrap/>
            <w:vAlign w:val="bottom"/>
            <w:hideMark/>
          </w:tcPr>
          <w:p w14:paraId="3DDCC16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8F4987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89C40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2312BB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367AF2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BB8300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41879B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A01C88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176D09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80326BC"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767D9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lastRenderedPageBreak/>
              <w:t>Jamaica</w:t>
            </w:r>
          </w:p>
        </w:tc>
        <w:tc>
          <w:tcPr>
            <w:tcW w:w="0" w:type="auto"/>
            <w:tcBorders>
              <w:top w:val="nil"/>
              <w:left w:val="nil"/>
              <w:bottom w:val="single" w:sz="4" w:space="0" w:color="auto"/>
              <w:right w:val="single" w:sz="4" w:space="0" w:color="auto"/>
            </w:tcBorders>
            <w:shd w:val="clear" w:color="auto" w:fill="auto"/>
            <w:noWrap/>
            <w:vAlign w:val="bottom"/>
            <w:hideMark/>
          </w:tcPr>
          <w:p w14:paraId="5ABBE15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Ferguson</w:t>
            </w:r>
          </w:p>
        </w:tc>
        <w:tc>
          <w:tcPr>
            <w:tcW w:w="0" w:type="auto"/>
            <w:tcBorders>
              <w:top w:val="nil"/>
              <w:left w:val="nil"/>
              <w:bottom w:val="single" w:sz="4" w:space="0" w:color="auto"/>
              <w:right w:val="single" w:sz="4" w:space="0" w:color="auto"/>
            </w:tcBorders>
            <w:shd w:val="clear" w:color="auto" w:fill="auto"/>
            <w:noWrap/>
            <w:vAlign w:val="bottom"/>
            <w:hideMark/>
          </w:tcPr>
          <w:p w14:paraId="74C0B34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1FA986A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459E830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D14F09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75EBD4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6890205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35716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94BBD4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9A83BC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60B3BD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32B311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1B14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Jamaica</w:t>
            </w:r>
          </w:p>
        </w:tc>
        <w:tc>
          <w:tcPr>
            <w:tcW w:w="0" w:type="auto"/>
            <w:tcBorders>
              <w:top w:val="nil"/>
              <w:left w:val="nil"/>
              <w:bottom w:val="single" w:sz="4" w:space="0" w:color="auto"/>
              <w:right w:val="single" w:sz="4" w:space="0" w:color="auto"/>
            </w:tcBorders>
            <w:shd w:val="clear" w:color="auto" w:fill="auto"/>
            <w:noWrap/>
            <w:vAlign w:val="bottom"/>
            <w:hideMark/>
          </w:tcPr>
          <w:p w14:paraId="122B708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Ferguson</w:t>
            </w:r>
          </w:p>
        </w:tc>
        <w:tc>
          <w:tcPr>
            <w:tcW w:w="0" w:type="auto"/>
            <w:tcBorders>
              <w:top w:val="nil"/>
              <w:left w:val="nil"/>
              <w:bottom w:val="single" w:sz="4" w:space="0" w:color="auto"/>
              <w:right w:val="single" w:sz="4" w:space="0" w:color="auto"/>
            </w:tcBorders>
            <w:shd w:val="clear" w:color="auto" w:fill="auto"/>
            <w:noWrap/>
            <w:vAlign w:val="bottom"/>
            <w:hideMark/>
          </w:tcPr>
          <w:p w14:paraId="27889C3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3EDD09F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40D561B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51185E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C4B27D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A44480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8C4E7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9AA48B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4B3DA6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2CED0C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974D6F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0702F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Jamaica</w:t>
            </w:r>
          </w:p>
        </w:tc>
        <w:tc>
          <w:tcPr>
            <w:tcW w:w="0" w:type="auto"/>
            <w:tcBorders>
              <w:top w:val="nil"/>
              <w:left w:val="nil"/>
              <w:bottom w:val="single" w:sz="4" w:space="0" w:color="auto"/>
              <w:right w:val="single" w:sz="4" w:space="0" w:color="auto"/>
            </w:tcBorders>
            <w:shd w:val="clear" w:color="auto" w:fill="auto"/>
            <w:noWrap/>
            <w:vAlign w:val="bottom"/>
            <w:hideMark/>
          </w:tcPr>
          <w:p w14:paraId="6708AB3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Tulloch-Reid1</w:t>
            </w:r>
          </w:p>
        </w:tc>
        <w:tc>
          <w:tcPr>
            <w:tcW w:w="0" w:type="auto"/>
            <w:tcBorders>
              <w:top w:val="nil"/>
              <w:left w:val="nil"/>
              <w:bottom w:val="single" w:sz="4" w:space="0" w:color="auto"/>
              <w:right w:val="single" w:sz="4" w:space="0" w:color="auto"/>
            </w:tcBorders>
            <w:shd w:val="clear" w:color="auto" w:fill="auto"/>
            <w:noWrap/>
            <w:vAlign w:val="bottom"/>
            <w:hideMark/>
          </w:tcPr>
          <w:p w14:paraId="529E659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21ACBD5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7AE921E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18.4</w:t>
            </w:r>
          </w:p>
        </w:tc>
        <w:tc>
          <w:tcPr>
            <w:tcW w:w="0" w:type="auto"/>
            <w:tcBorders>
              <w:top w:val="nil"/>
              <w:left w:val="nil"/>
              <w:bottom w:val="single" w:sz="4" w:space="0" w:color="auto"/>
              <w:right w:val="single" w:sz="4" w:space="0" w:color="auto"/>
            </w:tcBorders>
            <w:shd w:val="clear" w:color="auto" w:fill="auto"/>
            <w:noWrap/>
            <w:vAlign w:val="bottom"/>
            <w:hideMark/>
          </w:tcPr>
          <w:p w14:paraId="5CC7611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&gt;=5.2</w:t>
            </w:r>
          </w:p>
        </w:tc>
        <w:tc>
          <w:tcPr>
            <w:tcW w:w="643" w:type="dxa"/>
            <w:tcBorders>
              <w:top w:val="nil"/>
              <w:left w:val="nil"/>
              <w:bottom w:val="single" w:sz="4" w:space="0" w:color="auto"/>
              <w:right w:val="single" w:sz="4" w:space="0" w:color="auto"/>
            </w:tcBorders>
            <w:shd w:val="clear" w:color="auto" w:fill="auto"/>
            <w:noWrap/>
            <w:vAlign w:val="bottom"/>
            <w:hideMark/>
          </w:tcPr>
          <w:p w14:paraId="67E430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81EEE3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5A59CC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D7D691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F35AAE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8E9B94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470B2E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66BDB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Jamaica</w:t>
            </w:r>
          </w:p>
        </w:tc>
        <w:tc>
          <w:tcPr>
            <w:tcW w:w="0" w:type="auto"/>
            <w:tcBorders>
              <w:top w:val="nil"/>
              <w:left w:val="nil"/>
              <w:bottom w:val="single" w:sz="4" w:space="0" w:color="auto"/>
              <w:right w:val="single" w:sz="4" w:space="0" w:color="auto"/>
            </w:tcBorders>
            <w:shd w:val="clear" w:color="auto" w:fill="auto"/>
            <w:noWrap/>
            <w:vAlign w:val="bottom"/>
            <w:hideMark/>
          </w:tcPr>
          <w:p w14:paraId="7A88A0A4"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Stringhini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687B64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7F67AD0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4767034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12.5</w:t>
            </w:r>
          </w:p>
        </w:tc>
        <w:tc>
          <w:tcPr>
            <w:tcW w:w="0" w:type="auto"/>
            <w:tcBorders>
              <w:top w:val="nil"/>
              <w:left w:val="nil"/>
              <w:bottom w:val="single" w:sz="4" w:space="0" w:color="auto"/>
              <w:right w:val="single" w:sz="4" w:space="0" w:color="auto"/>
            </w:tcBorders>
            <w:shd w:val="clear" w:color="auto" w:fill="auto"/>
            <w:noWrap/>
            <w:vAlign w:val="bottom"/>
            <w:hideMark/>
          </w:tcPr>
          <w:p w14:paraId="55F6555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&gt;=5.2</w:t>
            </w:r>
          </w:p>
        </w:tc>
        <w:tc>
          <w:tcPr>
            <w:tcW w:w="643" w:type="dxa"/>
            <w:tcBorders>
              <w:top w:val="nil"/>
              <w:left w:val="nil"/>
              <w:bottom w:val="single" w:sz="4" w:space="0" w:color="auto"/>
              <w:right w:val="single" w:sz="4" w:space="0" w:color="auto"/>
            </w:tcBorders>
            <w:shd w:val="clear" w:color="auto" w:fill="auto"/>
            <w:noWrap/>
            <w:vAlign w:val="bottom"/>
            <w:hideMark/>
          </w:tcPr>
          <w:p w14:paraId="66350FE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CAFB8D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C537C4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49D39E0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661BA5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E36B9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9280A23"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8CAE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2A086E89"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Vinueza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085431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336B30C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323B2C5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16.4</w:t>
            </w:r>
          </w:p>
        </w:tc>
        <w:tc>
          <w:tcPr>
            <w:tcW w:w="0" w:type="auto"/>
            <w:tcBorders>
              <w:top w:val="nil"/>
              <w:left w:val="nil"/>
              <w:bottom w:val="single" w:sz="4" w:space="0" w:color="auto"/>
              <w:right w:val="single" w:sz="4" w:space="0" w:color="auto"/>
            </w:tcBorders>
            <w:shd w:val="clear" w:color="auto" w:fill="auto"/>
            <w:noWrap/>
            <w:vAlign w:val="bottom"/>
            <w:hideMark/>
          </w:tcPr>
          <w:p w14:paraId="231FFA1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1CCA15F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25.6</w:t>
            </w:r>
          </w:p>
        </w:tc>
        <w:tc>
          <w:tcPr>
            <w:tcW w:w="825" w:type="dxa"/>
            <w:tcBorders>
              <w:top w:val="nil"/>
              <w:left w:val="nil"/>
              <w:bottom w:val="single" w:sz="4" w:space="0" w:color="auto"/>
              <w:right w:val="single" w:sz="4" w:space="0" w:color="auto"/>
            </w:tcBorders>
            <w:shd w:val="clear" w:color="auto" w:fill="auto"/>
            <w:noWrap/>
            <w:vAlign w:val="bottom"/>
            <w:hideMark/>
          </w:tcPr>
          <w:p w14:paraId="0FB9041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mixed with Fr</w:t>
            </w:r>
          </w:p>
        </w:tc>
        <w:tc>
          <w:tcPr>
            <w:tcW w:w="0" w:type="auto"/>
            <w:tcBorders>
              <w:top w:val="nil"/>
              <w:left w:val="nil"/>
              <w:bottom w:val="single" w:sz="4" w:space="0" w:color="auto"/>
              <w:right w:val="single" w:sz="4" w:space="0" w:color="auto"/>
            </w:tcBorders>
            <w:shd w:val="clear" w:color="auto" w:fill="auto"/>
            <w:noWrap/>
            <w:vAlign w:val="bottom"/>
            <w:hideMark/>
          </w:tcPr>
          <w:p w14:paraId="47DDAC2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22.6</w:t>
            </w:r>
          </w:p>
        </w:tc>
        <w:tc>
          <w:tcPr>
            <w:tcW w:w="1314" w:type="dxa"/>
            <w:tcBorders>
              <w:top w:val="nil"/>
              <w:left w:val="nil"/>
              <w:bottom w:val="single" w:sz="4" w:space="0" w:color="auto"/>
              <w:right w:val="single" w:sz="4" w:space="0" w:color="auto"/>
            </w:tcBorders>
            <w:shd w:val="clear" w:color="auto" w:fill="auto"/>
            <w:noWrap/>
            <w:vAlign w:val="bottom"/>
            <w:hideMark/>
          </w:tcPr>
          <w:p w14:paraId="1E226C4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29A088E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32.5</w:t>
            </w:r>
          </w:p>
        </w:tc>
        <w:tc>
          <w:tcPr>
            <w:tcW w:w="866" w:type="dxa"/>
            <w:tcBorders>
              <w:top w:val="nil"/>
              <w:left w:val="nil"/>
              <w:bottom w:val="single" w:sz="4" w:space="0" w:color="auto"/>
              <w:right w:val="single" w:sz="4" w:space="0" w:color="auto"/>
            </w:tcBorders>
            <w:shd w:val="clear" w:color="auto" w:fill="auto"/>
            <w:noWrap/>
            <w:vAlign w:val="bottom"/>
            <w:hideMark/>
          </w:tcPr>
          <w:p w14:paraId="0EB1E19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72C1AAA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19C7F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2819341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Rosas-Saucedo</w:t>
            </w:r>
          </w:p>
        </w:tc>
        <w:tc>
          <w:tcPr>
            <w:tcW w:w="0" w:type="auto"/>
            <w:tcBorders>
              <w:top w:val="nil"/>
              <w:left w:val="nil"/>
              <w:bottom w:val="single" w:sz="4" w:space="0" w:color="auto"/>
              <w:right w:val="single" w:sz="4" w:space="0" w:color="auto"/>
            </w:tcBorders>
            <w:shd w:val="clear" w:color="auto" w:fill="auto"/>
            <w:noWrap/>
            <w:vAlign w:val="bottom"/>
            <w:hideMark/>
          </w:tcPr>
          <w:p w14:paraId="69F0E6D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59D5C48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E1BF9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34.3</w:t>
            </w:r>
          </w:p>
        </w:tc>
        <w:tc>
          <w:tcPr>
            <w:tcW w:w="0" w:type="auto"/>
            <w:tcBorders>
              <w:top w:val="nil"/>
              <w:left w:val="nil"/>
              <w:bottom w:val="single" w:sz="4" w:space="0" w:color="auto"/>
              <w:right w:val="single" w:sz="4" w:space="0" w:color="auto"/>
            </w:tcBorders>
            <w:shd w:val="clear" w:color="auto" w:fill="auto"/>
            <w:noWrap/>
            <w:vAlign w:val="bottom"/>
            <w:hideMark/>
          </w:tcPr>
          <w:p w14:paraId="077F0AE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2FD2D34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60038F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195297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265027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81B69B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45</w:t>
            </w:r>
          </w:p>
        </w:tc>
        <w:tc>
          <w:tcPr>
            <w:tcW w:w="866" w:type="dxa"/>
            <w:tcBorders>
              <w:top w:val="nil"/>
              <w:left w:val="nil"/>
              <w:bottom w:val="single" w:sz="4" w:space="0" w:color="auto"/>
              <w:right w:val="single" w:sz="4" w:space="0" w:color="auto"/>
            </w:tcBorders>
            <w:shd w:val="clear" w:color="auto" w:fill="auto"/>
            <w:noWrap/>
            <w:vAlign w:val="bottom"/>
            <w:hideMark/>
          </w:tcPr>
          <w:p w14:paraId="6EB361F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FC8AF1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BA60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5BDC1AC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Sanchez-Corona</w:t>
            </w:r>
          </w:p>
        </w:tc>
        <w:tc>
          <w:tcPr>
            <w:tcW w:w="0" w:type="auto"/>
            <w:tcBorders>
              <w:top w:val="nil"/>
              <w:left w:val="nil"/>
              <w:bottom w:val="single" w:sz="4" w:space="0" w:color="auto"/>
              <w:right w:val="single" w:sz="4" w:space="0" w:color="auto"/>
            </w:tcBorders>
            <w:shd w:val="clear" w:color="auto" w:fill="auto"/>
            <w:noWrap/>
            <w:vAlign w:val="bottom"/>
            <w:hideMark/>
          </w:tcPr>
          <w:p w14:paraId="25FD0B4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77A696B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F0778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025F42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B15011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FD6D5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BBE2D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5F9B88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829FBB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DABB84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EA79DF9"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F0F9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778DE01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Aguilar-Salinas</w:t>
            </w:r>
          </w:p>
        </w:tc>
        <w:tc>
          <w:tcPr>
            <w:tcW w:w="0" w:type="auto"/>
            <w:tcBorders>
              <w:top w:val="nil"/>
              <w:left w:val="nil"/>
              <w:bottom w:val="single" w:sz="4" w:space="0" w:color="auto"/>
              <w:right w:val="single" w:sz="4" w:space="0" w:color="auto"/>
            </w:tcBorders>
            <w:shd w:val="clear" w:color="auto" w:fill="auto"/>
            <w:noWrap/>
            <w:vAlign w:val="bottom"/>
            <w:hideMark/>
          </w:tcPr>
          <w:p w14:paraId="18DC050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2002</w:t>
            </w:r>
          </w:p>
        </w:tc>
        <w:tc>
          <w:tcPr>
            <w:tcW w:w="0" w:type="auto"/>
            <w:tcBorders>
              <w:top w:val="nil"/>
              <w:left w:val="nil"/>
              <w:bottom w:val="single" w:sz="4" w:space="0" w:color="auto"/>
              <w:right w:val="single" w:sz="4" w:space="0" w:color="auto"/>
            </w:tcBorders>
            <w:shd w:val="clear" w:color="auto" w:fill="auto"/>
            <w:noWrap/>
            <w:vAlign w:val="bottom"/>
            <w:hideMark/>
          </w:tcPr>
          <w:p w14:paraId="4BB938C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1993</w:t>
            </w:r>
          </w:p>
        </w:tc>
        <w:tc>
          <w:tcPr>
            <w:tcW w:w="0" w:type="auto"/>
            <w:tcBorders>
              <w:top w:val="nil"/>
              <w:left w:val="nil"/>
              <w:bottom w:val="single" w:sz="4" w:space="0" w:color="auto"/>
              <w:right w:val="single" w:sz="4" w:space="0" w:color="auto"/>
            </w:tcBorders>
            <w:shd w:val="clear" w:color="auto" w:fill="auto"/>
            <w:noWrap/>
            <w:vAlign w:val="bottom"/>
            <w:hideMark/>
          </w:tcPr>
          <w:p w14:paraId="1BC316D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64FD79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600EE9D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72DAE1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E7D02D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4CE30BC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D47E67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A61A29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3C4E747C"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6443D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248BFFB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Aguilar-Salinas</w:t>
            </w:r>
          </w:p>
        </w:tc>
        <w:tc>
          <w:tcPr>
            <w:tcW w:w="0" w:type="auto"/>
            <w:tcBorders>
              <w:top w:val="nil"/>
              <w:left w:val="nil"/>
              <w:bottom w:val="single" w:sz="4" w:space="0" w:color="auto"/>
              <w:right w:val="single" w:sz="4" w:space="0" w:color="auto"/>
            </w:tcBorders>
            <w:shd w:val="clear" w:color="auto" w:fill="auto"/>
            <w:noWrap/>
            <w:vAlign w:val="bottom"/>
            <w:hideMark/>
          </w:tcPr>
          <w:p w14:paraId="29DD596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BBAD8E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2000</w:t>
            </w:r>
          </w:p>
        </w:tc>
        <w:tc>
          <w:tcPr>
            <w:tcW w:w="0" w:type="auto"/>
            <w:tcBorders>
              <w:top w:val="nil"/>
              <w:left w:val="nil"/>
              <w:bottom w:val="single" w:sz="4" w:space="0" w:color="auto"/>
              <w:right w:val="single" w:sz="4" w:space="0" w:color="auto"/>
            </w:tcBorders>
            <w:shd w:val="clear" w:color="auto" w:fill="auto"/>
            <w:noWrap/>
            <w:vAlign w:val="bottom"/>
            <w:hideMark/>
          </w:tcPr>
          <w:p w14:paraId="3A1FB04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CBB04A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DAFACC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7851E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8FB484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B10D9A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4079EFC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0F0433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4CCE0B98"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D7900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70BDA50C" w14:textId="77777777" w:rsidR="00665066" w:rsidRPr="00665066" w:rsidRDefault="00665066" w:rsidP="00665066">
            <w:pPr>
              <w:spacing w:after="0" w:line="240" w:lineRule="auto"/>
              <w:rPr>
                <w:rFonts w:ascii="Arial" w:eastAsia="Times New Roman" w:hAnsi="Arial" w:cs="Arial"/>
                <w:color w:val="000000"/>
                <w:sz w:val="16"/>
                <w:szCs w:val="16"/>
                <w:lang w:val="es-PE" w:eastAsia="en-GB"/>
              </w:rPr>
            </w:pPr>
            <w:r w:rsidRPr="00665066">
              <w:rPr>
                <w:rFonts w:ascii="Arial" w:eastAsia="Times New Roman" w:hAnsi="Arial" w:cs="Arial"/>
                <w:color w:val="000000"/>
                <w:sz w:val="16"/>
                <w:szCs w:val="16"/>
                <w:lang w:val="es-PE" w:eastAsia="en-GB"/>
              </w:rPr>
              <w:t xml:space="preserve">Escobedo de la </w:t>
            </w:r>
            <w:proofErr w:type="spellStart"/>
            <w:r w:rsidRPr="00665066">
              <w:rPr>
                <w:rFonts w:ascii="Arial" w:eastAsia="Times New Roman" w:hAnsi="Arial" w:cs="Arial"/>
                <w:color w:val="000000"/>
                <w:sz w:val="16"/>
                <w:szCs w:val="16"/>
                <w:lang w:val="es-PE" w:eastAsia="en-GB"/>
              </w:rPr>
              <w:t>PeÃ±a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671C04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2014</w:t>
            </w:r>
          </w:p>
        </w:tc>
        <w:tc>
          <w:tcPr>
            <w:tcW w:w="0" w:type="auto"/>
            <w:tcBorders>
              <w:top w:val="nil"/>
              <w:left w:val="nil"/>
              <w:bottom w:val="single" w:sz="4" w:space="0" w:color="auto"/>
              <w:right w:val="single" w:sz="4" w:space="0" w:color="auto"/>
            </w:tcBorders>
            <w:shd w:val="clear" w:color="auto" w:fill="auto"/>
            <w:noWrap/>
            <w:vAlign w:val="bottom"/>
            <w:hideMark/>
          </w:tcPr>
          <w:p w14:paraId="44E98A6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4E6F76D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16.4</w:t>
            </w:r>
          </w:p>
        </w:tc>
        <w:tc>
          <w:tcPr>
            <w:tcW w:w="0" w:type="auto"/>
            <w:tcBorders>
              <w:top w:val="nil"/>
              <w:left w:val="nil"/>
              <w:bottom w:val="single" w:sz="4" w:space="0" w:color="auto"/>
              <w:right w:val="single" w:sz="4" w:space="0" w:color="auto"/>
            </w:tcBorders>
            <w:shd w:val="clear" w:color="auto" w:fill="auto"/>
            <w:noWrap/>
            <w:vAlign w:val="bottom"/>
            <w:hideMark/>
          </w:tcPr>
          <w:p w14:paraId="2530209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425F9AB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12.3</w:t>
            </w:r>
          </w:p>
        </w:tc>
        <w:tc>
          <w:tcPr>
            <w:tcW w:w="825" w:type="dxa"/>
            <w:tcBorders>
              <w:top w:val="nil"/>
              <w:left w:val="nil"/>
              <w:bottom w:val="single" w:sz="4" w:space="0" w:color="auto"/>
              <w:right w:val="single" w:sz="4" w:space="0" w:color="auto"/>
            </w:tcBorders>
            <w:shd w:val="clear" w:color="auto" w:fill="auto"/>
            <w:noWrap/>
            <w:vAlign w:val="bottom"/>
            <w:hideMark/>
          </w:tcPr>
          <w:p w14:paraId="68C0735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3A14D3C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22.6</w:t>
            </w:r>
          </w:p>
        </w:tc>
        <w:tc>
          <w:tcPr>
            <w:tcW w:w="1314" w:type="dxa"/>
            <w:tcBorders>
              <w:top w:val="nil"/>
              <w:left w:val="nil"/>
              <w:bottom w:val="single" w:sz="4" w:space="0" w:color="auto"/>
              <w:right w:val="single" w:sz="4" w:space="0" w:color="auto"/>
            </w:tcBorders>
            <w:shd w:val="clear" w:color="auto" w:fill="auto"/>
            <w:noWrap/>
            <w:vAlign w:val="bottom"/>
            <w:hideMark/>
          </w:tcPr>
          <w:p w14:paraId="4C0D3B9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32B479A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32.5</w:t>
            </w:r>
          </w:p>
        </w:tc>
        <w:tc>
          <w:tcPr>
            <w:tcW w:w="866" w:type="dxa"/>
            <w:tcBorders>
              <w:top w:val="nil"/>
              <w:left w:val="nil"/>
              <w:bottom w:val="single" w:sz="4" w:space="0" w:color="auto"/>
              <w:right w:val="single" w:sz="4" w:space="0" w:color="auto"/>
            </w:tcBorders>
            <w:shd w:val="clear" w:color="auto" w:fill="auto"/>
            <w:noWrap/>
            <w:vAlign w:val="bottom"/>
            <w:hideMark/>
          </w:tcPr>
          <w:p w14:paraId="50AB0AE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1C445A5A"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9FB19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646CD2DB"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EchevarrÃ</w:t>
            </w:r>
            <w:r w:rsidRPr="00665066">
              <w:rPr>
                <w:rFonts w:ascii="Arial" w:eastAsia="Times New Roman" w:hAnsi="Arial" w:cs="Arial"/>
                <w:color w:val="000000"/>
                <w:sz w:val="16"/>
                <w:szCs w:val="16"/>
                <w:lang w:eastAsia="en-GB"/>
              </w:rPr>
              <w:softHyphen/>
              <w:t>a-Pinto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E2161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2575635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2370E04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594F0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9387DD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740FFA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39C228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7E64B4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8E1896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61.6</w:t>
            </w:r>
          </w:p>
        </w:tc>
        <w:tc>
          <w:tcPr>
            <w:tcW w:w="866" w:type="dxa"/>
            <w:tcBorders>
              <w:top w:val="nil"/>
              <w:left w:val="nil"/>
              <w:bottom w:val="single" w:sz="4" w:space="0" w:color="auto"/>
              <w:right w:val="single" w:sz="4" w:space="0" w:color="auto"/>
            </w:tcBorders>
            <w:shd w:val="clear" w:color="auto" w:fill="auto"/>
            <w:noWrap/>
            <w:vAlign w:val="bottom"/>
            <w:hideMark/>
          </w:tcPr>
          <w:p w14:paraId="6F61F6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12B6CB9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4AFB8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289F17F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Salas</w:t>
            </w:r>
          </w:p>
        </w:tc>
        <w:tc>
          <w:tcPr>
            <w:tcW w:w="0" w:type="auto"/>
            <w:tcBorders>
              <w:top w:val="nil"/>
              <w:left w:val="nil"/>
              <w:bottom w:val="single" w:sz="4" w:space="0" w:color="auto"/>
              <w:right w:val="single" w:sz="4" w:space="0" w:color="auto"/>
            </w:tcBorders>
            <w:shd w:val="clear" w:color="auto" w:fill="auto"/>
            <w:noWrap/>
            <w:vAlign w:val="bottom"/>
            <w:hideMark/>
          </w:tcPr>
          <w:p w14:paraId="7A666C7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465BEAF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4F53037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B9BDD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6B5668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82B3F6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2D388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44.39</w:t>
            </w:r>
          </w:p>
        </w:tc>
        <w:tc>
          <w:tcPr>
            <w:tcW w:w="1314" w:type="dxa"/>
            <w:tcBorders>
              <w:top w:val="nil"/>
              <w:left w:val="nil"/>
              <w:bottom w:val="single" w:sz="4" w:space="0" w:color="auto"/>
              <w:right w:val="single" w:sz="4" w:space="0" w:color="auto"/>
            </w:tcBorders>
            <w:shd w:val="clear" w:color="auto" w:fill="auto"/>
            <w:noWrap/>
            <w:vAlign w:val="bottom"/>
            <w:hideMark/>
          </w:tcPr>
          <w:p w14:paraId="47DD62A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&lt;45 (women)</w:t>
            </w:r>
          </w:p>
        </w:tc>
        <w:tc>
          <w:tcPr>
            <w:tcW w:w="590" w:type="dxa"/>
            <w:tcBorders>
              <w:top w:val="nil"/>
              <w:left w:val="nil"/>
              <w:bottom w:val="single" w:sz="4" w:space="0" w:color="auto"/>
              <w:right w:val="single" w:sz="4" w:space="0" w:color="auto"/>
            </w:tcBorders>
            <w:shd w:val="clear" w:color="auto" w:fill="auto"/>
            <w:noWrap/>
            <w:vAlign w:val="bottom"/>
            <w:hideMark/>
          </w:tcPr>
          <w:p w14:paraId="131ED74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48.3</w:t>
            </w:r>
          </w:p>
        </w:tc>
        <w:tc>
          <w:tcPr>
            <w:tcW w:w="866" w:type="dxa"/>
            <w:tcBorders>
              <w:top w:val="nil"/>
              <w:left w:val="nil"/>
              <w:bottom w:val="single" w:sz="4" w:space="0" w:color="auto"/>
              <w:right w:val="single" w:sz="4" w:space="0" w:color="auto"/>
            </w:tcBorders>
            <w:shd w:val="clear" w:color="auto" w:fill="auto"/>
            <w:noWrap/>
            <w:vAlign w:val="bottom"/>
            <w:hideMark/>
          </w:tcPr>
          <w:p w14:paraId="21353E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7336EE0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D0B2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4E9223A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Rodriguez-Moran</w:t>
            </w:r>
          </w:p>
        </w:tc>
        <w:tc>
          <w:tcPr>
            <w:tcW w:w="0" w:type="auto"/>
            <w:tcBorders>
              <w:top w:val="nil"/>
              <w:left w:val="nil"/>
              <w:bottom w:val="single" w:sz="4" w:space="0" w:color="auto"/>
              <w:right w:val="single" w:sz="4" w:space="0" w:color="auto"/>
            </w:tcBorders>
            <w:shd w:val="clear" w:color="auto" w:fill="auto"/>
            <w:noWrap/>
            <w:vAlign w:val="bottom"/>
            <w:hideMark/>
          </w:tcPr>
          <w:p w14:paraId="576E658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4139DE2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40C96D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204C9E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CC22AB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FED5D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32CCE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7EC2D5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A95020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17BBE0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BA95CF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57A08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45B5FDE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Rodriguez-Ramirez</w:t>
            </w:r>
          </w:p>
        </w:tc>
        <w:tc>
          <w:tcPr>
            <w:tcW w:w="0" w:type="auto"/>
            <w:tcBorders>
              <w:top w:val="nil"/>
              <w:left w:val="nil"/>
              <w:bottom w:val="single" w:sz="4" w:space="0" w:color="auto"/>
              <w:right w:val="single" w:sz="4" w:space="0" w:color="auto"/>
            </w:tcBorders>
            <w:shd w:val="clear" w:color="auto" w:fill="auto"/>
            <w:noWrap/>
            <w:vAlign w:val="bottom"/>
            <w:hideMark/>
          </w:tcPr>
          <w:p w14:paraId="71D9B2B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47A9509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584DF4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575C83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628F76C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4CD31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E34B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0DE19D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392D23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297FBF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0AC8A8D"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F3DD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5FD4A5C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Posadas-Romero</w:t>
            </w:r>
          </w:p>
        </w:tc>
        <w:tc>
          <w:tcPr>
            <w:tcW w:w="0" w:type="auto"/>
            <w:tcBorders>
              <w:top w:val="nil"/>
              <w:left w:val="nil"/>
              <w:bottom w:val="single" w:sz="4" w:space="0" w:color="auto"/>
              <w:right w:val="single" w:sz="4" w:space="0" w:color="auto"/>
            </w:tcBorders>
            <w:shd w:val="clear" w:color="auto" w:fill="auto"/>
            <w:noWrap/>
            <w:vAlign w:val="bottom"/>
            <w:hideMark/>
          </w:tcPr>
          <w:p w14:paraId="7BE92F2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1995</w:t>
            </w:r>
          </w:p>
        </w:tc>
        <w:tc>
          <w:tcPr>
            <w:tcW w:w="0" w:type="auto"/>
            <w:tcBorders>
              <w:top w:val="nil"/>
              <w:left w:val="nil"/>
              <w:bottom w:val="single" w:sz="4" w:space="0" w:color="auto"/>
              <w:right w:val="single" w:sz="4" w:space="0" w:color="auto"/>
            </w:tcBorders>
            <w:shd w:val="clear" w:color="auto" w:fill="auto"/>
            <w:noWrap/>
            <w:vAlign w:val="bottom"/>
            <w:hideMark/>
          </w:tcPr>
          <w:p w14:paraId="3BC356F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1987</w:t>
            </w:r>
          </w:p>
        </w:tc>
        <w:tc>
          <w:tcPr>
            <w:tcW w:w="0" w:type="auto"/>
            <w:tcBorders>
              <w:top w:val="nil"/>
              <w:left w:val="nil"/>
              <w:bottom w:val="single" w:sz="4" w:space="0" w:color="auto"/>
              <w:right w:val="single" w:sz="4" w:space="0" w:color="auto"/>
            </w:tcBorders>
            <w:shd w:val="clear" w:color="auto" w:fill="auto"/>
            <w:noWrap/>
            <w:vAlign w:val="bottom"/>
            <w:hideMark/>
          </w:tcPr>
          <w:p w14:paraId="4FEC338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10.6</w:t>
            </w:r>
          </w:p>
        </w:tc>
        <w:tc>
          <w:tcPr>
            <w:tcW w:w="0" w:type="auto"/>
            <w:tcBorders>
              <w:top w:val="nil"/>
              <w:left w:val="nil"/>
              <w:bottom w:val="single" w:sz="4" w:space="0" w:color="auto"/>
              <w:right w:val="single" w:sz="4" w:space="0" w:color="auto"/>
            </w:tcBorders>
            <w:shd w:val="clear" w:color="auto" w:fill="auto"/>
            <w:noWrap/>
            <w:vAlign w:val="bottom"/>
            <w:hideMark/>
          </w:tcPr>
          <w:p w14:paraId="338258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&gt;=6.2</w:t>
            </w:r>
          </w:p>
        </w:tc>
        <w:tc>
          <w:tcPr>
            <w:tcW w:w="643" w:type="dxa"/>
            <w:tcBorders>
              <w:top w:val="nil"/>
              <w:left w:val="nil"/>
              <w:bottom w:val="single" w:sz="4" w:space="0" w:color="auto"/>
              <w:right w:val="single" w:sz="4" w:space="0" w:color="auto"/>
            </w:tcBorders>
            <w:shd w:val="clear" w:color="auto" w:fill="auto"/>
            <w:noWrap/>
            <w:vAlign w:val="bottom"/>
            <w:hideMark/>
          </w:tcPr>
          <w:p w14:paraId="2A83598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C0E165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7BC4F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E40553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5128AE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368A5C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0BEC3A2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4C131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7F8571A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Valdez</w:t>
            </w:r>
          </w:p>
        </w:tc>
        <w:tc>
          <w:tcPr>
            <w:tcW w:w="0" w:type="auto"/>
            <w:tcBorders>
              <w:top w:val="nil"/>
              <w:left w:val="nil"/>
              <w:bottom w:val="single" w:sz="4" w:space="0" w:color="auto"/>
              <w:right w:val="single" w:sz="4" w:space="0" w:color="auto"/>
            </w:tcBorders>
            <w:shd w:val="clear" w:color="auto" w:fill="auto"/>
            <w:noWrap/>
            <w:vAlign w:val="bottom"/>
            <w:hideMark/>
          </w:tcPr>
          <w:p w14:paraId="3D672AF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1995</w:t>
            </w:r>
          </w:p>
        </w:tc>
        <w:tc>
          <w:tcPr>
            <w:tcW w:w="0" w:type="auto"/>
            <w:tcBorders>
              <w:top w:val="nil"/>
              <w:left w:val="nil"/>
              <w:bottom w:val="single" w:sz="4" w:space="0" w:color="auto"/>
              <w:right w:val="single" w:sz="4" w:space="0" w:color="auto"/>
            </w:tcBorders>
            <w:shd w:val="clear" w:color="auto" w:fill="auto"/>
            <w:noWrap/>
            <w:vAlign w:val="bottom"/>
            <w:hideMark/>
          </w:tcPr>
          <w:p w14:paraId="39E8A1F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1991</w:t>
            </w:r>
          </w:p>
        </w:tc>
        <w:tc>
          <w:tcPr>
            <w:tcW w:w="0" w:type="auto"/>
            <w:tcBorders>
              <w:top w:val="nil"/>
              <w:left w:val="nil"/>
              <w:bottom w:val="single" w:sz="4" w:space="0" w:color="auto"/>
              <w:right w:val="single" w:sz="4" w:space="0" w:color="auto"/>
            </w:tcBorders>
            <w:shd w:val="clear" w:color="auto" w:fill="auto"/>
            <w:noWrap/>
            <w:vAlign w:val="bottom"/>
            <w:hideMark/>
          </w:tcPr>
          <w:p w14:paraId="2C9994A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AE9DA4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8670A4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401A8F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EBB286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D08CA4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544289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2D5B77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D3C28A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80CA8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67E78D3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Kumar</w:t>
            </w:r>
          </w:p>
        </w:tc>
        <w:tc>
          <w:tcPr>
            <w:tcW w:w="0" w:type="auto"/>
            <w:tcBorders>
              <w:top w:val="nil"/>
              <w:left w:val="nil"/>
              <w:bottom w:val="single" w:sz="4" w:space="0" w:color="auto"/>
              <w:right w:val="single" w:sz="4" w:space="0" w:color="auto"/>
            </w:tcBorders>
            <w:shd w:val="clear" w:color="auto" w:fill="auto"/>
            <w:noWrap/>
            <w:vAlign w:val="bottom"/>
            <w:hideMark/>
          </w:tcPr>
          <w:p w14:paraId="39224D5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73FD719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2001</w:t>
            </w:r>
          </w:p>
        </w:tc>
        <w:tc>
          <w:tcPr>
            <w:tcW w:w="0" w:type="auto"/>
            <w:tcBorders>
              <w:top w:val="nil"/>
              <w:left w:val="nil"/>
              <w:bottom w:val="single" w:sz="4" w:space="0" w:color="auto"/>
              <w:right w:val="single" w:sz="4" w:space="0" w:color="auto"/>
            </w:tcBorders>
            <w:shd w:val="clear" w:color="auto" w:fill="auto"/>
            <w:noWrap/>
            <w:vAlign w:val="bottom"/>
            <w:hideMark/>
          </w:tcPr>
          <w:p w14:paraId="5CFBCB8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40.95</w:t>
            </w:r>
          </w:p>
        </w:tc>
        <w:tc>
          <w:tcPr>
            <w:tcW w:w="0" w:type="auto"/>
            <w:tcBorders>
              <w:top w:val="nil"/>
              <w:left w:val="nil"/>
              <w:bottom w:val="single" w:sz="4" w:space="0" w:color="auto"/>
              <w:right w:val="single" w:sz="4" w:space="0" w:color="auto"/>
            </w:tcBorders>
            <w:shd w:val="clear" w:color="auto" w:fill="auto"/>
            <w:noWrap/>
            <w:vAlign w:val="bottom"/>
            <w:hideMark/>
          </w:tcPr>
          <w:p w14:paraId="42BAF44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193AD8A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197799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2011F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69.25</w:t>
            </w:r>
          </w:p>
        </w:tc>
        <w:tc>
          <w:tcPr>
            <w:tcW w:w="1314" w:type="dxa"/>
            <w:tcBorders>
              <w:top w:val="nil"/>
              <w:left w:val="nil"/>
              <w:bottom w:val="single" w:sz="4" w:space="0" w:color="auto"/>
              <w:right w:val="single" w:sz="4" w:space="0" w:color="auto"/>
            </w:tcBorders>
            <w:shd w:val="clear" w:color="auto" w:fill="auto"/>
            <w:noWrap/>
            <w:vAlign w:val="bottom"/>
            <w:hideMark/>
          </w:tcPr>
          <w:p w14:paraId="085DD32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12793FE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095C89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788717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EF37E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1F41429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xml:space="preserve">Hernandez </w:t>
            </w:r>
          </w:p>
        </w:tc>
        <w:tc>
          <w:tcPr>
            <w:tcW w:w="0" w:type="auto"/>
            <w:tcBorders>
              <w:top w:val="nil"/>
              <w:left w:val="nil"/>
              <w:bottom w:val="single" w:sz="4" w:space="0" w:color="auto"/>
              <w:right w:val="single" w:sz="4" w:space="0" w:color="auto"/>
            </w:tcBorders>
            <w:shd w:val="clear" w:color="auto" w:fill="auto"/>
            <w:noWrap/>
            <w:vAlign w:val="bottom"/>
            <w:hideMark/>
          </w:tcPr>
          <w:p w14:paraId="25A5276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4BE54DE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2012</w:t>
            </w:r>
          </w:p>
        </w:tc>
        <w:tc>
          <w:tcPr>
            <w:tcW w:w="0" w:type="auto"/>
            <w:tcBorders>
              <w:top w:val="nil"/>
              <w:left w:val="nil"/>
              <w:bottom w:val="single" w:sz="4" w:space="0" w:color="auto"/>
              <w:right w:val="single" w:sz="4" w:space="0" w:color="auto"/>
            </w:tcBorders>
            <w:shd w:val="clear" w:color="auto" w:fill="auto"/>
            <w:noWrap/>
            <w:vAlign w:val="bottom"/>
            <w:hideMark/>
          </w:tcPr>
          <w:p w14:paraId="36EA1BD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37.3</w:t>
            </w:r>
          </w:p>
        </w:tc>
        <w:tc>
          <w:tcPr>
            <w:tcW w:w="0" w:type="auto"/>
            <w:tcBorders>
              <w:top w:val="nil"/>
              <w:left w:val="nil"/>
              <w:bottom w:val="single" w:sz="4" w:space="0" w:color="auto"/>
              <w:right w:val="single" w:sz="4" w:space="0" w:color="auto"/>
            </w:tcBorders>
            <w:shd w:val="clear" w:color="auto" w:fill="auto"/>
            <w:noWrap/>
            <w:vAlign w:val="bottom"/>
            <w:hideMark/>
          </w:tcPr>
          <w:p w14:paraId="4E3BC6A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6641A91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00009A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C7F3E0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87AB39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64949F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64.9</w:t>
            </w:r>
          </w:p>
        </w:tc>
        <w:tc>
          <w:tcPr>
            <w:tcW w:w="866" w:type="dxa"/>
            <w:tcBorders>
              <w:top w:val="nil"/>
              <w:left w:val="nil"/>
              <w:bottom w:val="single" w:sz="4" w:space="0" w:color="auto"/>
              <w:right w:val="single" w:sz="4" w:space="0" w:color="auto"/>
            </w:tcBorders>
            <w:shd w:val="clear" w:color="auto" w:fill="auto"/>
            <w:noWrap/>
            <w:vAlign w:val="bottom"/>
            <w:hideMark/>
          </w:tcPr>
          <w:p w14:paraId="74A7E1A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428B239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7522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40A6DA1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Posadas-Romero</w:t>
            </w:r>
          </w:p>
        </w:tc>
        <w:tc>
          <w:tcPr>
            <w:tcW w:w="0" w:type="auto"/>
            <w:tcBorders>
              <w:top w:val="nil"/>
              <w:left w:val="nil"/>
              <w:bottom w:val="single" w:sz="4" w:space="0" w:color="auto"/>
              <w:right w:val="single" w:sz="4" w:space="0" w:color="auto"/>
            </w:tcBorders>
            <w:shd w:val="clear" w:color="auto" w:fill="auto"/>
            <w:noWrap/>
            <w:vAlign w:val="bottom"/>
            <w:hideMark/>
          </w:tcPr>
          <w:p w14:paraId="5C0A11F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1994</w:t>
            </w:r>
          </w:p>
        </w:tc>
        <w:tc>
          <w:tcPr>
            <w:tcW w:w="0" w:type="auto"/>
            <w:tcBorders>
              <w:top w:val="nil"/>
              <w:left w:val="nil"/>
              <w:bottom w:val="single" w:sz="4" w:space="0" w:color="auto"/>
              <w:right w:val="single" w:sz="4" w:space="0" w:color="auto"/>
            </w:tcBorders>
            <w:shd w:val="clear" w:color="auto" w:fill="auto"/>
            <w:noWrap/>
            <w:vAlign w:val="bottom"/>
            <w:hideMark/>
          </w:tcPr>
          <w:p w14:paraId="095F96C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1991</w:t>
            </w:r>
          </w:p>
        </w:tc>
        <w:tc>
          <w:tcPr>
            <w:tcW w:w="0" w:type="auto"/>
            <w:tcBorders>
              <w:top w:val="nil"/>
              <w:left w:val="nil"/>
              <w:bottom w:val="single" w:sz="4" w:space="0" w:color="auto"/>
              <w:right w:val="single" w:sz="4" w:space="0" w:color="auto"/>
            </w:tcBorders>
            <w:shd w:val="clear" w:color="auto" w:fill="auto"/>
            <w:noWrap/>
            <w:vAlign w:val="bottom"/>
            <w:hideMark/>
          </w:tcPr>
          <w:p w14:paraId="33293C8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003926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415772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689E4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31B2BB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46901D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B797B2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E77BC9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BBE2B3A"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E1CBF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675AE10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Aguilar</w:t>
            </w:r>
          </w:p>
        </w:tc>
        <w:tc>
          <w:tcPr>
            <w:tcW w:w="0" w:type="auto"/>
            <w:tcBorders>
              <w:top w:val="nil"/>
              <w:left w:val="nil"/>
              <w:bottom w:val="single" w:sz="4" w:space="0" w:color="auto"/>
              <w:right w:val="single" w:sz="4" w:space="0" w:color="auto"/>
            </w:tcBorders>
            <w:shd w:val="clear" w:color="auto" w:fill="auto"/>
            <w:noWrap/>
            <w:vAlign w:val="bottom"/>
            <w:hideMark/>
          </w:tcPr>
          <w:p w14:paraId="2478A89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1999</w:t>
            </w:r>
          </w:p>
        </w:tc>
        <w:tc>
          <w:tcPr>
            <w:tcW w:w="0" w:type="auto"/>
            <w:tcBorders>
              <w:top w:val="nil"/>
              <w:left w:val="nil"/>
              <w:bottom w:val="single" w:sz="4" w:space="0" w:color="auto"/>
              <w:right w:val="single" w:sz="4" w:space="0" w:color="auto"/>
            </w:tcBorders>
            <w:shd w:val="clear" w:color="auto" w:fill="auto"/>
            <w:noWrap/>
            <w:vAlign w:val="bottom"/>
            <w:hideMark/>
          </w:tcPr>
          <w:p w14:paraId="43E8357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571DA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1A1F5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831D80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B39429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EBC374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45A08C6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B36687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1516C8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8E93DC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8D06E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624F3DB6"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Ferrannini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4FF4EE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2181C67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AA7639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2A4D06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7DBE7D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6A5B116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2B8846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BBB216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4FE488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A3185D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9694D7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F515D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0353218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Aguilar-Salinas</w:t>
            </w:r>
          </w:p>
        </w:tc>
        <w:tc>
          <w:tcPr>
            <w:tcW w:w="0" w:type="auto"/>
            <w:tcBorders>
              <w:top w:val="nil"/>
              <w:left w:val="nil"/>
              <w:bottom w:val="single" w:sz="4" w:space="0" w:color="auto"/>
              <w:right w:val="single" w:sz="4" w:space="0" w:color="auto"/>
            </w:tcBorders>
            <w:shd w:val="clear" w:color="auto" w:fill="auto"/>
            <w:noWrap/>
            <w:vAlign w:val="bottom"/>
            <w:hideMark/>
          </w:tcPr>
          <w:p w14:paraId="27395A9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5E55D91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1E76C7C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43.6</w:t>
            </w:r>
          </w:p>
        </w:tc>
        <w:tc>
          <w:tcPr>
            <w:tcW w:w="0" w:type="auto"/>
            <w:tcBorders>
              <w:top w:val="nil"/>
              <w:left w:val="nil"/>
              <w:bottom w:val="single" w:sz="4" w:space="0" w:color="auto"/>
              <w:right w:val="single" w:sz="4" w:space="0" w:color="auto"/>
            </w:tcBorders>
            <w:shd w:val="clear" w:color="auto" w:fill="auto"/>
            <w:noWrap/>
            <w:vAlign w:val="bottom"/>
            <w:hideMark/>
          </w:tcPr>
          <w:p w14:paraId="4DDA4D5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4AD60A1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46</w:t>
            </w:r>
          </w:p>
        </w:tc>
        <w:tc>
          <w:tcPr>
            <w:tcW w:w="825" w:type="dxa"/>
            <w:tcBorders>
              <w:top w:val="nil"/>
              <w:left w:val="nil"/>
              <w:bottom w:val="single" w:sz="4" w:space="0" w:color="auto"/>
              <w:right w:val="single" w:sz="4" w:space="0" w:color="auto"/>
            </w:tcBorders>
            <w:shd w:val="clear" w:color="auto" w:fill="auto"/>
            <w:noWrap/>
            <w:vAlign w:val="bottom"/>
            <w:hideMark/>
          </w:tcPr>
          <w:p w14:paraId="104D64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&gt;=130</w:t>
            </w:r>
          </w:p>
        </w:tc>
        <w:tc>
          <w:tcPr>
            <w:tcW w:w="0" w:type="auto"/>
            <w:tcBorders>
              <w:top w:val="nil"/>
              <w:left w:val="nil"/>
              <w:bottom w:val="single" w:sz="4" w:space="0" w:color="auto"/>
              <w:right w:val="single" w:sz="4" w:space="0" w:color="auto"/>
            </w:tcBorders>
            <w:shd w:val="clear" w:color="auto" w:fill="auto"/>
            <w:noWrap/>
            <w:vAlign w:val="bottom"/>
            <w:hideMark/>
          </w:tcPr>
          <w:p w14:paraId="040EB3C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60.5</w:t>
            </w:r>
          </w:p>
        </w:tc>
        <w:tc>
          <w:tcPr>
            <w:tcW w:w="1314" w:type="dxa"/>
            <w:tcBorders>
              <w:top w:val="nil"/>
              <w:left w:val="nil"/>
              <w:bottom w:val="single" w:sz="4" w:space="0" w:color="auto"/>
              <w:right w:val="single" w:sz="4" w:space="0" w:color="auto"/>
            </w:tcBorders>
            <w:shd w:val="clear" w:color="auto" w:fill="auto"/>
            <w:noWrap/>
            <w:vAlign w:val="bottom"/>
            <w:hideMark/>
          </w:tcPr>
          <w:p w14:paraId="4314655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007F7D7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31.5</w:t>
            </w:r>
          </w:p>
        </w:tc>
        <w:tc>
          <w:tcPr>
            <w:tcW w:w="866" w:type="dxa"/>
            <w:tcBorders>
              <w:top w:val="nil"/>
              <w:left w:val="nil"/>
              <w:bottom w:val="single" w:sz="4" w:space="0" w:color="auto"/>
              <w:right w:val="single" w:sz="4" w:space="0" w:color="auto"/>
            </w:tcBorders>
            <w:shd w:val="clear" w:color="auto" w:fill="auto"/>
            <w:noWrap/>
            <w:vAlign w:val="bottom"/>
            <w:hideMark/>
          </w:tcPr>
          <w:p w14:paraId="35FDEC9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7145B5C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CCDA6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Mexico</w:t>
            </w:r>
          </w:p>
        </w:tc>
        <w:tc>
          <w:tcPr>
            <w:tcW w:w="0" w:type="auto"/>
            <w:tcBorders>
              <w:top w:val="nil"/>
              <w:left w:val="nil"/>
              <w:bottom w:val="single" w:sz="4" w:space="0" w:color="auto"/>
              <w:right w:val="single" w:sz="4" w:space="0" w:color="auto"/>
            </w:tcBorders>
            <w:shd w:val="clear" w:color="auto" w:fill="auto"/>
            <w:noWrap/>
            <w:vAlign w:val="bottom"/>
            <w:hideMark/>
          </w:tcPr>
          <w:p w14:paraId="58E30F3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Gonzales-Villalpando</w:t>
            </w:r>
          </w:p>
        </w:tc>
        <w:tc>
          <w:tcPr>
            <w:tcW w:w="0" w:type="auto"/>
            <w:tcBorders>
              <w:top w:val="nil"/>
              <w:left w:val="nil"/>
              <w:bottom w:val="single" w:sz="4" w:space="0" w:color="auto"/>
              <w:right w:val="single" w:sz="4" w:space="0" w:color="auto"/>
            </w:tcBorders>
            <w:shd w:val="clear" w:color="auto" w:fill="auto"/>
            <w:noWrap/>
            <w:vAlign w:val="bottom"/>
            <w:hideMark/>
          </w:tcPr>
          <w:p w14:paraId="19CB5F2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1999</w:t>
            </w:r>
          </w:p>
        </w:tc>
        <w:tc>
          <w:tcPr>
            <w:tcW w:w="0" w:type="auto"/>
            <w:tcBorders>
              <w:top w:val="nil"/>
              <w:left w:val="nil"/>
              <w:bottom w:val="single" w:sz="4" w:space="0" w:color="auto"/>
              <w:right w:val="single" w:sz="4" w:space="0" w:color="auto"/>
            </w:tcBorders>
            <w:shd w:val="clear" w:color="auto" w:fill="auto"/>
            <w:noWrap/>
            <w:vAlign w:val="bottom"/>
            <w:hideMark/>
          </w:tcPr>
          <w:p w14:paraId="2A0D975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6746F7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BE65B7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6F50AA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49752F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569CC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1C9705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07E7584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5131744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0E56704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5AACA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Nicaragua</w:t>
            </w:r>
          </w:p>
        </w:tc>
        <w:tc>
          <w:tcPr>
            <w:tcW w:w="0" w:type="auto"/>
            <w:tcBorders>
              <w:top w:val="nil"/>
              <w:left w:val="nil"/>
              <w:bottom w:val="single" w:sz="4" w:space="0" w:color="auto"/>
              <w:right w:val="single" w:sz="4" w:space="0" w:color="auto"/>
            </w:tcBorders>
            <w:shd w:val="clear" w:color="auto" w:fill="auto"/>
            <w:noWrap/>
            <w:vAlign w:val="bottom"/>
            <w:hideMark/>
          </w:tcPr>
          <w:p w14:paraId="239DEF6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Wong-McClure</w:t>
            </w:r>
          </w:p>
        </w:tc>
        <w:tc>
          <w:tcPr>
            <w:tcW w:w="0" w:type="auto"/>
            <w:tcBorders>
              <w:top w:val="nil"/>
              <w:left w:val="nil"/>
              <w:bottom w:val="single" w:sz="4" w:space="0" w:color="auto"/>
              <w:right w:val="single" w:sz="4" w:space="0" w:color="auto"/>
            </w:tcBorders>
            <w:shd w:val="clear" w:color="auto" w:fill="auto"/>
            <w:noWrap/>
            <w:vAlign w:val="bottom"/>
            <w:hideMark/>
          </w:tcPr>
          <w:p w14:paraId="7CF6753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15FAE82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55A872F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50197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2DECF37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645204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4F3396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57</w:t>
            </w:r>
          </w:p>
        </w:tc>
        <w:tc>
          <w:tcPr>
            <w:tcW w:w="1314" w:type="dxa"/>
            <w:tcBorders>
              <w:top w:val="nil"/>
              <w:left w:val="nil"/>
              <w:bottom w:val="single" w:sz="4" w:space="0" w:color="auto"/>
              <w:right w:val="single" w:sz="4" w:space="0" w:color="auto"/>
            </w:tcBorders>
            <w:shd w:val="clear" w:color="auto" w:fill="auto"/>
            <w:noWrap/>
            <w:vAlign w:val="bottom"/>
            <w:hideMark/>
          </w:tcPr>
          <w:p w14:paraId="11EDEB8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6F715BF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42</w:t>
            </w:r>
          </w:p>
        </w:tc>
        <w:tc>
          <w:tcPr>
            <w:tcW w:w="866" w:type="dxa"/>
            <w:tcBorders>
              <w:top w:val="nil"/>
              <w:left w:val="nil"/>
              <w:bottom w:val="single" w:sz="4" w:space="0" w:color="auto"/>
              <w:right w:val="single" w:sz="4" w:space="0" w:color="auto"/>
            </w:tcBorders>
            <w:shd w:val="clear" w:color="auto" w:fill="auto"/>
            <w:noWrap/>
            <w:vAlign w:val="bottom"/>
            <w:hideMark/>
          </w:tcPr>
          <w:p w14:paraId="6AE2800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FA5090C"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1DFE4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0AB0C34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Salas</w:t>
            </w:r>
          </w:p>
        </w:tc>
        <w:tc>
          <w:tcPr>
            <w:tcW w:w="0" w:type="auto"/>
            <w:tcBorders>
              <w:top w:val="nil"/>
              <w:left w:val="nil"/>
              <w:bottom w:val="single" w:sz="4" w:space="0" w:color="auto"/>
              <w:right w:val="single" w:sz="4" w:space="0" w:color="auto"/>
            </w:tcBorders>
            <w:shd w:val="clear" w:color="auto" w:fill="auto"/>
            <w:noWrap/>
            <w:vAlign w:val="bottom"/>
            <w:hideMark/>
          </w:tcPr>
          <w:p w14:paraId="3A3F902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338AAF9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6A800CC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47.8</w:t>
            </w:r>
          </w:p>
        </w:tc>
        <w:tc>
          <w:tcPr>
            <w:tcW w:w="0" w:type="auto"/>
            <w:tcBorders>
              <w:top w:val="nil"/>
              <w:left w:val="nil"/>
              <w:bottom w:val="single" w:sz="4" w:space="0" w:color="auto"/>
              <w:right w:val="single" w:sz="4" w:space="0" w:color="auto"/>
            </w:tcBorders>
            <w:shd w:val="clear" w:color="auto" w:fill="auto"/>
            <w:noWrap/>
            <w:vAlign w:val="bottom"/>
            <w:hideMark/>
          </w:tcPr>
          <w:p w14:paraId="4D75FF1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&gt;=5.2</w:t>
            </w:r>
          </w:p>
        </w:tc>
        <w:tc>
          <w:tcPr>
            <w:tcW w:w="643" w:type="dxa"/>
            <w:tcBorders>
              <w:top w:val="nil"/>
              <w:left w:val="nil"/>
              <w:bottom w:val="single" w:sz="4" w:space="0" w:color="auto"/>
              <w:right w:val="single" w:sz="4" w:space="0" w:color="auto"/>
            </w:tcBorders>
            <w:shd w:val="clear" w:color="auto" w:fill="auto"/>
            <w:noWrap/>
            <w:vAlign w:val="bottom"/>
            <w:hideMark/>
          </w:tcPr>
          <w:p w14:paraId="42C8BB7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9CC024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80D71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73C8005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AC10C6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3B0591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3AFCB0D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5900C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467FAFF4"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Seclen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B8DFF6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018CE5F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2000</w:t>
            </w:r>
          </w:p>
        </w:tc>
        <w:tc>
          <w:tcPr>
            <w:tcW w:w="0" w:type="auto"/>
            <w:tcBorders>
              <w:top w:val="nil"/>
              <w:left w:val="nil"/>
              <w:bottom w:val="single" w:sz="4" w:space="0" w:color="auto"/>
              <w:right w:val="single" w:sz="4" w:space="0" w:color="auto"/>
            </w:tcBorders>
            <w:shd w:val="clear" w:color="auto" w:fill="auto"/>
            <w:noWrap/>
            <w:vAlign w:val="bottom"/>
            <w:hideMark/>
          </w:tcPr>
          <w:p w14:paraId="1560229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1C6C4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172A83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6ABFB9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DFBB8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65.2</w:t>
            </w:r>
          </w:p>
        </w:tc>
        <w:tc>
          <w:tcPr>
            <w:tcW w:w="1314" w:type="dxa"/>
            <w:tcBorders>
              <w:top w:val="nil"/>
              <w:left w:val="nil"/>
              <w:bottom w:val="single" w:sz="4" w:space="0" w:color="auto"/>
              <w:right w:val="single" w:sz="4" w:space="0" w:color="auto"/>
            </w:tcBorders>
            <w:shd w:val="clear" w:color="auto" w:fill="auto"/>
            <w:noWrap/>
            <w:vAlign w:val="bottom"/>
            <w:hideMark/>
          </w:tcPr>
          <w:p w14:paraId="082A048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&lt;45 (women)</w:t>
            </w:r>
          </w:p>
        </w:tc>
        <w:tc>
          <w:tcPr>
            <w:tcW w:w="590" w:type="dxa"/>
            <w:tcBorders>
              <w:top w:val="nil"/>
              <w:left w:val="nil"/>
              <w:bottom w:val="single" w:sz="4" w:space="0" w:color="auto"/>
              <w:right w:val="single" w:sz="4" w:space="0" w:color="auto"/>
            </w:tcBorders>
            <w:shd w:val="clear" w:color="auto" w:fill="auto"/>
            <w:noWrap/>
            <w:vAlign w:val="bottom"/>
            <w:hideMark/>
          </w:tcPr>
          <w:p w14:paraId="4EFDA59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83.1</w:t>
            </w:r>
          </w:p>
        </w:tc>
        <w:tc>
          <w:tcPr>
            <w:tcW w:w="866" w:type="dxa"/>
            <w:tcBorders>
              <w:top w:val="nil"/>
              <w:left w:val="nil"/>
              <w:bottom w:val="single" w:sz="4" w:space="0" w:color="auto"/>
              <w:right w:val="single" w:sz="4" w:space="0" w:color="auto"/>
            </w:tcBorders>
            <w:shd w:val="clear" w:color="auto" w:fill="auto"/>
            <w:noWrap/>
            <w:vAlign w:val="bottom"/>
            <w:hideMark/>
          </w:tcPr>
          <w:p w14:paraId="73C72C5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06EC23CA"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8FA9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5852BF4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Soto</w:t>
            </w:r>
          </w:p>
        </w:tc>
        <w:tc>
          <w:tcPr>
            <w:tcW w:w="0" w:type="auto"/>
            <w:tcBorders>
              <w:top w:val="nil"/>
              <w:left w:val="nil"/>
              <w:bottom w:val="single" w:sz="4" w:space="0" w:color="auto"/>
              <w:right w:val="single" w:sz="4" w:space="0" w:color="auto"/>
            </w:tcBorders>
            <w:shd w:val="clear" w:color="auto" w:fill="auto"/>
            <w:noWrap/>
            <w:vAlign w:val="bottom"/>
            <w:hideMark/>
          </w:tcPr>
          <w:p w14:paraId="7980349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466EA17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1D34D14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47.3</w:t>
            </w:r>
          </w:p>
        </w:tc>
        <w:tc>
          <w:tcPr>
            <w:tcW w:w="0" w:type="auto"/>
            <w:tcBorders>
              <w:top w:val="nil"/>
              <w:left w:val="nil"/>
              <w:bottom w:val="single" w:sz="4" w:space="0" w:color="auto"/>
              <w:right w:val="single" w:sz="4" w:space="0" w:color="auto"/>
            </w:tcBorders>
            <w:shd w:val="clear" w:color="auto" w:fill="auto"/>
            <w:noWrap/>
            <w:vAlign w:val="bottom"/>
            <w:hideMark/>
          </w:tcPr>
          <w:p w14:paraId="0E4C9CF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2C2E1D8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02F723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73CE42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56.3</w:t>
            </w:r>
          </w:p>
        </w:tc>
        <w:tc>
          <w:tcPr>
            <w:tcW w:w="1314" w:type="dxa"/>
            <w:tcBorders>
              <w:top w:val="nil"/>
              <w:left w:val="nil"/>
              <w:bottom w:val="single" w:sz="4" w:space="0" w:color="auto"/>
              <w:right w:val="single" w:sz="4" w:space="0" w:color="auto"/>
            </w:tcBorders>
            <w:shd w:val="clear" w:color="auto" w:fill="auto"/>
            <w:noWrap/>
            <w:vAlign w:val="bottom"/>
            <w:hideMark/>
          </w:tcPr>
          <w:p w14:paraId="360A371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40EF493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43.4</w:t>
            </w:r>
          </w:p>
        </w:tc>
        <w:tc>
          <w:tcPr>
            <w:tcW w:w="866" w:type="dxa"/>
            <w:tcBorders>
              <w:top w:val="nil"/>
              <w:left w:val="nil"/>
              <w:bottom w:val="single" w:sz="4" w:space="0" w:color="auto"/>
              <w:right w:val="single" w:sz="4" w:space="0" w:color="auto"/>
            </w:tcBorders>
            <w:shd w:val="clear" w:color="auto" w:fill="auto"/>
            <w:noWrap/>
            <w:vAlign w:val="bottom"/>
            <w:hideMark/>
          </w:tcPr>
          <w:p w14:paraId="36D7914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C9FCAD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25A03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lastRenderedPageBreak/>
              <w:t>Peru</w:t>
            </w:r>
          </w:p>
        </w:tc>
        <w:tc>
          <w:tcPr>
            <w:tcW w:w="0" w:type="auto"/>
            <w:tcBorders>
              <w:top w:val="nil"/>
              <w:left w:val="nil"/>
              <w:bottom w:val="single" w:sz="4" w:space="0" w:color="auto"/>
              <w:right w:val="single" w:sz="4" w:space="0" w:color="auto"/>
            </w:tcBorders>
            <w:shd w:val="clear" w:color="auto" w:fill="auto"/>
            <w:noWrap/>
            <w:vAlign w:val="bottom"/>
            <w:hideMark/>
          </w:tcPr>
          <w:p w14:paraId="3A7F97A0"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Vinueza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E8997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3554108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750A912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11.6</w:t>
            </w:r>
          </w:p>
        </w:tc>
        <w:tc>
          <w:tcPr>
            <w:tcW w:w="0" w:type="auto"/>
            <w:tcBorders>
              <w:top w:val="nil"/>
              <w:left w:val="nil"/>
              <w:bottom w:val="single" w:sz="4" w:space="0" w:color="auto"/>
              <w:right w:val="single" w:sz="4" w:space="0" w:color="auto"/>
            </w:tcBorders>
            <w:shd w:val="clear" w:color="auto" w:fill="auto"/>
            <w:noWrap/>
            <w:vAlign w:val="bottom"/>
            <w:hideMark/>
          </w:tcPr>
          <w:p w14:paraId="3170B43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4BBF148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17.7</w:t>
            </w:r>
          </w:p>
        </w:tc>
        <w:tc>
          <w:tcPr>
            <w:tcW w:w="825" w:type="dxa"/>
            <w:tcBorders>
              <w:top w:val="nil"/>
              <w:left w:val="nil"/>
              <w:bottom w:val="single" w:sz="4" w:space="0" w:color="auto"/>
              <w:right w:val="single" w:sz="4" w:space="0" w:color="auto"/>
            </w:tcBorders>
            <w:shd w:val="clear" w:color="auto" w:fill="auto"/>
            <w:noWrap/>
            <w:vAlign w:val="bottom"/>
            <w:hideMark/>
          </w:tcPr>
          <w:p w14:paraId="7C83316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mixed with Fr</w:t>
            </w:r>
          </w:p>
        </w:tc>
        <w:tc>
          <w:tcPr>
            <w:tcW w:w="0" w:type="auto"/>
            <w:tcBorders>
              <w:top w:val="nil"/>
              <w:left w:val="nil"/>
              <w:bottom w:val="single" w:sz="4" w:space="0" w:color="auto"/>
              <w:right w:val="single" w:sz="4" w:space="0" w:color="auto"/>
            </w:tcBorders>
            <w:shd w:val="clear" w:color="auto" w:fill="auto"/>
            <w:noWrap/>
            <w:vAlign w:val="bottom"/>
            <w:hideMark/>
          </w:tcPr>
          <w:p w14:paraId="500ACBE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56.9</w:t>
            </w:r>
          </w:p>
        </w:tc>
        <w:tc>
          <w:tcPr>
            <w:tcW w:w="1314" w:type="dxa"/>
            <w:tcBorders>
              <w:top w:val="nil"/>
              <w:left w:val="nil"/>
              <w:bottom w:val="single" w:sz="4" w:space="0" w:color="auto"/>
              <w:right w:val="single" w:sz="4" w:space="0" w:color="auto"/>
            </w:tcBorders>
            <w:shd w:val="clear" w:color="auto" w:fill="auto"/>
            <w:noWrap/>
            <w:vAlign w:val="bottom"/>
            <w:hideMark/>
          </w:tcPr>
          <w:p w14:paraId="493E34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725E4D0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19.5</w:t>
            </w:r>
          </w:p>
        </w:tc>
        <w:tc>
          <w:tcPr>
            <w:tcW w:w="866" w:type="dxa"/>
            <w:tcBorders>
              <w:top w:val="nil"/>
              <w:left w:val="nil"/>
              <w:bottom w:val="single" w:sz="4" w:space="0" w:color="auto"/>
              <w:right w:val="single" w:sz="4" w:space="0" w:color="auto"/>
            </w:tcBorders>
            <w:shd w:val="clear" w:color="auto" w:fill="auto"/>
            <w:noWrap/>
            <w:vAlign w:val="bottom"/>
            <w:hideMark/>
          </w:tcPr>
          <w:p w14:paraId="26BDDBA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32C7E5D3"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347C2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6D8BE844"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Benzinger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B5A5B8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447660B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0C697DC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60A728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9D8E3A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0A2A7D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B0D5D4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43.31</w:t>
            </w:r>
          </w:p>
        </w:tc>
        <w:tc>
          <w:tcPr>
            <w:tcW w:w="1314" w:type="dxa"/>
            <w:tcBorders>
              <w:top w:val="nil"/>
              <w:left w:val="nil"/>
              <w:bottom w:val="single" w:sz="4" w:space="0" w:color="auto"/>
              <w:right w:val="single" w:sz="4" w:space="0" w:color="auto"/>
            </w:tcBorders>
            <w:shd w:val="clear" w:color="auto" w:fill="auto"/>
            <w:noWrap/>
            <w:vAlign w:val="bottom"/>
            <w:hideMark/>
          </w:tcPr>
          <w:p w14:paraId="7ABFA6B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256C5A9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8DBC95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7A14F09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C8939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5ED3BE35"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Quispe</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4DEB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13517FD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38A2B8D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59915F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6CECC87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2D2B93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178FB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65.85</w:t>
            </w:r>
          </w:p>
        </w:tc>
        <w:tc>
          <w:tcPr>
            <w:tcW w:w="1314" w:type="dxa"/>
            <w:tcBorders>
              <w:top w:val="nil"/>
              <w:left w:val="nil"/>
              <w:bottom w:val="single" w:sz="4" w:space="0" w:color="auto"/>
              <w:right w:val="single" w:sz="4" w:space="0" w:color="auto"/>
            </w:tcBorders>
            <w:shd w:val="clear" w:color="auto" w:fill="auto"/>
            <w:noWrap/>
            <w:vAlign w:val="bottom"/>
            <w:hideMark/>
          </w:tcPr>
          <w:p w14:paraId="17F0AC6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0711E3E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43.1</w:t>
            </w:r>
          </w:p>
        </w:tc>
        <w:tc>
          <w:tcPr>
            <w:tcW w:w="866" w:type="dxa"/>
            <w:tcBorders>
              <w:top w:val="nil"/>
              <w:left w:val="nil"/>
              <w:bottom w:val="single" w:sz="4" w:space="0" w:color="auto"/>
              <w:right w:val="single" w:sz="4" w:space="0" w:color="auto"/>
            </w:tcBorders>
            <w:shd w:val="clear" w:color="auto" w:fill="auto"/>
            <w:noWrap/>
            <w:vAlign w:val="bottom"/>
            <w:hideMark/>
          </w:tcPr>
          <w:p w14:paraId="545FCBA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3FB321B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5E43F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0B6251A5"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Baracco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E2E48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7C661B1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2002</w:t>
            </w:r>
          </w:p>
        </w:tc>
        <w:tc>
          <w:tcPr>
            <w:tcW w:w="0" w:type="auto"/>
            <w:tcBorders>
              <w:top w:val="nil"/>
              <w:left w:val="nil"/>
              <w:bottom w:val="single" w:sz="4" w:space="0" w:color="auto"/>
              <w:right w:val="single" w:sz="4" w:space="0" w:color="auto"/>
            </w:tcBorders>
            <w:shd w:val="clear" w:color="auto" w:fill="auto"/>
            <w:noWrap/>
            <w:vAlign w:val="bottom"/>
            <w:hideMark/>
          </w:tcPr>
          <w:p w14:paraId="7429E11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5AE631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E1B3FF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670E64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4400B6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8039E0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DD16F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6BA9A0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B6E87B9"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20F49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49535A62"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Benziger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BF372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4BB4571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607E11D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48.08</w:t>
            </w:r>
          </w:p>
        </w:tc>
        <w:tc>
          <w:tcPr>
            <w:tcW w:w="0" w:type="auto"/>
            <w:tcBorders>
              <w:top w:val="nil"/>
              <w:left w:val="nil"/>
              <w:bottom w:val="single" w:sz="4" w:space="0" w:color="auto"/>
              <w:right w:val="single" w:sz="4" w:space="0" w:color="auto"/>
            </w:tcBorders>
            <w:shd w:val="clear" w:color="auto" w:fill="auto"/>
            <w:noWrap/>
            <w:vAlign w:val="bottom"/>
            <w:hideMark/>
          </w:tcPr>
          <w:p w14:paraId="5F7ED13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1F2E58E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01612F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E1DD7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8FA6C0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A10541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F76CBA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4D2B86D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59B2C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1E2D4036"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Benziger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905140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62DD7A0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659E33B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327B3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8AD223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505F41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71FB7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66.4</w:t>
            </w:r>
          </w:p>
        </w:tc>
        <w:tc>
          <w:tcPr>
            <w:tcW w:w="1314" w:type="dxa"/>
            <w:tcBorders>
              <w:top w:val="nil"/>
              <w:left w:val="nil"/>
              <w:bottom w:val="single" w:sz="4" w:space="0" w:color="auto"/>
              <w:right w:val="single" w:sz="4" w:space="0" w:color="auto"/>
            </w:tcBorders>
            <w:shd w:val="clear" w:color="auto" w:fill="auto"/>
            <w:noWrap/>
            <w:vAlign w:val="bottom"/>
            <w:hideMark/>
          </w:tcPr>
          <w:p w14:paraId="2FC91C6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5153BE9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43.1</w:t>
            </w:r>
          </w:p>
        </w:tc>
        <w:tc>
          <w:tcPr>
            <w:tcW w:w="866" w:type="dxa"/>
            <w:tcBorders>
              <w:top w:val="nil"/>
              <w:left w:val="nil"/>
              <w:bottom w:val="single" w:sz="4" w:space="0" w:color="auto"/>
              <w:right w:val="single" w:sz="4" w:space="0" w:color="auto"/>
            </w:tcBorders>
            <w:shd w:val="clear" w:color="auto" w:fill="auto"/>
            <w:noWrap/>
            <w:vAlign w:val="bottom"/>
            <w:hideMark/>
          </w:tcPr>
          <w:p w14:paraId="14C4638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4185EED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E0BA8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5D6181E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Chirinos</w:t>
            </w:r>
          </w:p>
        </w:tc>
        <w:tc>
          <w:tcPr>
            <w:tcW w:w="0" w:type="auto"/>
            <w:tcBorders>
              <w:top w:val="nil"/>
              <w:left w:val="nil"/>
              <w:bottom w:val="single" w:sz="4" w:space="0" w:color="auto"/>
              <w:right w:val="single" w:sz="4" w:space="0" w:color="auto"/>
            </w:tcBorders>
            <w:shd w:val="clear" w:color="auto" w:fill="auto"/>
            <w:noWrap/>
            <w:vAlign w:val="bottom"/>
            <w:hideMark/>
          </w:tcPr>
          <w:p w14:paraId="00C123C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2014</w:t>
            </w:r>
          </w:p>
        </w:tc>
        <w:tc>
          <w:tcPr>
            <w:tcW w:w="0" w:type="auto"/>
            <w:tcBorders>
              <w:top w:val="nil"/>
              <w:left w:val="nil"/>
              <w:bottom w:val="single" w:sz="4" w:space="0" w:color="auto"/>
              <w:right w:val="single" w:sz="4" w:space="0" w:color="auto"/>
            </w:tcBorders>
            <w:shd w:val="clear" w:color="auto" w:fill="auto"/>
            <w:noWrap/>
            <w:vAlign w:val="bottom"/>
            <w:hideMark/>
          </w:tcPr>
          <w:p w14:paraId="0C857CB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0ECEB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B1C9A4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35797F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26CE60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C1361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D45F0B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F318CC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AF198F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9C8A763"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28369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03C26D0A"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Seclen</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4DDBE9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1999</w:t>
            </w:r>
          </w:p>
        </w:tc>
        <w:tc>
          <w:tcPr>
            <w:tcW w:w="0" w:type="auto"/>
            <w:tcBorders>
              <w:top w:val="nil"/>
              <w:left w:val="nil"/>
              <w:bottom w:val="single" w:sz="4" w:space="0" w:color="auto"/>
              <w:right w:val="single" w:sz="4" w:space="0" w:color="auto"/>
            </w:tcBorders>
            <w:shd w:val="clear" w:color="auto" w:fill="auto"/>
            <w:noWrap/>
            <w:vAlign w:val="bottom"/>
            <w:hideMark/>
          </w:tcPr>
          <w:p w14:paraId="59E6B71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30C068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26.66</w:t>
            </w:r>
          </w:p>
        </w:tc>
        <w:tc>
          <w:tcPr>
            <w:tcW w:w="0" w:type="auto"/>
            <w:tcBorders>
              <w:top w:val="nil"/>
              <w:left w:val="nil"/>
              <w:bottom w:val="single" w:sz="4" w:space="0" w:color="auto"/>
              <w:right w:val="single" w:sz="4" w:space="0" w:color="auto"/>
            </w:tcBorders>
            <w:shd w:val="clear" w:color="auto" w:fill="auto"/>
            <w:noWrap/>
            <w:vAlign w:val="bottom"/>
            <w:hideMark/>
          </w:tcPr>
          <w:p w14:paraId="7F63B3A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2EEFC72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FB786C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BA137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4389F5F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1EAE5CC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228FEE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4717360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CA39E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061C7B4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xml:space="preserve">Goldstein </w:t>
            </w:r>
          </w:p>
        </w:tc>
        <w:tc>
          <w:tcPr>
            <w:tcW w:w="0" w:type="auto"/>
            <w:tcBorders>
              <w:top w:val="nil"/>
              <w:left w:val="nil"/>
              <w:bottom w:val="single" w:sz="4" w:space="0" w:color="auto"/>
              <w:right w:val="single" w:sz="4" w:space="0" w:color="auto"/>
            </w:tcBorders>
            <w:shd w:val="clear" w:color="auto" w:fill="auto"/>
            <w:noWrap/>
            <w:vAlign w:val="bottom"/>
            <w:hideMark/>
          </w:tcPr>
          <w:p w14:paraId="0DB2589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0DFE689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1999</w:t>
            </w:r>
          </w:p>
        </w:tc>
        <w:tc>
          <w:tcPr>
            <w:tcW w:w="0" w:type="auto"/>
            <w:tcBorders>
              <w:top w:val="nil"/>
              <w:left w:val="nil"/>
              <w:bottom w:val="single" w:sz="4" w:space="0" w:color="auto"/>
              <w:right w:val="single" w:sz="4" w:space="0" w:color="auto"/>
            </w:tcBorders>
            <w:shd w:val="clear" w:color="auto" w:fill="auto"/>
            <w:noWrap/>
            <w:vAlign w:val="bottom"/>
            <w:hideMark/>
          </w:tcPr>
          <w:p w14:paraId="73FFFFE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23.91</w:t>
            </w:r>
          </w:p>
        </w:tc>
        <w:tc>
          <w:tcPr>
            <w:tcW w:w="0" w:type="auto"/>
            <w:tcBorders>
              <w:top w:val="nil"/>
              <w:left w:val="nil"/>
              <w:bottom w:val="single" w:sz="4" w:space="0" w:color="auto"/>
              <w:right w:val="single" w:sz="4" w:space="0" w:color="auto"/>
            </w:tcBorders>
            <w:shd w:val="clear" w:color="auto" w:fill="auto"/>
            <w:noWrap/>
            <w:vAlign w:val="bottom"/>
            <w:hideMark/>
          </w:tcPr>
          <w:p w14:paraId="3F0891C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46CDC2A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EB088E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58208A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39.02</w:t>
            </w:r>
          </w:p>
        </w:tc>
        <w:tc>
          <w:tcPr>
            <w:tcW w:w="1314" w:type="dxa"/>
            <w:tcBorders>
              <w:top w:val="nil"/>
              <w:left w:val="nil"/>
              <w:bottom w:val="single" w:sz="4" w:space="0" w:color="auto"/>
              <w:right w:val="single" w:sz="4" w:space="0" w:color="auto"/>
            </w:tcBorders>
            <w:shd w:val="clear" w:color="auto" w:fill="auto"/>
            <w:noWrap/>
            <w:vAlign w:val="bottom"/>
            <w:hideMark/>
          </w:tcPr>
          <w:p w14:paraId="5891A6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66B7490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0786DC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4E66030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810EE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522666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Medina-Lezama</w:t>
            </w:r>
          </w:p>
        </w:tc>
        <w:tc>
          <w:tcPr>
            <w:tcW w:w="0" w:type="auto"/>
            <w:tcBorders>
              <w:top w:val="nil"/>
              <w:left w:val="nil"/>
              <w:bottom w:val="single" w:sz="4" w:space="0" w:color="auto"/>
              <w:right w:val="single" w:sz="4" w:space="0" w:color="auto"/>
            </w:tcBorders>
            <w:shd w:val="clear" w:color="auto" w:fill="auto"/>
            <w:noWrap/>
            <w:vAlign w:val="bottom"/>
            <w:hideMark/>
          </w:tcPr>
          <w:p w14:paraId="2629A7A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2711A86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6B7759F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CC3B9B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BB9737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4901E2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7E0E02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90353D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FB430A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7EBA5BF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6675008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8EA1F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0CE8880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Miranda</w:t>
            </w:r>
          </w:p>
        </w:tc>
        <w:tc>
          <w:tcPr>
            <w:tcW w:w="0" w:type="auto"/>
            <w:tcBorders>
              <w:top w:val="nil"/>
              <w:left w:val="nil"/>
              <w:bottom w:val="single" w:sz="4" w:space="0" w:color="auto"/>
              <w:right w:val="single" w:sz="4" w:space="0" w:color="auto"/>
            </w:tcBorders>
            <w:shd w:val="clear" w:color="auto" w:fill="auto"/>
            <w:noWrap/>
            <w:vAlign w:val="bottom"/>
            <w:hideMark/>
          </w:tcPr>
          <w:p w14:paraId="4FB8363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6904872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6DC13B8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15A6E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EAFAA8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42DDDF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AA817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E366A0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88DA1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4C6C012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1CCEDF9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2CA5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4D39FA8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Malaga</w:t>
            </w:r>
          </w:p>
        </w:tc>
        <w:tc>
          <w:tcPr>
            <w:tcW w:w="0" w:type="auto"/>
            <w:tcBorders>
              <w:top w:val="nil"/>
              <w:left w:val="nil"/>
              <w:bottom w:val="single" w:sz="4" w:space="0" w:color="auto"/>
              <w:right w:val="single" w:sz="4" w:space="0" w:color="auto"/>
            </w:tcBorders>
            <w:shd w:val="clear" w:color="auto" w:fill="auto"/>
            <w:noWrap/>
            <w:vAlign w:val="bottom"/>
            <w:hideMark/>
          </w:tcPr>
          <w:p w14:paraId="444D9F8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70ECFF1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4F03E0E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40.6</w:t>
            </w:r>
          </w:p>
        </w:tc>
        <w:tc>
          <w:tcPr>
            <w:tcW w:w="0" w:type="auto"/>
            <w:tcBorders>
              <w:top w:val="nil"/>
              <w:left w:val="nil"/>
              <w:bottom w:val="single" w:sz="4" w:space="0" w:color="auto"/>
              <w:right w:val="single" w:sz="4" w:space="0" w:color="auto"/>
            </w:tcBorders>
            <w:shd w:val="clear" w:color="auto" w:fill="auto"/>
            <w:noWrap/>
            <w:vAlign w:val="bottom"/>
            <w:hideMark/>
          </w:tcPr>
          <w:p w14:paraId="62D841B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1D5D884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71.6</w:t>
            </w:r>
          </w:p>
        </w:tc>
        <w:tc>
          <w:tcPr>
            <w:tcW w:w="825" w:type="dxa"/>
            <w:tcBorders>
              <w:top w:val="nil"/>
              <w:left w:val="nil"/>
              <w:bottom w:val="single" w:sz="4" w:space="0" w:color="auto"/>
              <w:right w:val="single" w:sz="4" w:space="0" w:color="auto"/>
            </w:tcBorders>
            <w:shd w:val="clear" w:color="auto" w:fill="auto"/>
            <w:noWrap/>
            <w:vAlign w:val="bottom"/>
            <w:hideMark/>
          </w:tcPr>
          <w:p w14:paraId="28420F9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&gt;=100</w:t>
            </w:r>
          </w:p>
        </w:tc>
        <w:tc>
          <w:tcPr>
            <w:tcW w:w="0" w:type="auto"/>
            <w:tcBorders>
              <w:top w:val="nil"/>
              <w:left w:val="nil"/>
              <w:bottom w:val="single" w:sz="4" w:space="0" w:color="auto"/>
              <w:right w:val="single" w:sz="4" w:space="0" w:color="auto"/>
            </w:tcBorders>
            <w:shd w:val="clear" w:color="auto" w:fill="auto"/>
            <w:noWrap/>
            <w:vAlign w:val="bottom"/>
            <w:hideMark/>
          </w:tcPr>
          <w:p w14:paraId="095D011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48.6</w:t>
            </w:r>
          </w:p>
        </w:tc>
        <w:tc>
          <w:tcPr>
            <w:tcW w:w="1314" w:type="dxa"/>
            <w:tcBorders>
              <w:top w:val="nil"/>
              <w:left w:val="nil"/>
              <w:bottom w:val="single" w:sz="4" w:space="0" w:color="auto"/>
              <w:right w:val="single" w:sz="4" w:space="0" w:color="auto"/>
            </w:tcBorders>
            <w:shd w:val="clear" w:color="auto" w:fill="auto"/>
            <w:noWrap/>
            <w:vAlign w:val="bottom"/>
            <w:hideMark/>
          </w:tcPr>
          <w:p w14:paraId="500015D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2E52B95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48.6</w:t>
            </w:r>
          </w:p>
        </w:tc>
        <w:tc>
          <w:tcPr>
            <w:tcW w:w="866" w:type="dxa"/>
            <w:tcBorders>
              <w:top w:val="nil"/>
              <w:left w:val="nil"/>
              <w:bottom w:val="single" w:sz="4" w:space="0" w:color="auto"/>
              <w:right w:val="single" w:sz="4" w:space="0" w:color="auto"/>
            </w:tcBorders>
            <w:shd w:val="clear" w:color="auto" w:fill="auto"/>
            <w:noWrap/>
            <w:vAlign w:val="bottom"/>
            <w:hideMark/>
          </w:tcPr>
          <w:p w14:paraId="369C149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4D75D8DC"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646B9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727F46A1"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Gaziano</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C58E1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10E8EF1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5328D39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04A35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9EC997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4C7CAF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FC3093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844D9B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460584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F279B1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4FAC7BA8"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0D546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436BBD2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xml:space="preserve">Gonzales </w:t>
            </w:r>
          </w:p>
        </w:tc>
        <w:tc>
          <w:tcPr>
            <w:tcW w:w="0" w:type="auto"/>
            <w:tcBorders>
              <w:top w:val="nil"/>
              <w:left w:val="nil"/>
              <w:bottom w:val="single" w:sz="4" w:space="0" w:color="auto"/>
              <w:right w:val="single" w:sz="4" w:space="0" w:color="auto"/>
            </w:tcBorders>
            <w:shd w:val="clear" w:color="auto" w:fill="auto"/>
            <w:noWrap/>
            <w:vAlign w:val="bottom"/>
            <w:hideMark/>
          </w:tcPr>
          <w:p w14:paraId="17442A7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2D1D813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5FF2724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26.58</w:t>
            </w:r>
          </w:p>
        </w:tc>
        <w:tc>
          <w:tcPr>
            <w:tcW w:w="0" w:type="auto"/>
            <w:tcBorders>
              <w:top w:val="nil"/>
              <w:left w:val="nil"/>
              <w:bottom w:val="single" w:sz="4" w:space="0" w:color="auto"/>
              <w:right w:val="single" w:sz="4" w:space="0" w:color="auto"/>
            </w:tcBorders>
            <w:shd w:val="clear" w:color="auto" w:fill="auto"/>
            <w:noWrap/>
            <w:vAlign w:val="bottom"/>
            <w:hideMark/>
          </w:tcPr>
          <w:p w14:paraId="73178F3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69DF423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11.23</w:t>
            </w:r>
          </w:p>
        </w:tc>
        <w:tc>
          <w:tcPr>
            <w:tcW w:w="825" w:type="dxa"/>
            <w:tcBorders>
              <w:top w:val="nil"/>
              <w:left w:val="nil"/>
              <w:bottom w:val="single" w:sz="4" w:space="0" w:color="auto"/>
              <w:right w:val="single" w:sz="4" w:space="0" w:color="auto"/>
            </w:tcBorders>
            <w:shd w:val="clear" w:color="auto" w:fill="auto"/>
            <w:noWrap/>
            <w:vAlign w:val="bottom"/>
            <w:hideMark/>
          </w:tcPr>
          <w:p w14:paraId="34FC528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4EF8073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43.85</w:t>
            </w:r>
          </w:p>
        </w:tc>
        <w:tc>
          <w:tcPr>
            <w:tcW w:w="1314" w:type="dxa"/>
            <w:tcBorders>
              <w:top w:val="nil"/>
              <w:left w:val="nil"/>
              <w:bottom w:val="single" w:sz="4" w:space="0" w:color="auto"/>
              <w:right w:val="single" w:sz="4" w:space="0" w:color="auto"/>
            </w:tcBorders>
            <w:shd w:val="clear" w:color="auto" w:fill="auto"/>
            <w:noWrap/>
            <w:vAlign w:val="bottom"/>
            <w:hideMark/>
          </w:tcPr>
          <w:p w14:paraId="1C39F64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76AA53E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64.5</w:t>
            </w:r>
          </w:p>
        </w:tc>
        <w:tc>
          <w:tcPr>
            <w:tcW w:w="866" w:type="dxa"/>
            <w:tcBorders>
              <w:top w:val="nil"/>
              <w:left w:val="nil"/>
              <w:bottom w:val="single" w:sz="4" w:space="0" w:color="auto"/>
              <w:right w:val="single" w:sz="4" w:space="0" w:color="auto"/>
            </w:tcBorders>
            <w:shd w:val="clear" w:color="auto" w:fill="auto"/>
            <w:noWrap/>
            <w:vAlign w:val="bottom"/>
            <w:hideMark/>
          </w:tcPr>
          <w:p w14:paraId="7F6137F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15B4F7CD"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0CB2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Peru</w:t>
            </w:r>
          </w:p>
        </w:tc>
        <w:tc>
          <w:tcPr>
            <w:tcW w:w="0" w:type="auto"/>
            <w:tcBorders>
              <w:top w:val="nil"/>
              <w:left w:val="nil"/>
              <w:bottom w:val="single" w:sz="4" w:space="0" w:color="auto"/>
              <w:right w:val="single" w:sz="4" w:space="0" w:color="auto"/>
            </w:tcBorders>
            <w:shd w:val="clear" w:color="auto" w:fill="auto"/>
            <w:noWrap/>
            <w:vAlign w:val="bottom"/>
            <w:hideMark/>
          </w:tcPr>
          <w:p w14:paraId="4A4E58F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Cardenas</w:t>
            </w:r>
          </w:p>
        </w:tc>
        <w:tc>
          <w:tcPr>
            <w:tcW w:w="0" w:type="auto"/>
            <w:tcBorders>
              <w:top w:val="nil"/>
              <w:left w:val="nil"/>
              <w:bottom w:val="single" w:sz="4" w:space="0" w:color="auto"/>
              <w:right w:val="single" w:sz="4" w:space="0" w:color="auto"/>
            </w:tcBorders>
            <w:shd w:val="clear" w:color="auto" w:fill="auto"/>
            <w:noWrap/>
            <w:vAlign w:val="bottom"/>
            <w:hideMark/>
          </w:tcPr>
          <w:p w14:paraId="3AB774E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2B0CFA8B"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2BF46F8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B6851E2" w14:textId="77777777" w:rsidR="00665066" w:rsidRPr="00665066" w:rsidRDefault="00665066" w:rsidP="00665066">
            <w:pPr>
              <w:spacing w:after="0" w:line="240" w:lineRule="auto"/>
              <w:rPr>
                <w:rFonts w:ascii="Arial" w:eastAsia="Times New Roman" w:hAnsi="Arial" w:cs="Arial"/>
                <w:color w:val="000000"/>
                <w:sz w:val="16"/>
                <w:szCs w:val="16"/>
                <w:lang w:val="es-PE" w:eastAsia="en-GB"/>
              </w:rPr>
            </w:pPr>
            <w:r w:rsidRPr="00665066">
              <w:rPr>
                <w:rFonts w:ascii="Arial" w:eastAsia="Times New Roman" w:hAnsi="Arial" w:cs="Arial"/>
                <w:color w:val="000000"/>
                <w:sz w:val="16"/>
                <w:szCs w:val="16"/>
                <w:lang w:val="es-PE" w:eastAsia="en-GB"/>
              </w:rPr>
              <w:t>&lt; 40 en Hombres y &lt; 50 en mujeres</w:t>
            </w:r>
          </w:p>
        </w:tc>
        <w:tc>
          <w:tcPr>
            <w:tcW w:w="643" w:type="dxa"/>
            <w:tcBorders>
              <w:top w:val="nil"/>
              <w:left w:val="nil"/>
              <w:bottom w:val="single" w:sz="4" w:space="0" w:color="auto"/>
              <w:right w:val="single" w:sz="4" w:space="0" w:color="auto"/>
            </w:tcBorders>
            <w:shd w:val="clear" w:color="auto" w:fill="auto"/>
            <w:noWrap/>
            <w:vAlign w:val="bottom"/>
            <w:hideMark/>
          </w:tcPr>
          <w:p w14:paraId="4C1A26E3" w14:textId="77777777" w:rsidR="00665066" w:rsidRPr="00665066" w:rsidRDefault="00665066" w:rsidP="00665066">
            <w:pPr>
              <w:spacing w:after="0" w:line="240" w:lineRule="auto"/>
              <w:rPr>
                <w:rFonts w:ascii="Arial" w:eastAsia="Times New Roman" w:hAnsi="Arial" w:cs="Arial"/>
                <w:color w:val="000000"/>
                <w:sz w:val="16"/>
                <w:szCs w:val="16"/>
                <w:lang w:val="es-PE" w:eastAsia="en-GB"/>
              </w:rPr>
            </w:pPr>
            <w:r w:rsidRPr="00665066">
              <w:rPr>
                <w:rFonts w:ascii="Arial" w:eastAsia="Times New Roman" w:hAnsi="Arial" w:cs="Arial"/>
                <w:color w:val="000000"/>
                <w:sz w:val="16"/>
                <w:szCs w:val="16"/>
                <w:lang w:val="es-PE"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252BFDD" w14:textId="77777777" w:rsidR="00665066" w:rsidRPr="00665066" w:rsidRDefault="00665066" w:rsidP="00665066">
            <w:pPr>
              <w:spacing w:after="0" w:line="240" w:lineRule="auto"/>
              <w:rPr>
                <w:rFonts w:ascii="Arial" w:eastAsia="Times New Roman" w:hAnsi="Arial" w:cs="Arial"/>
                <w:color w:val="000000"/>
                <w:sz w:val="16"/>
                <w:szCs w:val="16"/>
                <w:lang w:val="es-PE" w:eastAsia="en-GB"/>
              </w:rPr>
            </w:pPr>
            <w:r w:rsidRPr="00665066">
              <w:rPr>
                <w:rFonts w:ascii="Arial" w:eastAsia="Times New Roman" w:hAnsi="Arial" w:cs="Arial"/>
                <w:color w:val="000000"/>
                <w:sz w:val="16"/>
                <w:szCs w:val="16"/>
                <w:lang w:val="es-PE"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B973C4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54.2</w:t>
            </w:r>
          </w:p>
        </w:tc>
        <w:tc>
          <w:tcPr>
            <w:tcW w:w="1314" w:type="dxa"/>
            <w:tcBorders>
              <w:top w:val="nil"/>
              <w:left w:val="nil"/>
              <w:bottom w:val="single" w:sz="4" w:space="0" w:color="auto"/>
              <w:right w:val="single" w:sz="4" w:space="0" w:color="auto"/>
            </w:tcBorders>
            <w:shd w:val="clear" w:color="auto" w:fill="auto"/>
            <w:noWrap/>
            <w:vAlign w:val="bottom"/>
            <w:hideMark/>
          </w:tcPr>
          <w:p w14:paraId="53EF619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217F4E0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30</w:t>
            </w:r>
          </w:p>
        </w:tc>
        <w:tc>
          <w:tcPr>
            <w:tcW w:w="866" w:type="dxa"/>
            <w:tcBorders>
              <w:top w:val="nil"/>
              <w:left w:val="nil"/>
              <w:bottom w:val="single" w:sz="4" w:space="0" w:color="auto"/>
              <w:right w:val="single" w:sz="4" w:space="0" w:color="auto"/>
            </w:tcBorders>
            <w:shd w:val="clear" w:color="auto" w:fill="auto"/>
            <w:noWrap/>
            <w:vAlign w:val="bottom"/>
            <w:hideMark/>
          </w:tcPr>
          <w:p w14:paraId="2BE1EFB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218D3C1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93242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Puerto Rico</w:t>
            </w:r>
          </w:p>
        </w:tc>
        <w:tc>
          <w:tcPr>
            <w:tcW w:w="0" w:type="auto"/>
            <w:tcBorders>
              <w:top w:val="nil"/>
              <w:left w:val="nil"/>
              <w:bottom w:val="single" w:sz="4" w:space="0" w:color="auto"/>
              <w:right w:val="single" w:sz="4" w:space="0" w:color="auto"/>
            </w:tcBorders>
            <w:shd w:val="clear" w:color="auto" w:fill="auto"/>
            <w:noWrap/>
            <w:vAlign w:val="bottom"/>
            <w:hideMark/>
          </w:tcPr>
          <w:p w14:paraId="59DFAEB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Garcia Palmieri</w:t>
            </w:r>
          </w:p>
        </w:tc>
        <w:tc>
          <w:tcPr>
            <w:tcW w:w="0" w:type="auto"/>
            <w:tcBorders>
              <w:top w:val="nil"/>
              <w:left w:val="nil"/>
              <w:bottom w:val="single" w:sz="4" w:space="0" w:color="auto"/>
              <w:right w:val="single" w:sz="4" w:space="0" w:color="auto"/>
            </w:tcBorders>
            <w:shd w:val="clear" w:color="auto" w:fill="auto"/>
            <w:noWrap/>
            <w:vAlign w:val="bottom"/>
            <w:hideMark/>
          </w:tcPr>
          <w:p w14:paraId="753F3AB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1972</w:t>
            </w:r>
          </w:p>
        </w:tc>
        <w:tc>
          <w:tcPr>
            <w:tcW w:w="0" w:type="auto"/>
            <w:tcBorders>
              <w:top w:val="nil"/>
              <w:left w:val="nil"/>
              <w:bottom w:val="single" w:sz="4" w:space="0" w:color="auto"/>
              <w:right w:val="single" w:sz="4" w:space="0" w:color="auto"/>
            </w:tcBorders>
            <w:shd w:val="clear" w:color="auto" w:fill="auto"/>
            <w:noWrap/>
            <w:vAlign w:val="bottom"/>
            <w:hideMark/>
          </w:tcPr>
          <w:p w14:paraId="15BC3ED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1C3BF8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D96AC4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85CEA4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F956E3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2B19FC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34A60F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775CF5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DA156D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65B7804"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470AD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Puerto Rico</w:t>
            </w:r>
          </w:p>
        </w:tc>
        <w:tc>
          <w:tcPr>
            <w:tcW w:w="0" w:type="auto"/>
            <w:tcBorders>
              <w:top w:val="nil"/>
              <w:left w:val="nil"/>
              <w:bottom w:val="single" w:sz="4" w:space="0" w:color="auto"/>
              <w:right w:val="single" w:sz="4" w:space="0" w:color="auto"/>
            </w:tcBorders>
            <w:shd w:val="clear" w:color="auto" w:fill="auto"/>
            <w:noWrap/>
            <w:vAlign w:val="bottom"/>
            <w:hideMark/>
          </w:tcPr>
          <w:p w14:paraId="3A785ED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Perez</w:t>
            </w:r>
          </w:p>
        </w:tc>
        <w:tc>
          <w:tcPr>
            <w:tcW w:w="0" w:type="auto"/>
            <w:tcBorders>
              <w:top w:val="nil"/>
              <w:left w:val="nil"/>
              <w:bottom w:val="single" w:sz="4" w:space="0" w:color="auto"/>
              <w:right w:val="single" w:sz="4" w:space="0" w:color="auto"/>
            </w:tcBorders>
            <w:shd w:val="clear" w:color="auto" w:fill="auto"/>
            <w:noWrap/>
            <w:vAlign w:val="bottom"/>
            <w:hideMark/>
          </w:tcPr>
          <w:p w14:paraId="36DBD59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A9E007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0A856DD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D38DF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DF969A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4565B3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FF563D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45.8</w:t>
            </w:r>
          </w:p>
        </w:tc>
        <w:tc>
          <w:tcPr>
            <w:tcW w:w="1314" w:type="dxa"/>
            <w:tcBorders>
              <w:top w:val="nil"/>
              <w:left w:val="nil"/>
              <w:bottom w:val="single" w:sz="4" w:space="0" w:color="auto"/>
              <w:right w:val="single" w:sz="4" w:space="0" w:color="auto"/>
            </w:tcBorders>
            <w:shd w:val="clear" w:color="auto" w:fill="auto"/>
            <w:noWrap/>
            <w:vAlign w:val="bottom"/>
            <w:hideMark/>
          </w:tcPr>
          <w:p w14:paraId="2404A87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61BFCA4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31.2</w:t>
            </w:r>
          </w:p>
        </w:tc>
        <w:tc>
          <w:tcPr>
            <w:tcW w:w="866" w:type="dxa"/>
            <w:tcBorders>
              <w:top w:val="nil"/>
              <w:left w:val="nil"/>
              <w:bottom w:val="single" w:sz="4" w:space="0" w:color="auto"/>
              <w:right w:val="single" w:sz="4" w:space="0" w:color="auto"/>
            </w:tcBorders>
            <w:shd w:val="clear" w:color="auto" w:fill="auto"/>
            <w:noWrap/>
            <w:vAlign w:val="bottom"/>
            <w:hideMark/>
          </w:tcPr>
          <w:p w14:paraId="15BEDE1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7A6356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1812D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Puerto Rico</w:t>
            </w:r>
          </w:p>
        </w:tc>
        <w:tc>
          <w:tcPr>
            <w:tcW w:w="0" w:type="auto"/>
            <w:tcBorders>
              <w:top w:val="nil"/>
              <w:left w:val="nil"/>
              <w:bottom w:val="single" w:sz="4" w:space="0" w:color="auto"/>
              <w:right w:val="single" w:sz="4" w:space="0" w:color="auto"/>
            </w:tcBorders>
            <w:shd w:val="clear" w:color="auto" w:fill="auto"/>
            <w:noWrap/>
            <w:vAlign w:val="bottom"/>
            <w:hideMark/>
          </w:tcPr>
          <w:p w14:paraId="4C9860D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Salas</w:t>
            </w:r>
          </w:p>
        </w:tc>
        <w:tc>
          <w:tcPr>
            <w:tcW w:w="0" w:type="auto"/>
            <w:tcBorders>
              <w:top w:val="nil"/>
              <w:left w:val="nil"/>
              <w:bottom w:val="single" w:sz="4" w:space="0" w:color="auto"/>
              <w:right w:val="single" w:sz="4" w:space="0" w:color="auto"/>
            </w:tcBorders>
            <w:shd w:val="clear" w:color="auto" w:fill="auto"/>
            <w:noWrap/>
            <w:vAlign w:val="bottom"/>
            <w:hideMark/>
          </w:tcPr>
          <w:p w14:paraId="0CC890B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0564B08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02D5AC3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A3BE2F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67FE22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33148F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6DD487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47.6</w:t>
            </w:r>
          </w:p>
        </w:tc>
        <w:tc>
          <w:tcPr>
            <w:tcW w:w="1314" w:type="dxa"/>
            <w:tcBorders>
              <w:top w:val="nil"/>
              <w:left w:val="nil"/>
              <w:bottom w:val="single" w:sz="4" w:space="0" w:color="auto"/>
              <w:right w:val="single" w:sz="4" w:space="0" w:color="auto"/>
            </w:tcBorders>
            <w:shd w:val="clear" w:color="auto" w:fill="auto"/>
            <w:noWrap/>
            <w:vAlign w:val="bottom"/>
            <w:hideMark/>
          </w:tcPr>
          <w:p w14:paraId="623208B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&lt;45 (women)</w:t>
            </w:r>
          </w:p>
        </w:tc>
        <w:tc>
          <w:tcPr>
            <w:tcW w:w="590" w:type="dxa"/>
            <w:tcBorders>
              <w:top w:val="nil"/>
              <w:left w:val="nil"/>
              <w:bottom w:val="single" w:sz="4" w:space="0" w:color="auto"/>
              <w:right w:val="single" w:sz="4" w:space="0" w:color="auto"/>
            </w:tcBorders>
            <w:shd w:val="clear" w:color="auto" w:fill="auto"/>
            <w:noWrap/>
            <w:vAlign w:val="bottom"/>
            <w:hideMark/>
          </w:tcPr>
          <w:p w14:paraId="3486697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32.9</w:t>
            </w:r>
          </w:p>
        </w:tc>
        <w:tc>
          <w:tcPr>
            <w:tcW w:w="866" w:type="dxa"/>
            <w:tcBorders>
              <w:top w:val="nil"/>
              <w:left w:val="nil"/>
              <w:bottom w:val="single" w:sz="4" w:space="0" w:color="auto"/>
              <w:right w:val="single" w:sz="4" w:space="0" w:color="auto"/>
            </w:tcBorders>
            <w:shd w:val="clear" w:color="auto" w:fill="auto"/>
            <w:noWrap/>
            <w:vAlign w:val="bottom"/>
            <w:hideMark/>
          </w:tcPr>
          <w:p w14:paraId="2388F18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6D4DDB8C"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5AE80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Puerto Rico</w:t>
            </w:r>
          </w:p>
        </w:tc>
        <w:tc>
          <w:tcPr>
            <w:tcW w:w="0" w:type="auto"/>
            <w:tcBorders>
              <w:top w:val="nil"/>
              <w:left w:val="nil"/>
              <w:bottom w:val="single" w:sz="4" w:space="0" w:color="auto"/>
              <w:right w:val="single" w:sz="4" w:space="0" w:color="auto"/>
            </w:tcBorders>
            <w:shd w:val="clear" w:color="auto" w:fill="auto"/>
            <w:noWrap/>
            <w:vAlign w:val="bottom"/>
            <w:hideMark/>
          </w:tcPr>
          <w:p w14:paraId="20848FA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Cruz-Vidal</w:t>
            </w:r>
          </w:p>
        </w:tc>
        <w:tc>
          <w:tcPr>
            <w:tcW w:w="0" w:type="auto"/>
            <w:tcBorders>
              <w:top w:val="nil"/>
              <w:left w:val="nil"/>
              <w:bottom w:val="single" w:sz="4" w:space="0" w:color="auto"/>
              <w:right w:val="single" w:sz="4" w:space="0" w:color="auto"/>
            </w:tcBorders>
            <w:shd w:val="clear" w:color="auto" w:fill="auto"/>
            <w:noWrap/>
            <w:vAlign w:val="bottom"/>
            <w:hideMark/>
          </w:tcPr>
          <w:p w14:paraId="18874F6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1979</w:t>
            </w:r>
          </w:p>
        </w:tc>
        <w:tc>
          <w:tcPr>
            <w:tcW w:w="0" w:type="auto"/>
            <w:tcBorders>
              <w:top w:val="nil"/>
              <w:left w:val="nil"/>
              <w:bottom w:val="single" w:sz="4" w:space="0" w:color="auto"/>
              <w:right w:val="single" w:sz="4" w:space="0" w:color="auto"/>
            </w:tcBorders>
            <w:shd w:val="clear" w:color="auto" w:fill="auto"/>
            <w:noWrap/>
            <w:vAlign w:val="bottom"/>
            <w:hideMark/>
          </w:tcPr>
          <w:p w14:paraId="19FE37E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1964</w:t>
            </w:r>
          </w:p>
        </w:tc>
        <w:tc>
          <w:tcPr>
            <w:tcW w:w="0" w:type="auto"/>
            <w:tcBorders>
              <w:top w:val="nil"/>
              <w:left w:val="nil"/>
              <w:bottom w:val="single" w:sz="4" w:space="0" w:color="auto"/>
              <w:right w:val="single" w:sz="4" w:space="0" w:color="auto"/>
            </w:tcBorders>
            <w:shd w:val="clear" w:color="auto" w:fill="auto"/>
            <w:noWrap/>
            <w:vAlign w:val="bottom"/>
            <w:hideMark/>
          </w:tcPr>
          <w:p w14:paraId="48B35AB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AB97A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8E61A4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E8B784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792FFA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6D65C5C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461AB5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1F774E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7AF9E1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EC8B2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Puerto Rico</w:t>
            </w:r>
          </w:p>
        </w:tc>
        <w:tc>
          <w:tcPr>
            <w:tcW w:w="0" w:type="auto"/>
            <w:tcBorders>
              <w:top w:val="nil"/>
              <w:left w:val="nil"/>
              <w:bottom w:val="single" w:sz="4" w:space="0" w:color="auto"/>
              <w:right w:val="single" w:sz="4" w:space="0" w:color="auto"/>
            </w:tcBorders>
            <w:shd w:val="clear" w:color="auto" w:fill="auto"/>
            <w:noWrap/>
            <w:vAlign w:val="bottom"/>
            <w:hideMark/>
          </w:tcPr>
          <w:p w14:paraId="33A477B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Castelli</w:t>
            </w:r>
          </w:p>
        </w:tc>
        <w:tc>
          <w:tcPr>
            <w:tcW w:w="0" w:type="auto"/>
            <w:tcBorders>
              <w:top w:val="nil"/>
              <w:left w:val="nil"/>
              <w:bottom w:val="single" w:sz="4" w:space="0" w:color="auto"/>
              <w:right w:val="single" w:sz="4" w:space="0" w:color="auto"/>
            </w:tcBorders>
            <w:shd w:val="clear" w:color="auto" w:fill="auto"/>
            <w:noWrap/>
            <w:vAlign w:val="bottom"/>
            <w:hideMark/>
          </w:tcPr>
          <w:p w14:paraId="4790B78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1977</w:t>
            </w:r>
          </w:p>
        </w:tc>
        <w:tc>
          <w:tcPr>
            <w:tcW w:w="0" w:type="auto"/>
            <w:tcBorders>
              <w:top w:val="nil"/>
              <w:left w:val="nil"/>
              <w:bottom w:val="single" w:sz="4" w:space="0" w:color="auto"/>
              <w:right w:val="single" w:sz="4" w:space="0" w:color="auto"/>
            </w:tcBorders>
            <w:shd w:val="clear" w:color="auto" w:fill="auto"/>
            <w:noWrap/>
            <w:vAlign w:val="bottom"/>
            <w:hideMark/>
          </w:tcPr>
          <w:p w14:paraId="15DDF4B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1965</w:t>
            </w:r>
          </w:p>
        </w:tc>
        <w:tc>
          <w:tcPr>
            <w:tcW w:w="0" w:type="auto"/>
            <w:tcBorders>
              <w:top w:val="nil"/>
              <w:left w:val="nil"/>
              <w:bottom w:val="single" w:sz="4" w:space="0" w:color="auto"/>
              <w:right w:val="single" w:sz="4" w:space="0" w:color="auto"/>
            </w:tcBorders>
            <w:shd w:val="clear" w:color="auto" w:fill="auto"/>
            <w:noWrap/>
            <w:vAlign w:val="bottom"/>
            <w:hideMark/>
          </w:tcPr>
          <w:p w14:paraId="7F02B4B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5DB202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626D4C0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609F2B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6B2533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22E556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568FC2C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431705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D6D35BC"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507BB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Puerto Rico</w:t>
            </w:r>
          </w:p>
        </w:tc>
        <w:tc>
          <w:tcPr>
            <w:tcW w:w="0" w:type="auto"/>
            <w:tcBorders>
              <w:top w:val="nil"/>
              <w:left w:val="nil"/>
              <w:bottom w:val="single" w:sz="4" w:space="0" w:color="auto"/>
              <w:right w:val="single" w:sz="4" w:space="0" w:color="auto"/>
            </w:tcBorders>
            <w:shd w:val="clear" w:color="auto" w:fill="auto"/>
            <w:noWrap/>
            <w:vAlign w:val="bottom"/>
            <w:hideMark/>
          </w:tcPr>
          <w:p w14:paraId="35A737D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Costas</w:t>
            </w:r>
          </w:p>
        </w:tc>
        <w:tc>
          <w:tcPr>
            <w:tcW w:w="0" w:type="auto"/>
            <w:tcBorders>
              <w:top w:val="nil"/>
              <w:left w:val="nil"/>
              <w:bottom w:val="single" w:sz="4" w:space="0" w:color="auto"/>
              <w:right w:val="single" w:sz="4" w:space="0" w:color="auto"/>
            </w:tcBorders>
            <w:shd w:val="clear" w:color="auto" w:fill="auto"/>
            <w:noWrap/>
            <w:vAlign w:val="bottom"/>
            <w:hideMark/>
          </w:tcPr>
          <w:p w14:paraId="6B16A99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1978</w:t>
            </w:r>
          </w:p>
        </w:tc>
        <w:tc>
          <w:tcPr>
            <w:tcW w:w="0" w:type="auto"/>
            <w:tcBorders>
              <w:top w:val="nil"/>
              <w:left w:val="nil"/>
              <w:bottom w:val="single" w:sz="4" w:space="0" w:color="auto"/>
              <w:right w:val="single" w:sz="4" w:space="0" w:color="auto"/>
            </w:tcBorders>
            <w:shd w:val="clear" w:color="auto" w:fill="auto"/>
            <w:noWrap/>
            <w:vAlign w:val="bottom"/>
            <w:hideMark/>
          </w:tcPr>
          <w:p w14:paraId="5F76032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1965</w:t>
            </w:r>
          </w:p>
        </w:tc>
        <w:tc>
          <w:tcPr>
            <w:tcW w:w="0" w:type="auto"/>
            <w:tcBorders>
              <w:top w:val="nil"/>
              <w:left w:val="nil"/>
              <w:bottom w:val="single" w:sz="4" w:space="0" w:color="auto"/>
              <w:right w:val="single" w:sz="4" w:space="0" w:color="auto"/>
            </w:tcBorders>
            <w:shd w:val="clear" w:color="auto" w:fill="auto"/>
            <w:noWrap/>
            <w:vAlign w:val="bottom"/>
            <w:hideMark/>
          </w:tcPr>
          <w:p w14:paraId="4D644A5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B84842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5CFC8B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4F54769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57463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D2D9C6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9D4D40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64D729D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4CE75A4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B3473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Surinam</w:t>
            </w:r>
          </w:p>
        </w:tc>
        <w:tc>
          <w:tcPr>
            <w:tcW w:w="0" w:type="auto"/>
            <w:tcBorders>
              <w:top w:val="nil"/>
              <w:left w:val="nil"/>
              <w:bottom w:val="single" w:sz="4" w:space="0" w:color="auto"/>
              <w:right w:val="single" w:sz="4" w:space="0" w:color="auto"/>
            </w:tcBorders>
            <w:shd w:val="clear" w:color="auto" w:fill="auto"/>
            <w:noWrap/>
            <w:vAlign w:val="bottom"/>
            <w:hideMark/>
          </w:tcPr>
          <w:p w14:paraId="65BFBB41"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Krishnadath</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7FA84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4766477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39D14EA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DC2C75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24652AD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8287D3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57EF3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C81A53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4AD0A3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D6D15B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2A7BDFC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7E801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Trinidad and Tobago</w:t>
            </w:r>
          </w:p>
        </w:tc>
        <w:tc>
          <w:tcPr>
            <w:tcW w:w="0" w:type="auto"/>
            <w:tcBorders>
              <w:top w:val="nil"/>
              <w:left w:val="nil"/>
              <w:bottom w:val="single" w:sz="4" w:space="0" w:color="auto"/>
              <w:right w:val="single" w:sz="4" w:space="0" w:color="auto"/>
            </w:tcBorders>
            <w:shd w:val="clear" w:color="auto" w:fill="auto"/>
            <w:noWrap/>
            <w:vAlign w:val="bottom"/>
            <w:hideMark/>
          </w:tcPr>
          <w:p w14:paraId="2A043A89"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Miljkovic-Gacic</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F46673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4AF3AEA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813E7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468C0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6B780F1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7E6C88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BA7DCA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1C8C5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E3AF5E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6F89BC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741A5BD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43C22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Trinidad and Tobago</w:t>
            </w:r>
          </w:p>
        </w:tc>
        <w:tc>
          <w:tcPr>
            <w:tcW w:w="0" w:type="auto"/>
            <w:tcBorders>
              <w:top w:val="nil"/>
              <w:left w:val="nil"/>
              <w:bottom w:val="single" w:sz="4" w:space="0" w:color="auto"/>
              <w:right w:val="single" w:sz="4" w:space="0" w:color="auto"/>
            </w:tcBorders>
            <w:shd w:val="clear" w:color="auto" w:fill="auto"/>
            <w:noWrap/>
            <w:vAlign w:val="bottom"/>
            <w:hideMark/>
          </w:tcPr>
          <w:p w14:paraId="5B7B761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Miller</w:t>
            </w:r>
          </w:p>
        </w:tc>
        <w:tc>
          <w:tcPr>
            <w:tcW w:w="0" w:type="auto"/>
            <w:tcBorders>
              <w:top w:val="nil"/>
              <w:left w:val="nil"/>
              <w:bottom w:val="single" w:sz="4" w:space="0" w:color="auto"/>
              <w:right w:val="single" w:sz="4" w:space="0" w:color="auto"/>
            </w:tcBorders>
            <w:shd w:val="clear" w:color="auto" w:fill="auto"/>
            <w:noWrap/>
            <w:vAlign w:val="bottom"/>
            <w:hideMark/>
          </w:tcPr>
          <w:p w14:paraId="2A6DD47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1989</w:t>
            </w:r>
          </w:p>
        </w:tc>
        <w:tc>
          <w:tcPr>
            <w:tcW w:w="0" w:type="auto"/>
            <w:tcBorders>
              <w:top w:val="nil"/>
              <w:left w:val="nil"/>
              <w:bottom w:val="single" w:sz="4" w:space="0" w:color="auto"/>
              <w:right w:val="single" w:sz="4" w:space="0" w:color="auto"/>
            </w:tcBorders>
            <w:shd w:val="clear" w:color="auto" w:fill="auto"/>
            <w:noWrap/>
            <w:vAlign w:val="bottom"/>
            <w:hideMark/>
          </w:tcPr>
          <w:p w14:paraId="527D25C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1979</w:t>
            </w:r>
          </w:p>
        </w:tc>
        <w:tc>
          <w:tcPr>
            <w:tcW w:w="0" w:type="auto"/>
            <w:tcBorders>
              <w:top w:val="nil"/>
              <w:left w:val="nil"/>
              <w:bottom w:val="single" w:sz="4" w:space="0" w:color="auto"/>
              <w:right w:val="single" w:sz="4" w:space="0" w:color="auto"/>
            </w:tcBorders>
            <w:shd w:val="clear" w:color="auto" w:fill="auto"/>
            <w:noWrap/>
            <w:vAlign w:val="bottom"/>
            <w:hideMark/>
          </w:tcPr>
          <w:p w14:paraId="261F653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7AB69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7BC716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6356C0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1D166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0F2517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B2C952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2862DF3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7B07A0B5"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2CBB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Uruguay</w:t>
            </w:r>
          </w:p>
        </w:tc>
        <w:tc>
          <w:tcPr>
            <w:tcW w:w="0" w:type="auto"/>
            <w:tcBorders>
              <w:top w:val="nil"/>
              <w:left w:val="nil"/>
              <w:bottom w:val="single" w:sz="4" w:space="0" w:color="auto"/>
              <w:right w:val="single" w:sz="4" w:space="0" w:color="auto"/>
            </w:tcBorders>
            <w:shd w:val="clear" w:color="auto" w:fill="auto"/>
            <w:noWrap/>
            <w:vAlign w:val="bottom"/>
            <w:hideMark/>
          </w:tcPr>
          <w:p w14:paraId="478DAF0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Rubinstein</w:t>
            </w:r>
          </w:p>
        </w:tc>
        <w:tc>
          <w:tcPr>
            <w:tcW w:w="0" w:type="auto"/>
            <w:tcBorders>
              <w:top w:val="nil"/>
              <w:left w:val="nil"/>
              <w:bottom w:val="single" w:sz="4" w:space="0" w:color="auto"/>
              <w:right w:val="single" w:sz="4" w:space="0" w:color="auto"/>
            </w:tcBorders>
            <w:shd w:val="clear" w:color="auto" w:fill="auto"/>
            <w:noWrap/>
            <w:vAlign w:val="bottom"/>
            <w:hideMark/>
          </w:tcPr>
          <w:p w14:paraId="217F8172"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3395C23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2011</w:t>
            </w:r>
          </w:p>
        </w:tc>
        <w:tc>
          <w:tcPr>
            <w:tcW w:w="0" w:type="auto"/>
            <w:tcBorders>
              <w:top w:val="nil"/>
              <w:left w:val="nil"/>
              <w:bottom w:val="single" w:sz="4" w:space="0" w:color="auto"/>
              <w:right w:val="single" w:sz="4" w:space="0" w:color="auto"/>
            </w:tcBorders>
            <w:shd w:val="clear" w:color="auto" w:fill="auto"/>
            <w:noWrap/>
            <w:vAlign w:val="bottom"/>
            <w:hideMark/>
          </w:tcPr>
          <w:p w14:paraId="13487C9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31</w:t>
            </w:r>
          </w:p>
        </w:tc>
        <w:tc>
          <w:tcPr>
            <w:tcW w:w="0" w:type="auto"/>
            <w:tcBorders>
              <w:top w:val="nil"/>
              <w:left w:val="nil"/>
              <w:bottom w:val="single" w:sz="4" w:space="0" w:color="auto"/>
              <w:right w:val="single" w:sz="4" w:space="0" w:color="auto"/>
            </w:tcBorders>
            <w:shd w:val="clear" w:color="auto" w:fill="auto"/>
            <w:noWrap/>
            <w:vAlign w:val="bottom"/>
            <w:hideMark/>
          </w:tcPr>
          <w:p w14:paraId="5EE17B8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0B4E05B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31.6</w:t>
            </w:r>
          </w:p>
        </w:tc>
        <w:tc>
          <w:tcPr>
            <w:tcW w:w="825" w:type="dxa"/>
            <w:tcBorders>
              <w:top w:val="nil"/>
              <w:left w:val="nil"/>
              <w:bottom w:val="single" w:sz="4" w:space="0" w:color="auto"/>
              <w:right w:val="single" w:sz="4" w:space="0" w:color="auto"/>
            </w:tcBorders>
            <w:shd w:val="clear" w:color="auto" w:fill="auto"/>
            <w:noWrap/>
            <w:vAlign w:val="bottom"/>
            <w:hideMark/>
          </w:tcPr>
          <w:p w14:paraId="4B3D7B5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&gt;=160</w:t>
            </w:r>
          </w:p>
        </w:tc>
        <w:tc>
          <w:tcPr>
            <w:tcW w:w="0" w:type="auto"/>
            <w:tcBorders>
              <w:top w:val="nil"/>
              <w:left w:val="nil"/>
              <w:bottom w:val="single" w:sz="4" w:space="0" w:color="auto"/>
              <w:right w:val="single" w:sz="4" w:space="0" w:color="auto"/>
            </w:tcBorders>
            <w:shd w:val="clear" w:color="auto" w:fill="auto"/>
            <w:noWrap/>
            <w:vAlign w:val="bottom"/>
            <w:hideMark/>
          </w:tcPr>
          <w:p w14:paraId="10B0C3B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25.4</w:t>
            </w:r>
          </w:p>
        </w:tc>
        <w:tc>
          <w:tcPr>
            <w:tcW w:w="1314" w:type="dxa"/>
            <w:tcBorders>
              <w:top w:val="nil"/>
              <w:left w:val="nil"/>
              <w:bottom w:val="single" w:sz="4" w:space="0" w:color="auto"/>
              <w:right w:val="single" w:sz="4" w:space="0" w:color="auto"/>
            </w:tcBorders>
            <w:shd w:val="clear" w:color="auto" w:fill="auto"/>
            <w:noWrap/>
            <w:vAlign w:val="bottom"/>
            <w:hideMark/>
          </w:tcPr>
          <w:p w14:paraId="685135E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0E8D7A0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15.7</w:t>
            </w:r>
          </w:p>
        </w:tc>
        <w:tc>
          <w:tcPr>
            <w:tcW w:w="866" w:type="dxa"/>
            <w:tcBorders>
              <w:top w:val="nil"/>
              <w:left w:val="nil"/>
              <w:bottom w:val="single" w:sz="4" w:space="0" w:color="auto"/>
              <w:right w:val="single" w:sz="4" w:space="0" w:color="auto"/>
            </w:tcBorders>
            <w:shd w:val="clear" w:color="auto" w:fill="auto"/>
            <w:noWrap/>
            <w:vAlign w:val="bottom"/>
            <w:hideMark/>
          </w:tcPr>
          <w:p w14:paraId="648FC86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0D7D6A80"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AD2DA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US Virgin Islands</w:t>
            </w:r>
          </w:p>
        </w:tc>
        <w:tc>
          <w:tcPr>
            <w:tcW w:w="0" w:type="auto"/>
            <w:tcBorders>
              <w:top w:val="nil"/>
              <w:left w:val="nil"/>
              <w:bottom w:val="single" w:sz="4" w:space="0" w:color="auto"/>
              <w:right w:val="single" w:sz="4" w:space="0" w:color="auto"/>
            </w:tcBorders>
            <w:shd w:val="clear" w:color="auto" w:fill="auto"/>
            <w:noWrap/>
            <w:vAlign w:val="bottom"/>
            <w:hideMark/>
          </w:tcPr>
          <w:p w14:paraId="04BE0B4F"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Tull</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9C497D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5602BBA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1998</w:t>
            </w:r>
          </w:p>
        </w:tc>
        <w:tc>
          <w:tcPr>
            <w:tcW w:w="0" w:type="auto"/>
            <w:tcBorders>
              <w:top w:val="nil"/>
              <w:left w:val="nil"/>
              <w:bottom w:val="single" w:sz="4" w:space="0" w:color="auto"/>
              <w:right w:val="single" w:sz="4" w:space="0" w:color="auto"/>
            </w:tcBorders>
            <w:shd w:val="clear" w:color="auto" w:fill="auto"/>
            <w:noWrap/>
            <w:vAlign w:val="bottom"/>
            <w:hideMark/>
          </w:tcPr>
          <w:p w14:paraId="41E68CC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4B3793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343E4BC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4ED39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BD1BE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43.31</w:t>
            </w:r>
          </w:p>
        </w:tc>
        <w:tc>
          <w:tcPr>
            <w:tcW w:w="1314" w:type="dxa"/>
            <w:tcBorders>
              <w:top w:val="nil"/>
              <w:left w:val="nil"/>
              <w:bottom w:val="single" w:sz="4" w:space="0" w:color="auto"/>
              <w:right w:val="single" w:sz="4" w:space="0" w:color="auto"/>
            </w:tcBorders>
            <w:shd w:val="clear" w:color="auto" w:fill="auto"/>
            <w:noWrap/>
            <w:vAlign w:val="bottom"/>
            <w:hideMark/>
          </w:tcPr>
          <w:p w14:paraId="10E4B60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3127F21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14.66</w:t>
            </w:r>
          </w:p>
        </w:tc>
        <w:tc>
          <w:tcPr>
            <w:tcW w:w="866" w:type="dxa"/>
            <w:tcBorders>
              <w:top w:val="nil"/>
              <w:left w:val="nil"/>
              <w:bottom w:val="single" w:sz="4" w:space="0" w:color="auto"/>
              <w:right w:val="single" w:sz="4" w:space="0" w:color="auto"/>
            </w:tcBorders>
            <w:shd w:val="clear" w:color="auto" w:fill="auto"/>
            <w:noWrap/>
            <w:vAlign w:val="bottom"/>
            <w:hideMark/>
          </w:tcPr>
          <w:p w14:paraId="647F94D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0994AF1"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6B700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US Virgin Islands</w:t>
            </w:r>
          </w:p>
        </w:tc>
        <w:tc>
          <w:tcPr>
            <w:tcW w:w="0" w:type="auto"/>
            <w:tcBorders>
              <w:top w:val="nil"/>
              <w:left w:val="nil"/>
              <w:bottom w:val="single" w:sz="4" w:space="0" w:color="auto"/>
              <w:right w:val="single" w:sz="4" w:space="0" w:color="auto"/>
            </w:tcBorders>
            <w:shd w:val="clear" w:color="auto" w:fill="auto"/>
            <w:noWrap/>
            <w:vAlign w:val="bottom"/>
            <w:hideMark/>
          </w:tcPr>
          <w:p w14:paraId="77B60AAB"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Tull</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C4369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0B6DF04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1998</w:t>
            </w:r>
          </w:p>
        </w:tc>
        <w:tc>
          <w:tcPr>
            <w:tcW w:w="0" w:type="auto"/>
            <w:tcBorders>
              <w:top w:val="nil"/>
              <w:left w:val="nil"/>
              <w:bottom w:val="single" w:sz="4" w:space="0" w:color="auto"/>
              <w:right w:val="single" w:sz="4" w:space="0" w:color="auto"/>
            </w:tcBorders>
            <w:shd w:val="clear" w:color="auto" w:fill="auto"/>
            <w:noWrap/>
            <w:vAlign w:val="bottom"/>
            <w:hideMark/>
          </w:tcPr>
          <w:p w14:paraId="13A7B5F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FC032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161264F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AB6F64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129FE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3D8DAE9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7F6FEE3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412642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725EB48F"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DCD56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lastRenderedPageBreak/>
              <w:t>Venezuela</w:t>
            </w:r>
          </w:p>
        </w:tc>
        <w:tc>
          <w:tcPr>
            <w:tcW w:w="0" w:type="auto"/>
            <w:tcBorders>
              <w:top w:val="nil"/>
              <w:left w:val="nil"/>
              <w:bottom w:val="single" w:sz="4" w:space="0" w:color="auto"/>
              <w:right w:val="single" w:sz="4" w:space="0" w:color="auto"/>
            </w:tcBorders>
            <w:shd w:val="clear" w:color="auto" w:fill="auto"/>
            <w:noWrap/>
            <w:vAlign w:val="bottom"/>
            <w:hideMark/>
          </w:tcPr>
          <w:p w14:paraId="69F449DA"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Uzcategui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BC2242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41F2FFC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224C6EC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42CC8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2ADBAD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1DE511B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7E4490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84.2</w:t>
            </w:r>
          </w:p>
        </w:tc>
        <w:tc>
          <w:tcPr>
            <w:tcW w:w="1314" w:type="dxa"/>
            <w:tcBorders>
              <w:top w:val="nil"/>
              <w:left w:val="nil"/>
              <w:bottom w:val="single" w:sz="4" w:space="0" w:color="auto"/>
              <w:right w:val="single" w:sz="4" w:space="0" w:color="auto"/>
            </w:tcBorders>
            <w:shd w:val="clear" w:color="auto" w:fill="auto"/>
            <w:noWrap/>
            <w:vAlign w:val="bottom"/>
            <w:hideMark/>
          </w:tcPr>
          <w:p w14:paraId="0BD2855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2650F39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35.7</w:t>
            </w:r>
          </w:p>
        </w:tc>
        <w:tc>
          <w:tcPr>
            <w:tcW w:w="866" w:type="dxa"/>
            <w:tcBorders>
              <w:top w:val="nil"/>
              <w:left w:val="nil"/>
              <w:bottom w:val="single" w:sz="4" w:space="0" w:color="auto"/>
              <w:right w:val="single" w:sz="4" w:space="0" w:color="auto"/>
            </w:tcBorders>
            <w:shd w:val="clear" w:color="auto" w:fill="auto"/>
            <w:noWrap/>
            <w:vAlign w:val="bottom"/>
            <w:hideMark/>
          </w:tcPr>
          <w:p w14:paraId="0A9E34D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121633DB"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41CD9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Venezuela</w:t>
            </w:r>
          </w:p>
        </w:tc>
        <w:tc>
          <w:tcPr>
            <w:tcW w:w="0" w:type="auto"/>
            <w:tcBorders>
              <w:top w:val="nil"/>
              <w:left w:val="nil"/>
              <w:bottom w:val="single" w:sz="4" w:space="0" w:color="auto"/>
              <w:right w:val="single" w:sz="4" w:space="0" w:color="auto"/>
            </w:tcBorders>
            <w:shd w:val="clear" w:color="auto" w:fill="auto"/>
            <w:noWrap/>
            <w:vAlign w:val="bottom"/>
            <w:hideMark/>
          </w:tcPr>
          <w:p w14:paraId="15789BE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Salazar</w:t>
            </w:r>
          </w:p>
        </w:tc>
        <w:tc>
          <w:tcPr>
            <w:tcW w:w="0" w:type="auto"/>
            <w:tcBorders>
              <w:top w:val="nil"/>
              <w:left w:val="nil"/>
              <w:bottom w:val="single" w:sz="4" w:space="0" w:color="auto"/>
              <w:right w:val="single" w:sz="4" w:space="0" w:color="auto"/>
            </w:tcBorders>
            <w:shd w:val="clear" w:color="auto" w:fill="auto"/>
            <w:noWrap/>
            <w:vAlign w:val="bottom"/>
            <w:hideMark/>
          </w:tcPr>
          <w:p w14:paraId="4F00DCE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6F2785C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5A43E06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05E48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721DFA7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31DBF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7522EF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16DFDFF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5A006B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27.2</w:t>
            </w:r>
          </w:p>
        </w:tc>
        <w:tc>
          <w:tcPr>
            <w:tcW w:w="866" w:type="dxa"/>
            <w:tcBorders>
              <w:top w:val="nil"/>
              <w:left w:val="nil"/>
              <w:bottom w:val="single" w:sz="4" w:space="0" w:color="auto"/>
              <w:right w:val="single" w:sz="4" w:space="0" w:color="auto"/>
            </w:tcBorders>
            <w:shd w:val="clear" w:color="auto" w:fill="auto"/>
            <w:noWrap/>
            <w:vAlign w:val="bottom"/>
            <w:hideMark/>
          </w:tcPr>
          <w:p w14:paraId="072E30E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6DEB6508"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D025A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Venezuela</w:t>
            </w:r>
          </w:p>
        </w:tc>
        <w:tc>
          <w:tcPr>
            <w:tcW w:w="0" w:type="auto"/>
            <w:tcBorders>
              <w:top w:val="nil"/>
              <w:left w:val="nil"/>
              <w:bottom w:val="single" w:sz="4" w:space="0" w:color="auto"/>
              <w:right w:val="single" w:sz="4" w:space="0" w:color="auto"/>
            </w:tcBorders>
            <w:shd w:val="clear" w:color="auto" w:fill="auto"/>
            <w:noWrap/>
            <w:vAlign w:val="bottom"/>
            <w:hideMark/>
          </w:tcPr>
          <w:p w14:paraId="64419AB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Bermudez</w:t>
            </w:r>
          </w:p>
        </w:tc>
        <w:tc>
          <w:tcPr>
            <w:tcW w:w="0" w:type="auto"/>
            <w:tcBorders>
              <w:top w:val="nil"/>
              <w:left w:val="nil"/>
              <w:bottom w:val="single" w:sz="4" w:space="0" w:color="auto"/>
              <w:right w:val="single" w:sz="4" w:space="0" w:color="auto"/>
            </w:tcBorders>
            <w:shd w:val="clear" w:color="auto" w:fill="auto"/>
            <w:noWrap/>
            <w:vAlign w:val="bottom"/>
            <w:hideMark/>
          </w:tcPr>
          <w:p w14:paraId="43D91B8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7B02A51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2014</w:t>
            </w:r>
          </w:p>
        </w:tc>
        <w:tc>
          <w:tcPr>
            <w:tcW w:w="0" w:type="auto"/>
            <w:tcBorders>
              <w:top w:val="nil"/>
              <w:left w:val="nil"/>
              <w:bottom w:val="single" w:sz="4" w:space="0" w:color="auto"/>
              <w:right w:val="single" w:sz="4" w:space="0" w:color="auto"/>
            </w:tcBorders>
            <w:shd w:val="clear" w:color="auto" w:fill="auto"/>
            <w:noWrap/>
            <w:vAlign w:val="bottom"/>
            <w:hideMark/>
          </w:tcPr>
          <w:p w14:paraId="2F85793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89176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C5419D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16F5EB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923D2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2D408F0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20BBF08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35</w:t>
            </w:r>
          </w:p>
        </w:tc>
        <w:tc>
          <w:tcPr>
            <w:tcW w:w="866" w:type="dxa"/>
            <w:tcBorders>
              <w:top w:val="nil"/>
              <w:left w:val="nil"/>
              <w:bottom w:val="single" w:sz="4" w:space="0" w:color="auto"/>
              <w:right w:val="single" w:sz="4" w:space="0" w:color="auto"/>
            </w:tcBorders>
            <w:shd w:val="clear" w:color="auto" w:fill="auto"/>
            <w:noWrap/>
            <w:vAlign w:val="bottom"/>
            <w:hideMark/>
          </w:tcPr>
          <w:p w14:paraId="65078E4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60D45FC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8FD92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Venezuela</w:t>
            </w:r>
          </w:p>
        </w:tc>
        <w:tc>
          <w:tcPr>
            <w:tcW w:w="0" w:type="auto"/>
            <w:tcBorders>
              <w:top w:val="nil"/>
              <w:left w:val="nil"/>
              <w:bottom w:val="single" w:sz="4" w:space="0" w:color="auto"/>
              <w:right w:val="single" w:sz="4" w:space="0" w:color="auto"/>
            </w:tcBorders>
            <w:shd w:val="clear" w:color="auto" w:fill="auto"/>
            <w:noWrap/>
            <w:vAlign w:val="bottom"/>
            <w:hideMark/>
          </w:tcPr>
          <w:p w14:paraId="7B8B2AC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Fernandez</w:t>
            </w:r>
          </w:p>
        </w:tc>
        <w:tc>
          <w:tcPr>
            <w:tcW w:w="0" w:type="auto"/>
            <w:tcBorders>
              <w:top w:val="nil"/>
              <w:left w:val="nil"/>
              <w:bottom w:val="single" w:sz="4" w:space="0" w:color="auto"/>
              <w:right w:val="single" w:sz="4" w:space="0" w:color="auto"/>
            </w:tcBorders>
            <w:shd w:val="clear" w:color="auto" w:fill="auto"/>
            <w:noWrap/>
            <w:vAlign w:val="bottom"/>
            <w:hideMark/>
          </w:tcPr>
          <w:p w14:paraId="24F5CEC5"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050A1C6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EF93A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5001C0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040E2F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5450A33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492E56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02786A6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6096C92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13AFF84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4D86AC5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6A768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Venezuela</w:t>
            </w:r>
          </w:p>
        </w:tc>
        <w:tc>
          <w:tcPr>
            <w:tcW w:w="0" w:type="auto"/>
            <w:tcBorders>
              <w:top w:val="nil"/>
              <w:left w:val="nil"/>
              <w:bottom w:val="single" w:sz="4" w:space="0" w:color="auto"/>
              <w:right w:val="single" w:sz="4" w:space="0" w:color="auto"/>
            </w:tcBorders>
            <w:shd w:val="clear" w:color="auto" w:fill="auto"/>
            <w:noWrap/>
            <w:vAlign w:val="bottom"/>
            <w:hideMark/>
          </w:tcPr>
          <w:p w14:paraId="65513BA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xml:space="preserve">Florez </w:t>
            </w:r>
          </w:p>
        </w:tc>
        <w:tc>
          <w:tcPr>
            <w:tcW w:w="0" w:type="auto"/>
            <w:tcBorders>
              <w:top w:val="nil"/>
              <w:left w:val="nil"/>
              <w:bottom w:val="single" w:sz="4" w:space="0" w:color="auto"/>
              <w:right w:val="single" w:sz="4" w:space="0" w:color="auto"/>
            </w:tcBorders>
            <w:shd w:val="clear" w:color="auto" w:fill="auto"/>
            <w:noWrap/>
            <w:vAlign w:val="bottom"/>
            <w:hideMark/>
          </w:tcPr>
          <w:p w14:paraId="786B75F9"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2005</w:t>
            </w:r>
          </w:p>
        </w:tc>
        <w:tc>
          <w:tcPr>
            <w:tcW w:w="0" w:type="auto"/>
            <w:tcBorders>
              <w:top w:val="nil"/>
              <w:left w:val="nil"/>
              <w:bottom w:val="single" w:sz="4" w:space="0" w:color="auto"/>
              <w:right w:val="single" w:sz="4" w:space="0" w:color="auto"/>
            </w:tcBorders>
            <w:shd w:val="clear" w:color="auto" w:fill="auto"/>
            <w:noWrap/>
            <w:vAlign w:val="bottom"/>
            <w:hideMark/>
          </w:tcPr>
          <w:p w14:paraId="4D99C3A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2000</w:t>
            </w:r>
          </w:p>
        </w:tc>
        <w:tc>
          <w:tcPr>
            <w:tcW w:w="0" w:type="auto"/>
            <w:tcBorders>
              <w:top w:val="nil"/>
              <w:left w:val="nil"/>
              <w:bottom w:val="single" w:sz="4" w:space="0" w:color="auto"/>
              <w:right w:val="single" w:sz="4" w:space="0" w:color="auto"/>
            </w:tcBorders>
            <w:shd w:val="clear" w:color="auto" w:fill="auto"/>
            <w:noWrap/>
            <w:vAlign w:val="bottom"/>
            <w:hideMark/>
          </w:tcPr>
          <w:p w14:paraId="1EF38A4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0B96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5786C5F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686626A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1E6589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65.3</w:t>
            </w:r>
          </w:p>
        </w:tc>
        <w:tc>
          <w:tcPr>
            <w:tcW w:w="1314" w:type="dxa"/>
            <w:tcBorders>
              <w:top w:val="nil"/>
              <w:left w:val="nil"/>
              <w:bottom w:val="single" w:sz="4" w:space="0" w:color="auto"/>
              <w:right w:val="single" w:sz="4" w:space="0" w:color="auto"/>
            </w:tcBorders>
            <w:shd w:val="clear" w:color="auto" w:fill="auto"/>
            <w:noWrap/>
            <w:vAlign w:val="bottom"/>
            <w:hideMark/>
          </w:tcPr>
          <w:p w14:paraId="6CE19D5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265D7EC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32.3</w:t>
            </w:r>
          </w:p>
        </w:tc>
        <w:tc>
          <w:tcPr>
            <w:tcW w:w="866" w:type="dxa"/>
            <w:tcBorders>
              <w:top w:val="nil"/>
              <w:left w:val="nil"/>
              <w:bottom w:val="single" w:sz="4" w:space="0" w:color="auto"/>
              <w:right w:val="single" w:sz="4" w:space="0" w:color="auto"/>
            </w:tcBorders>
            <w:shd w:val="clear" w:color="auto" w:fill="auto"/>
            <w:noWrap/>
            <w:vAlign w:val="bottom"/>
            <w:hideMark/>
          </w:tcPr>
          <w:p w14:paraId="6BD4607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7D5FF477"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8DAB0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Venezuela</w:t>
            </w:r>
          </w:p>
        </w:tc>
        <w:tc>
          <w:tcPr>
            <w:tcW w:w="0" w:type="auto"/>
            <w:tcBorders>
              <w:top w:val="nil"/>
              <w:left w:val="nil"/>
              <w:bottom w:val="single" w:sz="4" w:space="0" w:color="auto"/>
              <w:right w:val="single" w:sz="4" w:space="0" w:color="auto"/>
            </w:tcBorders>
            <w:shd w:val="clear" w:color="auto" w:fill="auto"/>
            <w:noWrap/>
            <w:vAlign w:val="bottom"/>
            <w:hideMark/>
          </w:tcPr>
          <w:p w14:paraId="4FE6A180"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xml:space="preserve">Gonzales-Rivas </w:t>
            </w:r>
          </w:p>
        </w:tc>
        <w:tc>
          <w:tcPr>
            <w:tcW w:w="0" w:type="auto"/>
            <w:tcBorders>
              <w:top w:val="nil"/>
              <w:left w:val="nil"/>
              <w:bottom w:val="single" w:sz="4" w:space="0" w:color="auto"/>
              <w:right w:val="single" w:sz="4" w:space="0" w:color="auto"/>
            </w:tcBorders>
            <w:shd w:val="clear" w:color="auto" w:fill="auto"/>
            <w:noWrap/>
            <w:vAlign w:val="bottom"/>
            <w:hideMark/>
          </w:tcPr>
          <w:p w14:paraId="5DCE9EAA"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5AA9C09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2008</w:t>
            </w:r>
          </w:p>
        </w:tc>
        <w:tc>
          <w:tcPr>
            <w:tcW w:w="0" w:type="auto"/>
            <w:tcBorders>
              <w:top w:val="nil"/>
              <w:left w:val="nil"/>
              <w:bottom w:val="single" w:sz="4" w:space="0" w:color="auto"/>
              <w:right w:val="single" w:sz="4" w:space="0" w:color="auto"/>
            </w:tcBorders>
            <w:shd w:val="clear" w:color="auto" w:fill="auto"/>
            <w:noWrap/>
            <w:vAlign w:val="bottom"/>
            <w:hideMark/>
          </w:tcPr>
          <w:p w14:paraId="3D4D483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8D8B2D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0C51867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2E9FA0E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ED71F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7C39468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C546FC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66" w:type="dxa"/>
            <w:tcBorders>
              <w:top w:val="nil"/>
              <w:left w:val="nil"/>
              <w:bottom w:val="single" w:sz="4" w:space="0" w:color="auto"/>
              <w:right w:val="single" w:sz="4" w:space="0" w:color="auto"/>
            </w:tcBorders>
            <w:shd w:val="clear" w:color="auto" w:fill="auto"/>
            <w:noWrap/>
            <w:vAlign w:val="bottom"/>
            <w:hideMark/>
          </w:tcPr>
          <w:p w14:paraId="0E5210E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r>
      <w:tr w:rsidR="00665066" w:rsidRPr="00665066" w14:paraId="5B5AD14E"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2650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Venezuela</w:t>
            </w:r>
          </w:p>
        </w:tc>
        <w:tc>
          <w:tcPr>
            <w:tcW w:w="0" w:type="auto"/>
            <w:tcBorders>
              <w:top w:val="nil"/>
              <w:left w:val="nil"/>
              <w:bottom w:val="single" w:sz="4" w:space="0" w:color="auto"/>
              <w:right w:val="single" w:sz="4" w:space="0" w:color="auto"/>
            </w:tcBorders>
            <w:shd w:val="clear" w:color="auto" w:fill="auto"/>
            <w:noWrap/>
            <w:vAlign w:val="bottom"/>
            <w:hideMark/>
          </w:tcPr>
          <w:p w14:paraId="595B8C3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Becerra</w:t>
            </w:r>
          </w:p>
        </w:tc>
        <w:tc>
          <w:tcPr>
            <w:tcW w:w="0" w:type="auto"/>
            <w:tcBorders>
              <w:top w:val="nil"/>
              <w:left w:val="nil"/>
              <w:bottom w:val="single" w:sz="4" w:space="0" w:color="auto"/>
              <w:right w:val="single" w:sz="4" w:space="0" w:color="auto"/>
            </w:tcBorders>
            <w:shd w:val="clear" w:color="auto" w:fill="auto"/>
            <w:noWrap/>
            <w:vAlign w:val="bottom"/>
            <w:hideMark/>
          </w:tcPr>
          <w:p w14:paraId="282035A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2009</w:t>
            </w:r>
          </w:p>
        </w:tc>
        <w:tc>
          <w:tcPr>
            <w:tcW w:w="0" w:type="auto"/>
            <w:tcBorders>
              <w:top w:val="nil"/>
              <w:left w:val="nil"/>
              <w:bottom w:val="single" w:sz="4" w:space="0" w:color="auto"/>
              <w:right w:val="single" w:sz="4" w:space="0" w:color="auto"/>
            </w:tcBorders>
            <w:shd w:val="clear" w:color="auto" w:fill="auto"/>
            <w:noWrap/>
            <w:vAlign w:val="bottom"/>
            <w:hideMark/>
          </w:tcPr>
          <w:p w14:paraId="76B6858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2007</w:t>
            </w:r>
          </w:p>
        </w:tc>
        <w:tc>
          <w:tcPr>
            <w:tcW w:w="0" w:type="auto"/>
            <w:tcBorders>
              <w:top w:val="nil"/>
              <w:left w:val="nil"/>
              <w:bottom w:val="single" w:sz="4" w:space="0" w:color="auto"/>
              <w:right w:val="single" w:sz="4" w:space="0" w:color="auto"/>
            </w:tcBorders>
            <w:shd w:val="clear" w:color="auto" w:fill="auto"/>
            <w:noWrap/>
            <w:vAlign w:val="bottom"/>
            <w:hideMark/>
          </w:tcPr>
          <w:p w14:paraId="532C972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33</w:t>
            </w:r>
          </w:p>
        </w:tc>
        <w:tc>
          <w:tcPr>
            <w:tcW w:w="0" w:type="auto"/>
            <w:tcBorders>
              <w:top w:val="nil"/>
              <w:left w:val="nil"/>
              <w:bottom w:val="single" w:sz="4" w:space="0" w:color="auto"/>
              <w:right w:val="single" w:sz="4" w:space="0" w:color="auto"/>
            </w:tcBorders>
            <w:shd w:val="clear" w:color="auto" w:fill="auto"/>
            <w:noWrap/>
            <w:vAlign w:val="bottom"/>
            <w:hideMark/>
          </w:tcPr>
          <w:p w14:paraId="70AFA595"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c>
          <w:tcPr>
            <w:tcW w:w="643" w:type="dxa"/>
            <w:tcBorders>
              <w:top w:val="nil"/>
              <w:left w:val="nil"/>
              <w:bottom w:val="single" w:sz="4" w:space="0" w:color="auto"/>
              <w:right w:val="single" w:sz="4" w:space="0" w:color="auto"/>
            </w:tcBorders>
            <w:shd w:val="clear" w:color="auto" w:fill="auto"/>
            <w:noWrap/>
            <w:vAlign w:val="bottom"/>
            <w:hideMark/>
          </w:tcPr>
          <w:p w14:paraId="1D702CF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737A69B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370EE3"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76</w:t>
            </w:r>
          </w:p>
        </w:tc>
        <w:tc>
          <w:tcPr>
            <w:tcW w:w="1314" w:type="dxa"/>
            <w:tcBorders>
              <w:top w:val="nil"/>
              <w:left w:val="nil"/>
              <w:bottom w:val="single" w:sz="4" w:space="0" w:color="auto"/>
              <w:right w:val="single" w:sz="4" w:space="0" w:color="auto"/>
            </w:tcBorders>
            <w:shd w:val="clear" w:color="auto" w:fill="auto"/>
            <w:noWrap/>
            <w:vAlign w:val="bottom"/>
            <w:hideMark/>
          </w:tcPr>
          <w:p w14:paraId="6D43004A"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&lt;50</w:t>
            </w:r>
          </w:p>
        </w:tc>
        <w:tc>
          <w:tcPr>
            <w:tcW w:w="590" w:type="dxa"/>
            <w:tcBorders>
              <w:top w:val="nil"/>
              <w:left w:val="nil"/>
              <w:bottom w:val="single" w:sz="4" w:space="0" w:color="auto"/>
              <w:right w:val="single" w:sz="4" w:space="0" w:color="auto"/>
            </w:tcBorders>
            <w:shd w:val="clear" w:color="auto" w:fill="auto"/>
            <w:noWrap/>
            <w:vAlign w:val="bottom"/>
            <w:hideMark/>
          </w:tcPr>
          <w:p w14:paraId="3E6F115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56</w:t>
            </w:r>
          </w:p>
        </w:tc>
        <w:tc>
          <w:tcPr>
            <w:tcW w:w="866" w:type="dxa"/>
            <w:tcBorders>
              <w:top w:val="nil"/>
              <w:left w:val="nil"/>
              <w:bottom w:val="single" w:sz="4" w:space="0" w:color="auto"/>
              <w:right w:val="single" w:sz="4" w:space="0" w:color="auto"/>
            </w:tcBorders>
            <w:shd w:val="clear" w:color="auto" w:fill="auto"/>
            <w:noWrap/>
            <w:vAlign w:val="bottom"/>
            <w:hideMark/>
          </w:tcPr>
          <w:p w14:paraId="45F822C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2626E792"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1C933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Venezuela</w:t>
            </w:r>
          </w:p>
        </w:tc>
        <w:tc>
          <w:tcPr>
            <w:tcW w:w="0" w:type="auto"/>
            <w:tcBorders>
              <w:top w:val="nil"/>
              <w:left w:val="nil"/>
              <w:bottom w:val="single" w:sz="4" w:space="0" w:color="auto"/>
              <w:right w:val="single" w:sz="4" w:space="0" w:color="auto"/>
            </w:tcBorders>
            <w:shd w:val="clear" w:color="auto" w:fill="auto"/>
            <w:noWrap/>
            <w:vAlign w:val="bottom"/>
            <w:hideMark/>
          </w:tcPr>
          <w:p w14:paraId="5147DAA7" w14:textId="77777777" w:rsidR="00665066" w:rsidRPr="00665066" w:rsidRDefault="00665066" w:rsidP="00665066">
            <w:pPr>
              <w:spacing w:after="0" w:line="240" w:lineRule="auto"/>
              <w:rPr>
                <w:rFonts w:ascii="Arial" w:eastAsia="Times New Roman" w:hAnsi="Arial" w:cs="Arial"/>
                <w:color w:val="000000"/>
                <w:sz w:val="16"/>
                <w:szCs w:val="16"/>
                <w:lang w:eastAsia="en-GB"/>
              </w:rPr>
            </w:pPr>
            <w:proofErr w:type="spellStart"/>
            <w:r w:rsidRPr="00665066">
              <w:rPr>
                <w:rFonts w:ascii="Arial" w:eastAsia="Times New Roman" w:hAnsi="Arial" w:cs="Arial"/>
                <w:color w:val="000000"/>
                <w:sz w:val="16"/>
                <w:szCs w:val="16"/>
                <w:lang w:eastAsia="en-GB"/>
              </w:rPr>
              <w:t>Vinueza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C9C0B50"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96AE35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2004</w:t>
            </w:r>
          </w:p>
        </w:tc>
        <w:tc>
          <w:tcPr>
            <w:tcW w:w="0" w:type="auto"/>
            <w:tcBorders>
              <w:top w:val="nil"/>
              <w:left w:val="nil"/>
              <w:bottom w:val="single" w:sz="4" w:space="0" w:color="auto"/>
              <w:right w:val="single" w:sz="4" w:space="0" w:color="auto"/>
            </w:tcBorders>
            <w:shd w:val="clear" w:color="auto" w:fill="auto"/>
            <w:noWrap/>
            <w:vAlign w:val="bottom"/>
            <w:hideMark/>
          </w:tcPr>
          <w:p w14:paraId="349F5971"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5.7</w:t>
            </w:r>
          </w:p>
        </w:tc>
        <w:tc>
          <w:tcPr>
            <w:tcW w:w="0" w:type="auto"/>
            <w:tcBorders>
              <w:top w:val="nil"/>
              <w:left w:val="nil"/>
              <w:bottom w:val="single" w:sz="4" w:space="0" w:color="auto"/>
              <w:right w:val="single" w:sz="4" w:space="0" w:color="auto"/>
            </w:tcBorders>
            <w:shd w:val="clear" w:color="auto" w:fill="auto"/>
            <w:noWrap/>
            <w:vAlign w:val="bottom"/>
            <w:hideMark/>
          </w:tcPr>
          <w:p w14:paraId="603714A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&gt;=240</w:t>
            </w:r>
          </w:p>
        </w:tc>
        <w:tc>
          <w:tcPr>
            <w:tcW w:w="643" w:type="dxa"/>
            <w:tcBorders>
              <w:top w:val="nil"/>
              <w:left w:val="nil"/>
              <w:bottom w:val="single" w:sz="4" w:space="0" w:color="auto"/>
              <w:right w:val="single" w:sz="4" w:space="0" w:color="auto"/>
            </w:tcBorders>
            <w:shd w:val="clear" w:color="auto" w:fill="auto"/>
            <w:noWrap/>
            <w:vAlign w:val="bottom"/>
            <w:hideMark/>
          </w:tcPr>
          <w:p w14:paraId="3C20F568"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9.8</w:t>
            </w:r>
          </w:p>
        </w:tc>
        <w:tc>
          <w:tcPr>
            <w:tcW w:w="825" w:type="dxa"/>
            <w:tcBorders>
              <w:top w:val="nil"/>
              <w:left w:val="nil"/>
              <w:bottom w:val="single" w:sz="4" w:space="0" w:color="auto"/>
              <w:right w:val="single" w:sz="4" w:space="0" w:color="auto"/>
            </w:tcBorders>
            <w:shd w:val="clear" w:color="auto" w:fill="auto"/>
            <w:noWrap/>
            <w:vAlign w:val="bottom"/>
            <w:hideMark/>
          </w:tcPr>
          <w:p w14:paraId="57737856"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mixed with Fr</w:t>
            </w:r>
          </w:p>
        </w:tc>
        <w:tc>
          <w:tcPr>
            <w:tcW w:w="0" w:type="auto"/>
            <w:tcBorders>
              <w:top w:val="nil"/>
              <w:left w:val="nil"/>
              <w:bottom w:val="single" w:sz="4" w:space="0" w:color="auto"/>
              <w:right w:val="single" w:sz="4" w:space="0" w:color="auto"/>
            </w:tcBorders>
            <w:shd w:val="clear" w:color="auto" w:fill="auto"/>
            <w:noWrap/>
            <w:vAlign w:val="bottom"/>
            <w:hideMark/>
          </w:tcPr>
          <w:p w14:paraId="03DC681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52.2</w:t>
            </w:r>
          </w:p>
        </w:tc>
        <w:tc>
          <w:tcPr>
            <w:tcW w:w="1314" w:type="dxa"/>
            <w:tcBorders>
              <w:top w:val="nil"/>
              <w:left w:val="nil"/>
              <w:bottom w:val="single" w:sz="4" w:space="0" w:color="auto"/>
              <w:right w:val="single" w:sz="4" w:space="0" w:color="auto"/>
            </w:tcBorders>
            <w:shd w:val="clear" w:color="auto" w:fill="auto"/>
            <w:noWrap/>
            <w:vAlign w:val="bottom"/>
            <w:hideMark/>
          </w:tcPr>
          <w:p w14:paraId="3992F774"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w:t>
            </w:r>
          </w:p>
        </w:tc>
        <w:tc>
          <w:tcPr>
            <w:tcW w:w="590" w:type="dxa"/>
            <w:tcBorders>
              <w:top w:val="nil"/>
              <w:left w:val="nil"/>
              <w:bottom w:val="single" w:sz="4" w:space="0" w:color="auto"/>
              <w:right w:val="single" w:sz="4" w:space="0" w:color="auto"/>
            </w:tcBorders>
            <w:shd w:val="clear" w:color="auto" w:fill="auto"/>
            <w:noWrap/>
            <w:vAlign w:val="bottom"/>
            <w:hideMark/>
          </w:tcPr>
          <w:p w14:paraId="562BEB97"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20.2</w:t>
            </w:r>
          </w:p>
        </w:tc>
        <w:tc>
          <w:tcPr>
            <w:tcW w:w="866" w:type="dxa"/>
            <w:tcBorders>
              <w:top w:val="nil"/>
              <w:left w:val="nil"/>
              <w:bottom w:val="single" w:sz="4" w:space="0" w:color="auto"/>
              <w:right w:val="single" w:sz="4" w:space="0" w:color="auto"/>
            </w:tcBorders>
            <w:shd w:val="clear" w:color="auto" w:fill="auto"/>
            <w:noWrap/>
            <w:vAlign w:val="bottom"/>
            <w:hideMark/>
          </w:tcPr>
          <w:p w14:paraId="6DF9E08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&gt;=200</w:t>
            </w:r>
          </w:p>
        </w:tc>
      </w:tr>
      <w:tr w:rsidR="00665066" w:rsidRPr="00665066" w14:paraId="51B3C3E6"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8E87C2"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Venezuela</w:t>
            </w:r>
          </w:p>
        </w:tc>
        <w:tc>
          <w:tcPr>
            <w:tcW w:w="0" w:type="auto"/>
            <w:tcBorders>
              <w:top w:val="nil"/>
              <w:left w:val="nil"/>
              <w:bottom w:val="single" w:sz="4" w:space="0" w:color="auto"/>
              <w:right w:val="single" w:sz="4" w:space="0" w:color="auto"/>
            </w:tcBorders>
            <w:shd w:val="clear" w:color="auto" w:fill="auto"/>
            <w:noWrap/>
            <w:vAlign w:val="bottom"/>
            <w:hideMark/>
          </w:tcPr>
          <w:p w14:paraId="1FFAEE67"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Salas</w:t>
            </w:r>
          </w:p>
        </w:tc>
        <w:tc>
          <w:tcPr>
            <w:tcW w:w="0" w:type="auto"/>
            <w:tcBorders>
              <w:top w:val="nil"/>
              <w:left w:val="nil"/>
              <w:bottom w:val="single" w:sz="4" w:space="0" w:color="auto"/>
              <w:right w:val="single" w:sz="4" w:space="0" w:color="auto"/>
            </w:tcBorders>
            <w:shd w:val="clear" w:color="auto" w:fill="auto"/>
            <w:noWrap/>
            <w:vAlign w:val="bottom"/>
            <w:hideMark/>
          </w:tcPr>
          <w:p w14:paraId="78989F7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122B4F7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2006</w:t>
            </w:r>
          </w:p>
        </w:tc>
        <w:tc>
          <w:tcPr>
            <w:tcW w:w="0" w:type="auto"/>
            <w:tcBorders>
              <w:top w:val="nil"/>
              <w:left w:val="nil"/>
              <w:bottom w:val="single" w:sz="4" w:space="0" w:color="auto"/>
              <w:right w:val="single" w:sz="4" w:space="0" w:color="auto"/>
            </w:tcBorders>
            <w:shd w:val="clear" w:color="auto" w:fill="auto"/>
            <w:noWrap/>
            <w:vAlign w:val="bottom"/>
            <w:hideMark/>
          </w:tcPr>
          <w:p w14:paraId="22951034"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60.8</w:t>
            </w:r>
          </w:p>
        </w:tc>
        <w:tc>
          <w:tcPr>
            <w:tcW w:w="0" w:type="auto"/>
            <w:tcBorders>
              <w:top w:val="nil"/>
              <w:left w:val="nil"/>
              <w:bottom w:val="single" w:sz="4" w:space="0" w:color="auto"/>
              <w:right w:val="single" w:sz="4" w:space="0" w:color="auto"/>
            </w:tcBorders>
            <w:shd w:val="clear" w:color="auto" w:fill="auto"/>
            <w:noWrap/>
            <w:vAlign w:val="bottom"/>
            <w:hideMark/>
          </w:tcPr>
          <w:p w14:paraId="4B9B71A8"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&gt;=5.2</w:t>
            </w:r>
          </w:p>
        </w:tc>
        <w:tc>
          <w:tcPr>
            <w:tcW w:w="643" w:type="dxa"/>
            <w:tcBorders>
              <w:top w:val="nil"/>
              <w:left w:val="nil"/>
              <w:bottom w:val="single" w:sz="4" w:space="0" w:color="auto"/>
              <w:right w:val="single" w:sz="4" w:space="0" w:color="auto"/>
            </w:tcBorders>
            <w:shd w:val="clear" w:color="auto" w:fill="auto"/>
            <w:noWrap/>
            <w:vAlign w:val="bottom"/>
            <w:hideMark/>
          </w:tcPr>
          <w:p w14:paraId="256420E9"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0D4F4D2F"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650C2F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1314" w:type="dxa"/>
            <w:tcBorders>
              <w:top w:val="nil"/>
              <w:left w:val="nil"/>
              <w:bottom w:val="single" w:sz="4" w:space="0" w:color="auto"/>
              <w:right w:val="single" w:sz="4" w:space="0" w:color="auto"/>
            </w:tcBorders>
            <w:shd w:val="clear" w:color="auto" w:fill="auto"/>
            <w:noWrap/>
            <w:vAlign w:val="bottom"/>
            <w:hideMark/>
          </w:tcPr>
          <w:p w14:paraId="53535A3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590" w:type="dxa"/>
            <w:tcBorders>
              <w:top w:val="nil"/>
              <w:left w:val="nil"/>
              <w:bottom w:val="single" w:sz="4" w:space="0" w:color="auto"/>
              <w:right w:val="single" w:sz="4" w:space="0" w:color="auto"/>
            </w:tcBorders>
            <w:shd w:val="clear" w:color="auto" w:fill="auto"/>
            <w:noWrap/>
            <w:vAlign w:val="bottom"/>
            <w:hideMark/>
          </w:tcPr>
          <w:p w14:paraId="3FB9A2F6"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43.5</w:t>
            </w:r>
          </w:p>
        </w:tc>
        <w:tc>
          <w:tcPr>
            <w:tcW w:w="866" w:type="dxa"/>
            <w:tcBorders>
              <w:top w:val="nil"/>
              <w:left w:val="nil"/>
              <w:bottom w:val="single" w:sz="4" w:space="0" w:color="auto"/>
              <w:right w:val="single" w:sz="4" w:space="0" w:color="auto"/>
            </w:tcBorders>
            <w:shd w:val="clear" w:color="auto" w:fill="auto"/>
            <w:noWrap/>
            <w:vAlign w:val="bottom"/>
            <w:hideMark/>
          </w:tcPr>
          <w:p w14:paraId="4FAD982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r w:rsidR="00665066" w:rsidRPr="00665066" w14:paraId="5239338A" w14:textId="77777777" w:rsidTr="0066506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6F285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Venezuela</w:t>
            </w:r>
          </w:p>
        </w:tc>
        <w:tc>
          <w:tcPr>
            <w:tcW w:w="0" w:type="auto"/>
            <w:tcBorders>
              <w:top w:val="nil"/>
              <w:left w:val="nil"/>
              <w:bottom w:val="single" w:sz="4" w:space="0" w:color="auto"/>
              <w:right w:val="single" w:sz="4" w:space="0" w:color="auto"/>
            </w:tcBorders>
            <w:shd w:val="clear" w:color="auto" w:fill="auto"/>
            <w:noWrap/>
            <w:vAlign w:val="bottom"/>
            <w:hideMark/>
          </w:tcPr>
          <w:p w14:paraId="5B6A9C7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Bermudez</w:t>
            </w:r>
          </w:p>
        </w:tc>
        <w:tc>
          <w:tcPr>
            <w:tcW w:w="0" w:type="auto"/>
            <w:tcBorders>
              <w:top w:val="nil"/>
              <w:left w:val="nil"/>
              <w:bottom w:val="single" w:sz="4" w:space="0" w:color="auto"/>
              <w:right w:val="single" w:sz="4" w:space="0" w:color="auto"/>
            </w:tcBorders>
            <w:shd w:val="clear" w:color="auto" w:fill="auto"/>
            <w:noWrap/>
            <w:vAlign w:val="bottom"/>
            <w:hideMark/>
          </w:tcPr>
          <w:p w14:paraId="24026B5C"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0BDD7D3F"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4B1A7EAD"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27A93CE"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643" w:type="dxa"/>
            <w:tcBorders>
              <w:top w:val="nil"/>
              <w:left w:val="nil"/>
              <w:bottom w:val="single" w:sz="4" w:space="0" w:color="auto"/>
              <w:right w:val="single" w:sz="4" w:space="0" w:color="auto"/>
            </w:tcBorders>
            <w:shd w:val="clear" w:color="auto" w:fill="auto"/>
            <w:noWrap/>
            <w:vAlign w:val="bottom"/>
            <w:hideMark/>
          </w:tcPr>
          <w:p w14:paraId="43852153"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825" w:type="dxa"/>
            <w:tcBorders>
              <w:top w:val="nil"/>
              <w:left w:val="nil"/>
              <w:bottom w:val="single" w:sz="4" w:space="0" w:color="auto"/>
              <w:right w:val="single" w:sz="4" w:space="0" w:color="auto"/>
            </w:tcBorders>
            <w:shd w:val="clear" w:color="auto" w:fill="auto"/>
            <w:noWrap/>
            <w:vAlign w:val="bottom"/>
            <w:hideMark/>
          </w:tcPr>
          <w:p w14:paraId="655C3EAC"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DD3E4E"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58</w:t>
            </w:r>
          </w:p>
        </w:tc>
        <w:tc>
          <w:tcPr>
            <w:tcW w:w="1314" w:type="dxa"/>
            <w:tcBorders>
              <w:top w:val="nil"/>
              <w:left w:val="nil"/>
              <w:bottom w:val="single" w:sz="4" w:space="0" w:color="auto"/>
              <w:right w:val="single" w:sz="4" w:space="0" w:color="auto"/>
            </w:tcBorders>
            <w:shd w:val="clear" w:color="auto" w:fill="auto"/>
            <w:noWrap/>
            <w:vAlign w:val="bottom"/>
            <w:hideMark/>
          </w:tcPr>
          <w:p w14:paraId="28ABE671"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&lt;40(men) &amp; &lt;50 (women)</w:t>
            </w:r>
          </w:p>
        </w:tc>
        <w:tc>
          <w:tcPr>
            <w:tcW w:w="590" w:type="dxa"/>
            <w:tcBorders>
              <w:top w:val="nil"/>
              <w:left w:val="nil"/>
              <w:bottom w:val="single" w:sz="4" w:space="0" w:color="auto"/>
              <w:right w:val="single" w:sz="4" w:space="0" w:color="auto"/>
            </w:tcBorders>
            <w:shd w:val="clear" w:color="auto" w:fill="auto"/>
            <w:noWrap/>
            <w:vAlign w:val="bottom"/>
            <w:hideMark/>
          </w:tcPr>
          <w:p w14:paraId="65B4480D" w14:textId="77777777" w:rsidR="00665066" w:rsidRPr="00665066" w:rsidRDefault="00665066" w:rsidP="00665066">
            <w:pPr>
              <w:spacing w:after="0" w:line="240" w:lineRule="auto"/>
              <w:jc w:val="right"/>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26.6</w:t>
            </w:r>
          </w:p>
        </w:tc>
        <w:tc>
          <w:tcPr>
            <w:tcW w:w="866" w:type="dxa"/>
            <w:tcBorders>
              <w:top w:val="nil"/>
              <w:left w:val="nil"/>
              <w:bottom w:val="single" w:sz="4" w:space="0" w:color="auto"/>
              <w:right w:val="single" w:sz="4" w:space="0" w:color="auto"/>
            </w:tcBorders>
            <w:shd w:val="clear" w:color="auto" w:fill="auto"/>
            <w:noWrap/>
            <w:vAlign w:val="bottom"/>
            <w:hideMark/>
          </w:tcPr>
          <w:p w14:paraId="503D141B" w14:textId="77777777" w:rsidR="00665066" w:rsidRPr="00665066" w:rsidRDefault="00665066" w:rsidP="00665066">
            <w:pPr>
              <w:spacing w:after="0" w:line="240" w:lineRule="auto"/>
              <w:rPr>
                <w:rFonts w:ascii="Arial" w:eastAsia="Times New Roman" w:hAnsi="Arial" w:cs="Arial"/>
                <w:color w:val="000000"/>
                <w:sz w:val="16"/>
                <w:szCs w:val="16"/>
                <w:lang w:eastAsia="en-GB"/>
              </w:rPr>
            </w:pPr>
            <w:r w:rsidRPr="00665066">
              <w:rPr>
                <w:rFonts w:ascii="Arial" w:eastAsia="Times New Roman" w:hAnsi="Arial" w:cs="Arial"/>
                <w:color w:val="000000"/>
                <w:sz w:val="16"/>
                <w:szCs w:val="16"/>
                <w:lang w:eastAsia="en-GB"/>
              </w:rPr>
              <w:t>&gt;=150</w:t>
            </w:r>
          </w:p>
        </w:tc>
      </w:tr>
    </w:tbl>
    <w:p w14:paraId="54968E2D" w14:textId="77777777" w:rsidR="006C41B6" w:rsidRPr="00876478" w:rsidRDefault="006C41B6" w:rsidP="00565C67">
      <w:pPr>
        <w:pStyle w:val="NoSpacing"/>
        <w:jc w:val="both"/>
        <w:rPr>
          <w:rFonts w:ascii="Arial" w:hAnsi="Arial" w:cs="Arial"/>
          <w:sz w:val="20"/>
          <w:szCs w:val="20"/>
          <w:lang w:val="en-GB"/>
        </w:rPr>
      </w:pPr>
    </w:p>
    <w:p w14:paraId="0A86EEDC" w14:textId="187D6BD8" w:rsidR="001063BB" w:rsidRPr="00565C67" w:rsidRDefault="00565C67" w:rsidP="00565C67">
      <w:pPr>
        <w:pStyle w:val="NoSpacing"/>
        <w:jc w:val="both"/>
        <w:rPr>
          <w:lang w:val="en-GB"/>
        </w:rPr>
      </w:pPr>
      <w:r w:rsidRPr="00876478">
        <w:rPr>
          <w:rFonts w:ascii="Arial" w:hAnsi="Arial" w:cs="Arial"/>
          <w:sz w:val="20"/>
          <w:szCs w:val="20"/>
          <w:lang w:val="en-GB"/>
        </w:rPr>
        <w:t>Definitions for prevalence estimates are in mg/dl or mmol/l,</w:t>
      </w:r>
      <w:r w:rsidR="006C41B6" w:rsidRPr="00876478">
        <w:rPr>
          <w:rFonts w:ascii="Arial" w:hAnsi="Arial" w:cs="Arial"/>
          <w:sz w:val="20"/>
          <w:szCs w:val="20"/>
          <w:lang w:val="en-GB"/>
        </w:rPr>
        <w:t xml:space="preserve"> and</w:t>
      </w:r>
      <w:r w:rsidRPr="00876478">
        <w:rPr>
          <w:rFonts w:ascii="Arial" w:hAnsi="Arial" w:cs="Arial"/>
          <w:sz w:val="20"/>
          <w:szCs w:val="20"/>
          <w:lang w:val="en-GB"/>
        </w:rPr>
        <w:t xml:space="preserve"> as originally reported. For the random-effects meta-analysis</w:t>
      </w:r>
      <w:r w:rsidR="006C41B6" w:rsidRPr="00876478">
        <w:rPr>
          <w:rFonts w:ascii="Arial" w:hAnsi="Arial" w:cs="Arial"/>
          <w:sz w:val="20"/>
          <w:szCs w:val="20"/>
          <w:lang w:val="en-GB"/>
        </w:rPr>
        <w:t>,</w:t>
      </w:r>
      <w:r w:rsidRPr="00876478">
        <w:rPr>
          <w:rFonts w:ascii="Arial" w:hAnsi="Arial" w:cs="Arial"/>
          <w:sz w:val="20"/>
          <w:szCs w:val="20"/>
          <w:lang w:val="en-GB"/>
        </w:rPr>
        <w:t xml:space="preserve"> consistent </w:t>
      </w:r>
      <w:r w:rsidR="006C41B6" w:rsidRPr="00876478">
        <w:rPr>
          <w:rFonts w:ascii="Arial" w:hAnsi="Arial" w:cs="Arial"/>
          <w:sz w:val="20"/>
          <w:szCs w:val="20"/>
          <w:lang w:val="en-GB"/>
        </w:rPr>
        <w:t xml:space="preserve">and relevant </w:t>
      </w:r>
      <w:r w:rsidRPr="00876478">
        <w:rPr>
          <w:rFonts w:ascii="Arial" w:hAnsi="Arial" w:cs="Arial"/>
          <w:sz w:val="20"/>
          <w:szCs w:val="20"/>
          <w:lang w:val="en-GB"/>
        </w:rPr>
        <w:t>metrics were pooled</w:t>
      </w:r>
      <w:r w:rsidR="006C41B6" w:rsidRPr="00876478">
        <w:rPr>
          <w:rFonts w:ascii="Arial" w:hAnsi="Arial" w:cs="Arial"/>
          <w:sz w:val="20"/>
          <w:szCs w:val="20"/>
          <w:lang w:val="en-GB"/>
        </w:rPr>
        <w:t xml:space="preserve"> (i.e., other were not pooled but presented in the time trends results)</w:t>
      </w:r>
      <w:r w:rsidRPr="00876478">
        <w:rPr>
          <w:rFonts w:ascii="Arial" w:hAnsi="Arial" w:cs="Arial"/>
          <w:sz w:val="20"/>
          <w:szCs w:val="20"/>
          <w:lang w:val="en-GB"/>
        </w:rPr>
        <w:t>.</w:t>
      </w:r>
      <w:r w:rsidRPr="00876478">
        <w:rPr>
          <w:sz w:val="20"/>
          <w:szCs w:val="20"/>
          <w:lang w:val="en-GB"/>
        </w:rPr>
        <w:t xml:space="preserve"> </w:t>
      </w:r>
      <w:r w:rsidR="001063BB" w:rsidRPr="00565C67">
        <w:rPr>
          <w:lang w:val="en-GB"/>
        </w:rPr>
        <w:br w:type="page"/>
      </w:r>
    </w:p>
    <w:p w14:paraId="1B6F8D78" w14:textId="7B50E728" w:rsidR="000745F8" w:rsidRPr="00876478" w:rsidRDefault="00675F01" w:rsidP="00675F01">
      <w:pPr>
        <w:pStyle w:val="Heading1"/>
        <w:rPr>
          <w:rFonts w:ascii="Arial" w:hAnsi="Arial" w:cs="Arial"/>
          <w:color w:val="auto"/>
          <w:sz w:val="20"/>
          <w:szCs w:val="20"/>
          <w:lang w:val="en-GB"/>
        </w:rPr>
      </w:pPr>
      <w:bookmarkStart w:id="10" w:name="_Toc42494725"/>
      <w:r w:rsidRPr="00876478">
        <w:rPr>
          <w:rFonts w:ascii="Arial" w:hAnsi="Arial" w:cs="Arial"/>
          <w:color w:val="auto"/>
          <w:sz w:val="20"/>
          <w:szCs w:val="20"/>
          <w:lang w:val="en-GB"/>
        </w:rPr>
        <w:lastRenderedPageBreak/>
        <w:t xml:space="preserve">Supplementary Table </w:t>
      </w:r>
      <w:r w:rsidR="00D22B27" w:rsidRPr="00876478">
        <w:rPr>
          <w:rFonts w:ascii="Arial" w:hAnsi="Arial" w:cs="Arial"/>
          <w:color w:val="auto"/>
          <w:sz w:val="20"/>
          <w:szCs w:val="20"/>
          <w:lang w:val="en-GB"/>
        </w:rPr>
        <w:t>4</w:t>
      </w:r>
      <w:r w:rsidRPr="00876478">
        <w:rPr>
          <w:rFonts w:ascii="Arial" w:hAnsi="Arial" w:cs="Arial"/>
          <w:color w:val="auto"/>
          <w:sz w:val="20"/>
          <w:szCs w:val="20"/>
          <w:lang w:val="en-GB"/>
        </w:rPr>
        <w:t>: Selected lipid clinical guidelines from Latin America and the Caribbean</w:t>
      </w:r>
      <w:bookmarkEnd w:id="10"/>
    </w:p>
    <w:p w14:paraId="5BCFFFCA" w14:textId="77777777" w:rsidR="00882474" w:rsidRPr="00574BFB" w:rsidRDefault="00882474" w:rsidP="00882474">
      <w:pPr>
        <w:pStyle w:val="NoSpacing"/>
        <w:rPr>
          <w:rFonts w:ascii="Arial" w:hAnsi="Arial" w:cs="Arial"/>
          <w:sz w:val="20"/>
          <w:szCs w:val="20"/>
          <w:lang w:val="en-GB"/>
        </w:rPr>
      </w:pPr>
    </w:p>
    <w:p w14:paraId="056D97D7" w14:textId="20F1156F" w:rsidR="007A0CD8" w:rsidRPr="00876478" w:rsidRDefault="00DF16A9" w:rsidP="007A0CD8">
      <w:pPr>
        <w:rPr>
          <w:rFonts w:ascii="Arial" w:hAnsi="Arial" w:cs="Arial"/>
          <w:sz w:val="20"/>
          <w:szCs w:val="20"/>
        </w:rPr>
      </w:pPr>
      <w:r w:rsidRPr="00876478">
        <w:rPr>
          <w:rFonts w:ascii="Arial" w:hAnsi="Arial" w:cs="Arial"/>
          <w:sz w:val="20"/>
          <w:szCs w:val="20"/>
        </w:rPr>
        <w:t>S</w:t>
      </w:r>
      <w:r w:rsidR="007A0CD8" w:rsidRPr="00876478">
        <w:rPr>
          <w:rFonts w:ascii="Arial" w:hAnsi="Arial" w:cs="Arial"/>
          <w:sz w:val="20"/>
          <w:szCs w:val="20"/>
        </w:rPr>
        <w:t>tatin Eligibility Criteria According to 7 Major Latin American Primary Prevention Guidelines</w:t>
      </w:r>
    </w:p>
    <w:tbl>
      <w:tblPr>
        <w:tblStyle w:val="TableGrid"/>
        <w:tblW w:w="0" w:type="auto"/>
        <w:tblLook w:val="04A0" w:firstRow="1" w:lastRow="0" w:firstColumn="1" w:lastColumn="0" w:noHBand="0" w:noVBand="1"/>
      </w:tblPr>
      <w:tblGrid>
        <w:gridCol w:w="1549"/>
        <w:gridCol w:w="2042"/>
        <w:gridCol w:w="1592"/>
        <w:gridCol w:w="8991"/>
      </w:tblGrid>
      <w:tr w:rsidR="007A0CD8" w:rsidRPr="00876478" w14:paraId="4B982859" w14:textId="77777777" w:rsidTr="00DF16A9">
        <w:trPr>
          <w:trHeight w:val="355"/>
        </w:trPr>
        <w:tc>
          <w:tcPr>
            <w:tcW w:w="0" w:type="auto"/>
            <w:vMerge w:val="restart"/>
            <w:shd w:val="clear" w:color="auto" w:fill="BFBFBF" w:themeFill="background1" w:themeFillShade="BF"/>
            <w:vAlign w:val="center"/>
          </w:tcPr>
          <w:p w14:paraId="779F3EE0" w14:textId="77777777" w:rsidR="007A0CD8" w:rsidRPr="00876478" w:rsidRDefault="007A0CD8" w:rsidP="00DF16A9">
            <w:pPr>
              <w:tabs>
                <w:tab w:val="left" w:pos="1218"/>
              </w:tabs>
              <w:spacing w:before="240"/>
              <w:jc w:val="center"/>
              <w:rPr>
                <w:rFonts w:ascii="Arial" w:hAnsi="Arial" w:cs="Arial"/>
                <w:sz w:val="20"/>
                <w:szCs w:val="20"/>
                <w:lang w:val="en-GB"/>
              </w:rPr>
            </w:pPr>
          </w:p>
        </w:tc>
        <w:tc>
          <w:tcPr>
            <w:tcW w:w="0" w:type="auto"/>
            <w:vMerge w:val="restart"/>
            <w:shd w:val="clear" w:color="auto" w:fill="BFBFBF" w:themeFill="background1" w:themeFillShade="BF"/>
            <w:vAlign w:val="center"/>
          </w:tcPr>
          <w:p w14:paraId="333C0C57" w14:textId="77777777" w:rsidR="007A0CD8" w:rsidRPr="00876478" w:rsidRDefault="007A0CD8" w:rsidP="00DF16A9">
            <w:pPr>
              <w:tabs>
                <w:tab w:val="left" w:pos="1218"/>
              </w:tabs>
              <w:spacing w:before="240"/>
              <w:jc w:val="center"/>
              <w:rPr>
                <w:rFonts w:ascii="Arial" w:hAnsi="Arial" w:cs="Arial"/>
                <w:sz w:val="20"/>
                <w:szCs w:val="20"/>
                <w:lang w:val="en-GB"/>
              </w:rPr>
            </w:pPr>
            <w:r w:rsidRPr="00876478">
              <w:rPr>
                <w:rFonts w:ascii="Arial" w:hAnsi="Arial" w:cs="Arial"/>
                <w:b/>
                <w:sz w:val="20"/>
                <w:szCs w:val="20"/>
                <w:lang w:val="en-GB"/>
              </w:rPr>
              <w:t>Lipid-based (Cholesterol level)</w:t>
            </w:r>
          </w:p>
        </w:tc>
        <w:tc>
          <w:tcPr>
            <w:tcW w:w="0" w:type="auto"/>
            <w:gridSpan w:val="2"/>
            <w:shd w:val="clear" w:color="auto" w:fill="BFBFBF" w:themeFill="background1" w:themeFillShade="BF"/>
            <w:vAlign w:val="center"/>
          </w:tcPr>
          <w:p w14:paraId="21B22DEA" w14:textId="77777777" w:rsidR="007A0CD8" w:rsidRPr="00876478" w:rsidRDefault="007A0CD8" w:rsidP="00DF16A9">
            <w:pPr>
              <w:tabs>
                <w:tab w:val="left" w:pos="1218"/>
              </w:tabs>
              <w:spacing w:before="240"/>
              <w:jc w:val="center"/>
              <w:rPr>
                <w:rFonts w:ascii="Arial" w:hAnsi="Arial" w:cs="Arial"/>
                <w:b/>
                <w:sz w:val="20"/>
                <w:szCs w:val="20"/>
                <w:lang w:val="en-GB"/>
              </w:rPr>
            </w:pPr>
            <w:r w:rsidRPr="00876478">
              <w:rPr>
                <w:rFonts w:ascii="Arial" w:hAnsi="Arial" w:cs="Arial"/>
                <w:b/>
                <w:sz w:val="20"/>
                <w:szCs w:val="20"/>
                <w:lang w:val="en-GB"/>
              </w:rPr>
              <w:t>Risk-based</w:t>
            </w:r>
          </w:p>
        </w:tc>
      </w:tr>
      <w:tr w:rsidR="007A0CD8" w:rsidRPr="00876478" w14:paraId="170A363D" w14:textId="77777777" w:rsidTr="00DF16A9">
        <w:tc>
          <w:tcPr>
            <w:tcW w:w="0" w:type="auto"/>
            <w:vMerge/>
            <w:shd w:val="clear" w:color="auto" w:fill="BFBFBF" w:themeFill="background1" w:themeFillShade="BF"/>
            <w:vAlign w:val="center"/>
          </w:tcPr>
          <w:p w14:paraId="2750BCF8" w14:textId="77777777" w:rsidR="007A0CD8" w:rsidRPr="00876478" w:rsidRDefault="007A0CD8" w:rsidP="00DF16A9">
            <w:pPr>
              <w:tabs>
                <w:tab w:val="left" w:pos="1218"/>
              </w:tabs>
              <w:jc w:val="center"/>
              <w:rPr>
                <w:rFonts w:ascii="Arial" w:hAnsi="Arial" w:cs="Arial"/>
                <w:sz w:val="20"/>
                <w:szCs w:val="20"/>
                <w:lang w:val="en-GB"/>
              </w:rPr>
            </w:pPr>
          </w:p>
        </w:tc>
        <w:tc>
          <w:tcPr>
            <w:tcW w:w="0" w:type="auto"/>
            <w:vMerge/>
            <w:shd w:val="clear" w:color="auto" w:fill="BFBFBF" w:themeFill="background1" w:themeFillShade="BF"/>
            <w:vAlign w:val="center"/>
          </w:tcPr>
          <w:p w14:paraId="5F6E3961" w14:textId="77777777" w:rsidR="007A0CD8" w:rsidRPr="00876478" w:rsidRDefault="007A0CD8" w:rsidP="00DF16A9">
            <w:pPr>
              <w:tabs>
                <w:tab w:val="left" w:pos="1218"/>
              </w:tabs>
              <w:jc w:val="center"/>
              <w:rPr>
                <w:rFonts w:ascii="Arial" w:hAnsi="Arial" w:cs="Arial"/>
                <w:sz w:val="20"/>
                <w:szCs w:val="20"/>
                <w:lang w:val="en-GB"/>
              </w:rPr>
            </w:pPr>
          </w:p>
        </w:tc>
        <w:tc>
          <w:tcPr>
            <w:tcW w:w="1592" w:type="dxa"/>
            <w:shd w:val="clear" w:color="auto" w:fill="BFBFBF" w:themeFill="background1" w:themeFillShade="BF"/>
            <w:vAlign w:val="center"/>
          </w:tcPr>
          <w:p w14:paraId="229C1C6D" w14:textId="77777777" w:rsidR="007A0CD8" w:rsidRPr="00876478" w:rsidRDefault="007A0CD8" w:rsidP="00DF16A9">
            <w:pPr>
              <w:tabs>
                <w:tab w:val="left" w:pos="1218"/>
              </w:tabs>
              <w:jc w:val="center"/>
              <w:rPr>
                <w:rFonts w:ascii="Arial" w:hAnsi="Arial" w:cs="Arial"/>
                <w:sz w:val="20"/>
                <w:szCs w:val="20"/>
                <w:lang w:val="en-GB"/>
              </w:rPr>
            </w:pPr>
            <w:r w:rsidRPr="00876478">
              <w:rPr>
                <w:rFonts w:ascii="Arial" w:hAnsi="Arial" w:cs="Arial"/>
                <w:b/>
                <w:sz w:val="20"/>
                <w:szCs w:val="20"/>
                <w:lang w:val="en-GB"/>
              </w:rPr>
              <w:t>Age range, y</w:t>
            </w:r>
          </w:p>
        </w:tc>
        <w:tc>
          <w:tcPr>
            <w:tcW w:w="8991" w:type="dxa"/>
            <w:shd w:val="clear" w:color="auto" w:fill="BFBFBF" w:themeFill="background1" w:themeFillShade="BF"/>
            <w:vAlign w:val="center"/>
          </w:tcPr>
          <w:p w14:paraId="59FB416F" w14:textId="4D79B4D3" w:rsidR="007A0CD8" w:rsidRPr="00876478" w:rsidRDefault="00DF16A9" w:rsidP="00DF16A9">
            <w:pPr>
              <w:tabs>
                <w:tab w:val="left" w:pos="1218"/>
              </w:tabs>
              <w:jc w:val="center"/>
              <w:rPr>
                <w:rFonts w:ascii="Arial" w:hAnsi="Arial" w:cs="Arial"/>
                <w:sz w:val="20"/>
                <w:szCs w:val="20"/>
                <w:lang w:val="en-GB"/>
              </w:rPr>
            </w:pPr>
            <w:r w:rsidRPr="00876478">
              <w:rPr>
                <w:rFonts w:ascii="Arial" w:hAnsi="Arial" w:cs="Arial"/>
                <w:b/>
                <w:sz w:val="20"/>
                <w:szCs w:val="20"/>
                <w:lang w:val="en-GB"/>
              </w:rPr>
              <w:t>Eligibility</w:t>
            </w:r>
          </w:p>
        </w:tc>
      </w:tr>
      <w:tr w:rsidR="007A0CD8" w:rsidRPr="00876478" w14:paraId="09FFEA7B" w14:textId="77777777" w:rsidTr="00DF16A9">
        <w:tc>
          <w:tcPr>
            <w:tcW w:w="0" w:type="auto"/>
          </w:tcPr>
          <w:p w14:paraId="7DCF7FBF" w14:textId="08988301"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b/>
                <w:sz w:val="20"/>
                <w:szCs w:val="20"/>
                <w:lang w:val="en-GB"/>
              </w:rPr>
              <w:t>SUDEAT, Uruguay</w:t>
            </w:r>
            <w:r w:rsidR="00AD252F" w:rsidRPr="00876478">
              <w:rPr>
                <w:rFonts w:ascii="Arial" w:hAnsi="Arial" w:cs="Arial"/>
                <w:b/>
                <w:sz w:val="20"/>
                <w:szCs w:val="20"/>
                <w:vertAlign w:val="superscript"/>
                <w:lang w:val="en-GB"/>
              </w:rPr>
              <w:t>1</w:t>
            </w:r>
          </w:p>
        </w:tc>
        <w:tc>
          <w:tcPr>
            <w:tcW w:w="0" w:type="auto"/>
          </w:tcPr>
          <w:p w14:paraId="1C64CE6E"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LDL-C ≥190 mg/dL</w:t>
            </w:r>
          </w:p>
        </w:tc>
        <w:tc>
          <w:tcPr>
            <w:tcW w:w="1592" w:type="dxa"/>
          </w:tcPr>
          <w:p w14:paraId="6250182B"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NA</w:t>
            </w:r>
          </w:p>
        </w:tc>
        <w:tc>
          <w:tcPr>
            <w:tcW w:w="8991" w:type="dxa"/>
          </w:tcPr>
          <w:p w14:paraId="35BC0B07" w14:textId="77777777" w:rsidR="007A0CD8" w:rsidRPr="00876478" w:rsidRDefault="007A0CD8" w:rsidP="00A82753">
            <w:pPr>
              <w:tabs>
                <w:tab w:val="left" w:pos="1218"/>
              </w:tabs>
              <w:jc w:val="both"/>
              <w:rPr>
                <w:rFonts w:ascii="Arial" w:hAnsi="Arial" w:cs="Arial"/>
                <w:sz w:val="20"/>
                <w:szCs w:val="20"/>
                <w:lang w:val="en-GB"/>
              </w:rPr>
            </w:pPr>
            <w:r w:rsidRPr="00876478">
              <w:rPr>
                <w:rFonts w:ascii="Arial" w:hAnsi="Arial" w:cs="Arial"/>
                <w:sz w:val="20"/>
                <w:szCs w:val="20"/>
                <w:lang w:val="en-GB"/>
              </w:rPr>
              <w:t>DM, LDL-C ≥160 mg/dL with 2 cardiovascular risk factors.</w:t>
            </w:r>
          </w:p>
        </w:tc>
      </w:tr>
      <w:tr w:rsidR="007A0CD8" w:rsidRPr="00876478" w14:paraId="117D0E72" w14:textId="77777777" w:rsidTr="00DF16A9">
        <w:tc>
          <w:tcPr>
            <w:tcW w:w="0" w:type="auto"/>
          </w:tcPr>
          <w:p w14:paraId="39D3297B" w14:textId="52FD93C7" w:rsidR="007A0CD8" w:rsidRPr="00876478" w:rsidRDefault="007A0CD8" w:rsidP="00A82753">
            <w:pPr>
              <w:tabs>
                <w:tab w:val="left" w:pos="1218"/>
              </w:tabs>
              <w:jc w:val="center"/>
              <w:rPr>
                <w:rFonts w:ascii="Arial" w:hAnsi="Arial" w:cs="Arial"/>
                <w:b/>
                <w:sz w:val="20"/>
                <w:szCs w:val="20"/>
                <w:lang w:val="en-GB"/>
              </w:rPr>
            </w:pPr>
            <w:r w:rsidRPr="00876478">
              <w:rPr>
                <w:rFonts w:ascii="Arial" w:hAnsi="Arial" w:cs="Arial"/>
                <w:b/>
                <w:sz w:val="20"/>
                <w:szCs w:val="20"/>
                <w:lang w:val="en-GB"/>
              </w:rPr>
              <w:t>CCSS, Costa Rica 2004</w:t>
            </w:r>
            <w:r w:rsidR="00B23AAC" w:rsidRPr="00876478">
              <w:rPr>
                <w:rFonts w:ascii="Arial" w:hAnsi="Arial" w:cs="Arial"/>
                <w:b/>
                <w:sz w:val="20"/>
                <w:szCs w:val="20"/>
                <w:vertAlign w:val="superscript"/>
                <w:lang w:val="en-GB"/>
              </w:rPr>
              <w:t>2</w:t>
            </w:r>
          </w:p>
        </w:tc>
        <w:tc>
          <w:tcPr>
            <w:tcW w:w="0" w:type="auto"/>
          </w:tcPr>
          <w:p w14:paraId="74EB2162"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LDL-C ≥190 mg/dL, HDL-C &lt; 40 mg/dL</w:t>
            </w:r>
          </w:p>
        </w:tc>
        <w:tc>
          <w:tcPr>
            <w:tcW w:w="1592" w:type="dxa"/>
          </w:tcPr>
          <w:p w14:paraId="7B6C944D"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Male ≥ 45, Female ≥ 55</w:t>
            </w:r>
          </w:p>
        </w:tc>
        <w:tc>
          <w:tcPr>
            <w:tcW w:w="8991" w:type="dxa"/>
          </w:tcPr>
          <w:p w14:paraId="0F8236CD" w14:textId="77777777" w:rsidR="007A0CD8" w:rsidRPr="00876478" w:rsidRDefault="007A0CD8" w:rsidP="00A82753">
            <w:pPr>
              <w:tabs>
                <w:tab w:val="left" w:pos="1218"/>
              </w:tabs>
              <w:jc w:val="both"/>
              <w:rPr>
                <w:rFonts w:ascii="Arial" w:hAnsi="Arial" w:cs="Arial"/>
                <w:sz w:val="20"/>
                <w:szCs w:val="20"/>
                <w:lang w:val="en-GB"/>
              </w:rPr>
            </w:pPr>
            <w:r w:rsidRPr="00876478">
              <w:rPr>
                <w:rFonts w:ascii="Arial" w:hAnsi="Arial" w:cs="Arial"/>
                <w:sz w:val="20"/>
                <w:szCs w:val="20"/>
                <w:lang w:val="en-GB"/>
              </w:rPr>
              <w:t xml:space="preserve">Hypertension (BP ≥ 140/90 mmHg or with antihypertensive treatment), history of early-onset coronary heart disease, first-degree male relative with history of coronary heart disease at age 55 or earlier, first-degree female relative with history of coronary heart disease at age 65 or earlier, smoking </w:t>
            </w:r>
            <w:proofErr w:type="spellStart"/>
            <w:proofErr w:type="gramStart"/>
            <w:r w:rsidRPr="00876478">
              <w:rPr>
                <w:rFonts w:ascii="Arial" w:hAnsi="Arial" w:cs="Arial"/>
                <w:sz w:val="20"/>
                <w:szCs w:val="20"/>
                <w:lang w:val="en-GB"/>
              </w:rPr>
              <w:t>history.</w:t>
            </w:r>
            <w:r w:rsidRPr="00876478">
              <w:rPr>
                <w:rFonts w:ascii="Arial" w:hAnsi="Arial" w:cs="Arial"/>
                <w:sz w:val="20"/>
                <w:szCs w:val="20"/>
                <w:vertAlign w:val="superscript"/>
                <w:lang w:val="en-GB"/>
              </w:rPr>
              <w:t>a</w:t>
            </w:r>
            <w:proofErr w:type="spellEnd"/>
            <w:proofErr w:type="gramEnd"/>
          </w:p>
        </w:tc>
      </w:tr>
      <w:tr w:rsidR="007A0CD8" w:rsidRPr="00876478" w14:paraId="4F8E4D5B" w14:textId="77777777" w:rsidTr="00DF16A9">
        <w:tc>
          <w:tcPr>
            <w:tcW w:w="0" w:type="auto"/>
          </w:tcPr>
          <w:p w14:paraId="059FF932" w14:textId="53E179F3" w:rsidR="007A0CD8" w:rsidRPr="00876478" w:rsidRDefault="007A0CD8" w:rsidP="00A82753">
            <w:pPr>
              <w:tabs>
                <w:tab w:val="left" w:pos="1218"/>
              </w:tabs>
              <w:jc w:val="center"/>
              <w:rPr>
                <w:rFonts w:ascii="Arial" w:hAnsi="Arial" w:cs="Arial"/>
                <w:b/>
                <w:sz w:val="20"/>
                <w:szCs w:val="20"/>
                <w:lang w:val="en-GB"/>
              </w:rPr>
            </w:pPr>
            <w:r w:rsidRPr="00876478">
              <w:rPr>
                <w:rFonts w:ascii="Arial" w:hAnsi="Arial" w:cs="Arial"/>
                <w:b/>
                <w:sz w:val="20"/>
                <w:szCs w:val="20"/>
                <w:lang w:val="en-GB"/>
              </w:rPr>
              <w:t>SBC, Brazil 2013</w:t>
            </w:r>
            <w:r w:rsidR="00010487" w:rsidRPr="00876478">
              <w:rPr>
                <w:rFonts w:ascii="Arial" w:hAnsi="Arial" w:cs="Arial"/>
                <w:b/>
                <w:sz w:val="20"/>
                <w:szCs w:val="20"/>
                <w:vertAlign w:val="superscript"/>
                <w:lang w:val="en-GB"/>
              </w:rPr>
              <w:t>3</w:t>
            </w:r>
          </w:p>
        </w:tc>
        <w:tc>
          <w:tcPr>
            <w:tcW w:w="0" w:type="auto"/>
          </w:tcPr>
          <w:p w14:paraId="6527951B"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NA</w:t>
            </w:r>
          </w:p>
        </w:tc>
        <w:tc>
          <w:tcPr>
            <w:tcW w:w="1592" w:type="dxa"/>
          </w:tcPr>
          <w:p w14:paraId="3A901183"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NA</w:t>
            </w:r>
          </w:p>
        </w:tc>
        <w:tc>
          <w:tcPr>
            <w:tcW w:w="8991" w:type="dxa"/>
          </w:tcPr>
          <w:p w14:paraId="43FCAD39" w14:textId="11807D4E" w:rsidR="007A0CD8" w:rsidRPr="00876478" w:rsidRDefault="007A0CD8" w:rsidP="00A82753">
            <w:pPr>
              <w:tabs>
                <w:tab w:val="left" w:pos="1218"/>
              </w:tabs>
              <w:jc w:val="both"/>
              <w:rPr>
                <w:rFonts w:ascii="Arial" w:hAnsi="Arial" w:cs="Arial"/>
                <w:sz w:val="20"/>
                <w:szCs w:val="20"/>
                <w:lang w:val="en-GB"/>
              </w:rPr>
            </w:pPr>
            <w:r w:rsidRPr="00876478">
              <w:rPr>
                <w:rFonts w:ascii="Arial" w:hAnsi="Arial" w:cs="Arial"/>
                <w:sz w:val="20"/>
                <w:szCs w:val="20"/>
                <w:lang w:val="en-GB"/>
              </w:rPr>
              <w:t xml:space="preserve">Familial hypercholesterolemia, CKD or microalbuminuria, metabolic syndrome according to IDF criteria, DM type 1 and type 2, family history of early-onset coronary heart </w:t>
            </w:r>
            <w:proofErr w:type="spellStart"/>
            <w:proofErr w:type="gramStart"/>
            <w:r w:rsidRPr="00876478">
              <w:rPr>
                <w:rFonts w:ascii="Arial" w:hAnsi="Arial" w:cs="Arial"/>
                <w:sz w:val="20"/>
                <w:szCs w:val="20"/>
                <w:lang w:val="en-GB"/>
              </w:rPr>
              <w:t>disease</w:t>
            </w:r>
            <w:r w:rsidR="00DF16A9" w:rsidRPr="00876478">
              <w:rPr>
                <w:rFonts w:ascii="Arial" w:hAnsi="Arial" w:cs="Arial"/>
                <w:sz w:val="20"/>
                <w:szCs w:val="20"/>
                <w:lang w:val="en-GB"/>
              </w:rPr>
              <w:t>,</w:t>
            </w:r>
            <w:r w:rsidRPr="00876478">
              <w:rPr>
                <w:rFonts w:ascii="Arial" w:hAnsi="Arial" w:cs="Arial"/>
                <w:sz w:val="20"/>
                <w:szCs w:val="20"/>
                <w:vertAlign w:val="superscript"/>
                <w:lang w:val="en-GB"/>
              </w:rPr>
              <w:t>g</w:t>
            </w:r>
            <w:proofErr w:type="spellEnd"/>
            <w:proofErr w:type="gramEnd"/>
            <w:r w:rsidRPr="00876478">
              <w:rPr>
                <w:rFonts w:ascii="Arial" w:hAnsi="Arial" w:cs="Arial"/>
                <w:sz w:val="20"/>
                <w:szCs w:val="20"/>
                <w:lang w:val="en-GB"/>
              </w:rPr>
              <w:t xml:space="preserve"> left ventricular hypertrophy, high sensitivity CRP &gt; 2 mg/L, subclinical atherosclerosis based on diagnostic </w:t>
            </w:r>
            <w:proofErr w:type="spellStart"/>
            <w:r w:rsidRPr="00876478">
              <w:rPr>
                <w:rFonts w:ascii="Arial" w:hAnsi="Arial" w:cs="Arial"/>
                <w:sz w:val="20"/>
                <w:szCs w:val="20"/>
                <w:lang w:val="en-GB"/>
              </w:rPr>
              <w:t>studies.</w:t>
            </w:r>
            <w:r w:rsidRPr="00876478">
              <w:rPr>
                <w:rFonts w:ascii="Arial" w:hAnsi="Arial" w:cs="Arial"/>
                <w:sz w:val="20"/>
                <w:szCs w:val="20"/>
                <w:vertAlign w:val="superscript"/>
                <w:lang w:val="en-GB"/>
              </w:rPr>
              <w:t>b</w:t>
            </w:r>
            <w:proofErr w:type="spellEnd"/>
          </w:p>
        </w:tc>
      </w:tr>
      <w:tr w:rsidR="007A0CD8" w:rsidRPr="00876478" w14:paraId="06AEE4E0" w14:textId="77777777" w:rsidTr="00DF16A9">
        <w:tc>
          <w:tcPr>
            <w:tcW w:w="0" w:type="auto"/>
          </w:tcPr>
          <w:p w14:paraId="213A7A3F" w14:textId="43020AA3"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b/>
                <w:sz w:val="20"/>
                <w:szCs w:val="20"/>
                <w:lang w:val="en-GB"/>
              </w:rPr>
              <w:t>CINETS, Colombia 2014</w:t>
            </w:r>
            <w:r w:rsidR="00D674C9" w:rsidRPr="00876478">
              <w:rPr>
                <w:rFonts w:ascii="Arial" w:hAnsi="Arial" w:cs="Arial"/>
                <w:b/>
                <w:sz w:val="20"/>
                <w:szCs w:val="20"/>
                <w:vertAlign w:val="superscript"/>
                <w:lang w:val="en-GB"/>
              </w:rPr>
              <w:t>4</w:t>
            </w:r>
          </w:p>
        </w:tc>
        <w:tc>
          <w:tcPr>
            <w:tcW w:w="0" w:type="auto"/>
          </w:tcPr>
          <w:p w14:paraId="5B7082B9"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LDL-C &gt;190 mg/dL</w:t>
            </w:r>
          </w:p>
        </w:tc>
        <w:tc>
          <w:tcPr>
            <w:tcW w:w="1592" w:type="dxa"/>
          </w:tcPr>
          <w:p w14:paraId="0653EA1F"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NA</w:t>
            </w:r>
          </w:p>
        </w:tc>
        <w:tc>
          <w:tcPr>
            <w:tcW w:w="8991" w:type="dxa"/>
          </w:tcPr>
          <w:p w14:paraId="5C4964DA" w14:textId="1A971CFC" w:rsidR="007A0CD8" w:rsidRPr="00876478" w:rsidRDefault="007A0CD8" w:rsidP="00A82753">
            <w:pPr>
              <w:tabs>
                <w:tab w:val="left" w:pos="1218"/>
              </w:tabs>
              <w:jc w:val="both"/>
              <w:rPr>
                <w:rFonts w:ascii="Arial" w:hAnsi="Arial" w:cs="Arial"/>
                <w:sz w:val="20"/>
                <w:szCs w:val="20"/>
                <w:lang w:val="en-GB"/>
              </w:rPr>
            </w:pPr>
            <w:r w:rsidRPr="00876478">
              <w:rPr>
                <w:rFonts w:ascii="Arial" w:hAnsi="Arial" w:cs="Arial"/>
                <w:sz w:val="20"/>
                <w:szCs w:val="20"/>
                <w:lang w:val="en-GB"/>
              </w:rPr>
              <w:t xml:space="preserve">FRS &gt; 10% predicted 10-y risk of any ASCVD, diabetes mellitus, history of atherosclerotic cardiovascular </w:t>
            </w:r>
            <w:proofErr w:type="spellStart"/>
            <w:r w:rsidRPr="00876478">
              <w:rPr>
                <w:rFonts w:ascii="Arial" w:hAnsi="Arial" w:cs="Arial"/>
                <w:sz w:val="20"/>
                <w:szCs w:val="20"/>
                <w:lang w:val="en-GB"/>
              </w:rPr>
              <w:t>disease.</w:t>
            </w:r>
            <w:r w:rsidRPr="00876478">
              <w:rPr>
                <w:rFonts w:ascii="Arial" w:hAnsi="Arial" w:cs="Arial"/>
                <w:sz w:val="20"/>
                <w:szCs w:val="20"/>
                <w:vertAlign w:val="superscript"/>
                <w:lang w:val="en-GB"/>
              </w:rPr>
              <w:t>c</w:t>
            </w:r>
            <w:proofErr w:type="spellEnd"/>
          </w:p>
        </w:tc>
      </w:tr>
      <w:tr w:rsidR="007A0CD8" w:rsidRPr="00876478" w14:paraId="5F1F3372" w14:textId="77777777" w:rsidTr="00DF16A9">
        <w:tc>
          <w:tcPr>
            <w:tcW w:w="0" w:type="auto"/>
          </w:tcPr>
          <w:p w14:paraId="7E8F2B81" w14:textId="27F4F760"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b/>
                <w:sz w:val="20"/>
                <w:szCs w:val="20"/>
                <w:lang w:val="en-GB"/>
              </w:rPr>
              <w:t>IMSS, Mexico 2016</w:t>
            </w:r>
            <w:r w:rsidR="0091098F" w:rsidRPr="00876478">
              <w:rPr>
                <w:rFonts w:ascii="Arial" w:hAnsi="Arial" w:cs="Arial"/>
                <w:b/>
                <w:sz w:val="20"/>
                <w:szCs w:val="20"/>
                <w:vertAlign w:val="superscript"/>
                <w:lang w:val="en-GB"/>
              </w:rPr>
              <w:t>5</w:t>
            </w:r>
          </w:p>
        </w:tc>
        <w:tc>
          <w:tcPr>
            <w:tcW w:w="0" w:type="auto"/>
          </w:tcPr>
          <w:p w14:paraId="5584F4AA" w14:textId="77777777" w:rsidR="007A0CD8" w:rsidRPr="00876478" w:rsidRDefault="007A0CD8" w:rsidP="00A82753">
            <w:pPr>
              <w:jc w:val="center"/>
              <w:rPr>
                <w:rFonts w:ascii="Arial" w:hAnsi="Arial" w:cs="Arial"/>
                <w:sz w:val="20"/>
                <w:szCs w:val="20"/>
                <w:lang w:val="en-GB"/>
              </w:rPr>
            </w:pPr>
            <w:r w:rsidRPr="00876478">
              <w:rPr>
                <w:rFonts w:ascii="Arial" w:hAnsi="Arial" w:cs="Arial"/>
                <w:sz w:val="20"/>
                <w:szCs w:val="20"/>
                <w:lang w:val="en-GB"/>
              </w:rPr>
              <w:t>LDL-C ≥190 mg/dL</w:t>
            </w:r>
          </w:p>
        </w:tc>
        <w:tc>
          <w:tcPr>
            <w:tcW w:w="1592" w:type="dxa"/>
          </w:tcPr>
          <w:p w14:paraId="68AB00E3"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40-75</w:t>
            </w:r>
          </w:p>
        </w:tc>
        <w:tc>
          <w:tcPr>
            <w:tcW w:w="8991" w:type="dxa"/>
          </w:tcPr>
          <w:p w14:paraId="034DEA39" w14:textId="0E9FE356" w:rsidR="007A0CD8" w:rsidRPr="00876478" w:rsidRDefault="007A0CD8" w:rsidP="00A82753">
            <w:pPr>
              <w:tabs>
                <w:tab w:val="left" w:pos="1218"/>
              </w:tabs>
              <w:jc w:val="both"/>
              <w:rPr>
                <w:rFonts w:ascii="Arial" w:hAnsi="Arial" w:cs="Arial"/>
                <w:sz w:val="20"/>
                <w:szCs w:val="20"/>
                <w:lang w:val="en-GB"/>
              </w:rPr>
            </w:pPr>
            <w:r w:rsidRPr="00876478">
              <w:rPr>
                <w:rFonts w:ascii="Arial" w:hAnsi="Arial" w:cs="Arial"/>
                <w:sz w:val="20"/>
                <w:szCs w:val="20"/>
                <w:lang w:val="en-GB"/>
              </w:rPr>
              <w:t xml:space="preserve">Familial hypercholesterolemia, DM, LDL-C of 100-189 mg/dL with very high cardiovascular </w:t>
            </w:r>
            <w:proofErr w:type="spellStart"/>
            <w:proofErr w:type="gramStart"/>
            <w:r w:rsidRPr="00876478">
              <w:rPr>
                <w:rFonts w:ascii="Arial" w:hAnsi="Arial" w:cs="Arial"/>
                <w:sz w:val="20"/>
                <w:szCs w:val="20"/>
                <w:lang w:val="en-GB"/>
              </w:rPr>
              <w:t>risk</w:t>
            </w:r>
            <w:r w:rsidRPr="00876478">
              <w:rPr>
                <w:rFonts w:ascii="Arial" w:hAnsi="Arial" w:cs="Arial"/>
                <w:sz w:val="20"/>
                <w:szCs w:val="20"/>
                <w:vertAlign w:val="superscript"/>
                <w:lang w:val="en-GB"/>
              </w:rPr>
              <w:t>d</w:t>
            </w:r>
            <w:proofErr w:type="spellEnd"/>
            <w:r w:rsidRPr="00876478">
              <w:rPr>
                <w:rFonts w:ascii="Arial" w:hAnsi="Arial" w:cs="Arial"/>
                <w:sz w:val="20"/>
                <w:szCs w:val="20"/>
                <w:lang w:val="en-GB"/>
              </w:rPr>
              <w:t>,  LDL</w:t>
            </w:r>
            <w:proofErr w:type="gramEnd"/>
            <w:r w:rsidRPr="00876478">
              <w:rPr>
                <w:rFonts w:ascii="Arial" w:hAnsi="Arial" w:cs="Arial"/>
                <w:sz w:val="20"/>
                <w:szCs w:val="20"/>
                <w:lang w:val="en-GB"/>
              </w:rPr>
              <w:t xml:space="preserve">-C of 155-189mg/dL with high cardiovascular </w:t>
            </w:r>
            <w:proofErr w:type="spellStart"/>
            <w:r w:rsidRPr="00876478">
              <w:rPr>
                <w:rFonts w:ascii="Arial" w:hAnsi="Arial" w:cs="Arial"/>
                <w:sz w:val="20"/>
                <w:szCs w:val="20"/>
                <w:lang w:val="en-GB"/>
              </w:rPr>
              <w:t>risk</w:t>
            </w:r>
            <w:r w:rsidR="00DF16A9" w:rsidRPr="00876478">
              <w:rPr>
                <w:rFonts w:ascii="Arial" w:hAnsi="Arial" w:cs="Arial"/>
                <w:sz w:val="20"/>
                <w:szCs w:val="20"/>
                <w:lang w:val="en-GB"/>
              </w:rPr>
              <w:t>,</w:t>
            </w:r>
            <w:r w:rsidRPr="00876478">
              <w:rPr>
                <w:rFonts w:ascii="Arial" w:hAnsi="Arial" w:cs="Arial"/>
                <w:sz w:val="20"/>
                <w:szCs w:val="20"/>
                <w:vertAlign w:val="superscript"/>
                <w:lang w:val="en-GB"/>
              </w:rPr>
              <w:t>e</w:t>
            </w:r>
            <w:proofErr w:type="spellEnd"/>
            <w:r w:rsidRPr="00876478">
              <w:rPr>
                <w:rFonts w:ascii="Arial" w:hAnsi="Arial" w:cs="Arial"/>
                <w:sz w:val="20"/>
                <w:szCs w:val="20"/>
                <w:lang w:val="en-GB"/>
              </w:rPr>
              <w:t xml:space="preserve"> LDL-C of 155-189  mg/dL with moderate cardiovascular </w:t>
            </w:r>
            <w:proofErr w:type="spellStart"/>
            <w:r w:rsidRPr="00876478">
              <w:rPr>
                <w:rFonts w:ascii="Arial" w:hAnsi="Arial" w:cs="Arial"/>
                <w:sz w:val="20"/>
                <w:szCs w:val="20"/>
                <w:lang w:val="en-GB"/>
              </w:rPr>
              <w:t>risk.</w:t>
            </w:r>
            <w:r w:rsidRPr="00876478">
              <w:rPr>
                <w:rFonts w:ascii="Arial" w:hAnsi="Arial" w:cs="Arial"/>
                <w:sz w:val="20"/>
                <w:szCs w:val="20"/>
                <w:vertAlign w:val="superscript"/>
                <w:lang w:val="en-GB"/>
              </w:rPr>
              <w:t>f</w:t>
            </w:r>
            <w:proofErr w:type="spellEnd"/>
          </w:p>
        </w:tc>
      </w:tr>
      <w:tr w:rsidR="007A0CD8" w:rsidRPr="00876478" w14:paraId="4FFAA4AC" w14:textId="77777777" w:rsidTr="00DF16A9">
        <w:tc>
          <w:tcPr>
            <w:tcW w:w="0" w:type="auto"/>
          </w:tcPr>
          <w:p w14:paraId="4B0572BC" w14:textId="075F800F"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b/>
                <w:sz w:val="20"/>
                <w:szCs w:val="20"/>
                <w:lang w:val="en-GB"/>
              </w:rPr>
              <w:t>SAC, Argentina 2018</w:t>
            </w:r>
            <w:r w:rsidR="0091098F" w:rsidRPr="00876478">
              <w:rPr>
                <w:rFonts w:ascii="Arial" w:hAnsi="Arial" w:cs="Arial"/>
                <w:b/>
                <w:sz w:val="20"/>
                <w:szCs w:val="20"/>
                <w:vertAlign w:val="superscript"/>
                <w:lang w:val="en-GB"/>
              </w:rPr>
              <w:t>6</w:t>
            </w:r>
          </w:p>
        </w:tc>
        <w:tc>
          <w:tcPr>
            <w:tcW w:w="0" w:type="auto"/>
          </w:tcPr>
          <w:p w14:paraId="2B0F6A5E"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LDL-C &gt;190 mg/dL</w:t>
            </w:r>
          </w:p>
        </w:tc>
        <w:tc>
          <w:tcPr>
            <w:tcW w:w="1592" w:type="dxa"/>
          </w:tcPr>
          <w:p w14:paraId="09706A59"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NA</w:t>
            </w:r>
          </w:p>
        </w:tc>
        <w:tc>
          <w:tcPr>
            <w:tcW w:w="8991" w:type="dxa"/>
          </w:tcPr>
          <w:p w14:paraId="38AC95C6" w14:textId="521D610B" w:rsidR="007A0CD8" w:rsidRPr="00876478" w:rsidRDefault="007A0CD8" w:rsidP="00A82753">
            <w:pPr>
              <w:jc w:val="both"/>
              <w:rPr>
                <w:rFonts w:ascii="Arial" w:hAnsi="Arial" w:cs="Arial"/>
                <w:sz w:val="20"/>
                <w:szCs w:val="20"/>
                <w:lang w:val="en-GB"/>
              </w:rPr>
            </w:pPr>
            <w:r w:rsidRPr="00876478">
              <w:rPr>
                <w:rFonts w:ascii="Arial" w:hAnsi="Arial" w:cs="Arial"/>
                <w:sz w:val="20"/>
                <w:szCs w:val="20"/>
                <w:lang w:val="en-GB"/>
              </w:rPr>
              <w:t>Familial hypercholesterolemia, moderate CKD (GFR 30-59 mL/min/1,73m</w:t>
            </w:r>
            <w:r w:rsidRPr="00876478">
              <w:rPr>
                <w:rFonts w:ascii="Arial" w:hAnsi="Arial" w:cs="Arial"/>
                <w:sz w:val="20"/>
                <w:szCs w:val="20"/>
                <w:vertAlign w:val="superscript"/>
                <w:lang w:val="en-GB"/>
              </w:rPr>
              <w:t>2</w:t>
            </w:r>
            <w:r w:rsidRPr="00876478">
              <w:rPr>
                <w:rFonts w:ascii="Arial" w:hAnsi="Arial" w:cs="Arial"/>
                <w:sz w:val="20"/>
                <w:szCs w:val="20"/>
                <w:lang w:val="en-GB"/>
              </w:rPr>
              <w:t>) or severe CKD (GFR less than 30 mL/min/1,73m</w:t>
            </w:r>
            <w:r w:rsidRPr="00876478">
              <w:rPr>
                <w:rFonts w:ascii="Arial" w:hAnsi="Arial" w:cs="Arial"/>
                <w:sz w:val="20"/>
                <w:szCs w:val="20"/>
                <w:vertAlign w:val="superscript"/>
                <w:lang w:val="en-GB"/>
              </w:rPr>
              <w:t>2</w:t>
            </w:r>
            <w:r w:rsidRPr="00876478">
              <w:rPr>
                <w:rFonts w:ascii="Arial" w:hAnsi="Arial" w:cs="Arial"/>
                <w:sz w:val="20"/>
                <w:szCs w:val="20"/>
                <w:lang w:val="en-GB"/>
              </w:rPr>
              <w:t xml:space="preserve">) without </w:t>
            </w:r>
            <w:r w:rsidR="00DF16A9" w:rsidRPr="00876478">
              <w:rPr>
                <w:rFonts w:ascii="Arial" w:hAnsi="Arial" w:cs="Arial"/>
                <w:sz w:val="20"/>
                <w:szCs w:val="20"/>
                <w:lang w:val="en-GB"/>
              </w:rPr>
              <w:t>haemodialysis</w:t>
            </w:r>
            <w:r w:rsidRPr="00876478">
              <w:rPr>
                <w:rFonts w:ascii="Arial" w:hAnsi="Arial" w:cs="Arial"/>
                <w:sz w:val="20"/>
                <w:szCs w:val="20"/>
                <w:lang w:val="en-GB"/>
              </w:rPr>
              <w:t xml:space="preserve">, DM, cardiovascular ≥20% predicted 10-y risk of any ASCVD, cardiovascular 10-19%  predicted 10-y risk of any ASCVD with 1 risk factor or CRP  &gt; 2 mg/L, subclinical </w:t>
            </w:r>
            <w:proofErr w:type="spellStart"/>
            <w:r w:rsidRPr="00876478">
              <w:rPr>
                <w:rFonts w:ascii="Arial" w:hAnsi="Arial" w:cs="Arial"/>
                <w:sz w:val="20"/>
                <w:szCs w:val="20"/>
                <w:lang w:val="en-GB"/>
              </w:rPr>
              <w:t>atheromatosis.</w:t>
            </w:r>
            <w:r w:rsidRPr="00876478">
              <w:rPr>
                <w:rFonts w:ascii="Arial" w:hAnsi="Arial" w:cs="Arial"/>
                <w:sz w:val="20"/>
                <w:szCs w:val="20"/>
                <w:vertAlign w:val="superscript"/>
                <w:lang w:val="en-GB"/>
              </w:rPr>
              <w:t>g</w:t>
            </w:r>
            <w:proofErr w:type="spellEnd"/>
          </w:p>
        </w:tc>
      </w:tr>
      <w:tr w:rsidR="007A0CD8" w:rsidRPr="00876478" w14:paraId="6E97B400" w14:textId="77777777" w:rsidTr="00DF16A9">
        <w:tc>
          <w:tcPr>
            <w:tcW w:w="0" w:type="auto"/>
          </w:tcPr>
          <w:p w14:paraId="5D8C28DC" w14:textId="0A8C898D" w:rsidR="007A0CD8" w:rsidRPr="00876478" w:rsidRDefault="007A0CD8" w:rsidP="00A82753">
            <w:pPr>
              <w:tabs>
                <w:tab w:val="left" w:pos="1218"/>
              </w:tabs>
              <w:jc w:val="center"/>
              <w:rPr>
                <w:rFonts w:ascii="Arial" w:hAnsi="Arial" w:cs="Arial"/>
                <w:b/>
                <w:sz w:val="20"/>
                <w:szCs w:val="20"/>
                <w:lang w:val="en-GB"/>
              </w:rPr>
            </w:pPr>
            <w:r w:rsidRPr="00876478">
              <w:rPr>
                <w:rFonts w:ascii="Arial" w:hAnsi="Arial" w:cs="Arial"/>
                <w:b/>
                <w:sz w:val="20"/>
                <w:szCs w:val="20"/>
                <w:lang w:val="en-GB"/>
              </w:rPr>
              <w:t>MINSAL, Chile 2018</w:t>
            </w:r>
            <w:r w:rsidR="0091098F" w:rsidRPr="00876478">
              <w:rPr>
                <w:rFonts w:ascii="Arial" w:hAnsi="Arial" w:cs="Arial"/>
                <w:b/>
                <w:sz w:val="20"/>
                <w:szCs w:val="20"/>
                <w:vertAlign w:val="superscript"/>
                <w:lang w:val="en-GB"/>
              </w:rPr>
              <w:t>7</w:t>
            </w:r>
          </w:p>
        </w:tc>
        <w:tc>
          <w:tcPr>
            <w:tcW w:w="0" w:type="auto"/>
          </w:tcPr>
          <w:p w14:paraId="6508599C"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LDL-C &gt;190 mg/dL</w:t>
            </w:r>
          </w:p>
        </w:tc>
        <w:tc>
          <w:tcPr>
            <w:tcW w:w="1592" w:type="dxa"/>
          </w:tcPr>
          <w:p w14:paraId="0C629FC6" w14:textId="77777777" w:rsidR="007A0CD8" w:rsidRPr="00876478" w:rsidRDefault="007A0CD8" w:rsidP="00A82753">
            <w:pPr>
              <w:tabs>
                <w:tab w:val="left" w:pos="1218"/>
              </w:tabs>
              <w:jc w:val="center"/>
              <w:rPr>
                <w:rFonts w:ascii="Arial" w:hAnsi="Arial" w:cs="Arial"/>
                <w:sz w:val="20"/>
                <w:szCs w:val="20"/>
                <w:lang w:val="en-GB"/>
              </w:rPr>
            </w:pPr>
            <w:r w:rsidRPr="00876478">
              <w:rPr>
                <w:rFonts w:ascii="Arial" w:hAnsi="Arial" w:cs="Arial"/>
                <w:sz w:val="20"/>
                <w:szCs w:val="20"/>
                <w:lang w:val="en-GB"/>
              </w:rPr>
              <w:t>NA</w:t>
            </w:r>
          </w:p>
        </w:tc>
        <w:tc>
          <w:tcPr>
            <w:tcW w:w="8991" w:type="dxa"/>
          </w:tcPr>
          <w:p w14:paraId="3E982A33" w14:textId="77777777" w:rsidR="007A0CD8" w:rsidRPr="00876478" w:rsidRDefault="007A0CD8" w:rsidP="00A82753">
            <w:pPr>
              <w:tabs>
                <w:tab w:val="left" w:pos="1218"/>
              </w:tabs>
              <w:jc w:val="both"/>
              <w:rPr>
                <w:rFonts w:ascii="Arial" w:hAnsi="Arial" w:cs="Arial"/>
                <w:sz w:val="20"/>
                <w:szCs w:val="20"/>
                <w:lang w:val="en-GB"/>
              </w:rPr>
            </w:pPr>
            <w:r w:rsidRPr="00876478">
              <w:rPr>
                <w:rFonts w:ascii="Arial" w:hAnsi="Arial" w:cs="Arial"/>
                <w:sz w:val="20"/>
                <w:szCs w:val="20"/>
                <w:lang w:val="en-GB"/>
              </w:rPr>
              <w:t xml:space="preserve">DM, CKD stages 3b – 5 or albuminuria, resistant hypertension. </w:t>
            </w:r>
          </w:p>
        </w:tc>
      </w:tr>
    </w:tbl>
    <w:p w14:paraId="7E5B2749" w14:textId="1C6A5D26" w:rsidR="007A0CD8" w:rsidRPr="00876478" w:rsidRDefault="007A0CD8" w:rsidP="007A0CD8">
      <w:pPr>
        <w:tabs>
          <w:tab w:val="left" w:pos="1218"/>
        </w:tabs>
        <w:spacing w:after="0" w:line="240" w:lineRule="auto"/>
        <w:jc w:val="both"/>
        <w:rPr>
          <w:rFonts w:ascii="Arial" w:hAnsi="Arial" w:cs="Arial"/>
          <w:sz w:val="20"/>
          <w:szCs w:val="20"/>
          <w:lang w:val="es-PE"/>
        </w:rPr>
      </w:pPr>
      <w:proofErr w:type="spellStart"/>
      <w:r w:rsidRPr="00876478">
        <w:rPr>
          <w:rFonts w:ascii="Arial" w:hAnsi="Arial" w:cs="Arial"/>
          <w:sz w:val="20"/>
          <w:szCs w:val="20"/>
          <w:lang w:val="es-PE"/>
        </w:rPr>
        <w:t>Abbreviations</w:t>
      </w:r>
      <w:proofErr w:type="spellEnd"/>
      <w:r w:rsidRPr="00876478">
        <w:rPr>
          <w:rFonts w:ascii="Arial" w:hAnsi="Arial" w:cs="Arial"/>
          <w:sz w:val="20"/>
          <w:szCs w:val="20"/>
          <w:lang w:val="es-PE"/>
        </w:rPr>
        <w:t xml:space="preserve">: SUDEAT, Sociedad Uruguaya de Ateroesclerosis; </w:t>
      </w:r>
      <w:r w:rsidR="00B14721" w:rsidRPr="00876478">
        <w:rPr>
          <w:rFonts w:ascii="Arial" w:hAnsi="Arial" w:cs="Arial"/>
          <w:sz w:val="20"/>
          <w:szCs w:val="20"/>
          <w:lang w:val="es-PE"/>
        </w:rPr>
        <w:t xml:space="preserve">CCSS, Caja Costarricense del Seguro social; </w:t>
      </w:r>
      <w:r w:rsidR="00010487" w:rsidRPr="00876478">
        <w:rPr>
          <w:rFonts w:ascii="Arial" w:hAnsi="Arial" w:cs="Arial"/>
          <w:sz w:val="20"/>
          <w:szCs w:val="20"/>
          <w:lang w:val="es-PE"/>
        </w:rPr>
        <w:t>SBC,</w:t>
      </w:r>
      <w:r w:rsidR="00D532BE" w:rsidRPr="00876478">
        <w:rPr>
          <w:rFonts w:ascii="Arial" w:hAnsi="Arial" w:cs="Arial"/>
          <w:sz w:val="20"/>
          <w:szCs w:val="20"/>
          <w:lang w:val="es-PE"/>
        </w:rPr>
        <w:t xml:space="preserve"> </w:t>
      </w:r>
      <w:proofErr w:type="spellStart"/>
      <w:r w:rsidR="00D532BE" w:rsidRPr="00876478">
        <w:rPr>
          <w:rFonts w:ascii="Arial" w:hAnsi="Arial" w:cs="Arial"/>
          <w:sz w:val="20"/>
          <w:szCs w:val="20"/>
          <w:lang w:val="es-PE"/>
        </w:rPr>
        <w:t>Sociedade</w:t>
      </w:r>
      <w:proofErr w:type="spellEnd"/>
      <w:r w:rsidR="00D532BE" w:rsidRPr="00876478">
        <w:rPr>
          <w:rFonts w:ascii="Arial" w:hAnsi="Arial" w:cs="Arial"/>
          <w:sz w:val="20"/>
          <w:szCs w:val="20"/>
          <w:lang w:val="es-PE"/>
        </w:rPr>
        <w:t xml:space="preserve"> Brasileira de </w:t>
      </w:r>
      <w:proofErr w:type="spellStart"/>
      <w:r w:rsidR="00D532BE" w:rsidRPr="00876478">
        <w:rPr>
          <w:rFonts w:ascii="Arial" w:hAnsi="Arial" w:cs="Arial"/>
          <w:sz w:val="20"/>
          <w:szCs w:val="20"/>
          <w:lang w:val="es-PE"/>
        </w:rPr>
        <w:t>Cardiologia</w:t>
      </w:r>
      <w:proofErr w:type="spellEnd"/>
      <w:r w:rsidR="00D532BE" w:rsidRPr="00876478">
        <w:rPr>
          <w:rFonts w:ascii="Arial" w:hAnsi="Arial" w:cs="Arial"/>
          <w:sz w:val="20"/>
          <w:szCs w:val="20"/>
          <w:lang w:val="es-PE"/>
        </w:rPr>
        <w:t>;</w:t>
      </w:r>
      <w:r w:rsidR="00010487" w:rsidRPr="00876478">
        <w:rPr>
          <w:rFonts w:ascii="Arial" w:hAnsi="Arial" w:cs="Arial"/>
          <w:sz w:val="20"/>
          <w:szCs w:val="20"/>
          <w:lang w:val="es-PE"/>
        </w:rPr>
        <w:t xml:space="preserve"> </w:t>
      </w:r>
      <w:r w:rsidRPr="00876478">
        <w:rPr>
          <w:rFonts w:ascii="Arial" w:hAnsi="Arial" w:cs="Arial"/>
          <w:sz w:val="20"/>
          <w:szCs w:val="20"/>
          <w:lang w:val="es-PE"/>
        </w:rPr>
        <w:t xml:space="preserve">CINETS, Centro Nacional de Investigación en Evidencia y Tecnologías en Salud; IMSS, Instituto Mexicano del Seguro social; SAC, Sociedad Argentina de Cardiología; </w:t>
      </w:r>
      <w:r w:rsidR="00D532BE" w:rsidRPr="00876478">
        <w:rPr>
          <w:rFonts w:ascii="Arial" w:hAnsi="Arial" w:cs="Arial"/>
          <w:sz w:val="20"/>
          <w:szCs w:val="20"/>
          <w:lang w:val="es-PE"/>
        </w:rPr>
        <w:t xml:space="preserve">MINSAL, Ministerio de Salud de Chile; </w:t>
      </w:r>
      <w:r w:rsidRPr="00876478">
        <w:rPr>
          <w:rFonts w:ascii="Arial" w:hAnsi="Arial" w:cs="Arial"/>
          <w:sz w:val="20"/>
          <w:szCs w:val="20"/>
          <w:lang w:val="es-PE"/>
        </w:rPr>
        <w:t xml:space="preserve">FRS, Framingham </w:t>
      </w:r>
      <w:proofErr w:type="spellStart"/>
      <w:r w:rsidRPr="00876478">
        <w:rPr>
          <w:rFonts w:ascii="Arial" w:hAnsi="Arial" w:cs="Arial"/>
          <w:sz w:val="20"/>
          <w:szCs w:val="20"/>
          <w:lang w:val="es-PE"/>
        </w:rPr>
        <w:t>Risk</w:t>
      </w:r>
      <w:proofErr w:type="spellEnd"/>
      <w:r w:rsidRPr="00876478">
        <w:rPr>
          <w:rFonts w:ascii="Arial" w:hAnsi="Arial" w:cs="Arial"/>
          <w:sz w:val="20"/>
          <w:szCs w:val="20"/>
          <w:lang w:val="es-PE"/>
        </w:rPr>
        <w:t xml:space="preserve"> Score; IDF, International Diabetes </w:t>
      </w:r>
      <w:proofErr w:type="spellStart"/>
      <w:r w:rsidRPr="00876478">
        <w:rPr>
          <w:rFonts w:ascii="Arial" w:hAnsi="Arial" w:cs="Arial"/>
          <w:sz w:val="20"/>
          <w:szCs w:val="20"/>
          <w:lang w:val="es-PE"/>
        </w:rPr>
        <w:t>Federation</w:t>
      </w:r>
      <w:proofErr w:type="spellEnd"/>
      <w:r w:rsidRPr="00876478">
        <w:rPr>
          <w:rFonts w:ascii="Arial" w:hAnsi="Arial" w:cs="Arial"/>
          <w:sz w:val="20"/>
          <w:szCs w:val="20"/>
          <w:lang w:val="es-PE"/>
        </w:rPr>
        <w:t xml:space="preserve">; ASCVD, </w:t>
      </w:r>
      <w:proofErr w:type="spellStart"/>
      <w:r w:rsidRPr="00876478">
        <w:rPr>
          <w:rFonts w:ascii="Arial" w:hAnsi="Arial" w:cs="Arial"/>
          <w:sz w:val="20"/>
          <w:szCs w:val="20"/>
          <w:lang w:val="es-PE"/>
        </w:rPr>
        <w:t>atherosclerotic</w:t>
      </w:r>
      <w:proofErr w:type="spellEnd"/>
      <w:r w:rsidRPr="00876478">
        <w:rPr>
          <w:rFonts w:ascii="Arial" w:hAnsi="Arial" w:cs="Arial"/>
          <w:sz w:val="20"/>
          <w:szCs w:val="20"/>
          <w:lang w:val="es-PE"/>
        </w:rPr>
        <w:t xml:space="preserve"> cardiovascular </w:t>
      </w:r>
      <w:proofErr w:type="spellStart"/>
      <w:r w:rsidRPr="00876478">
        <w:rPr>
          <w:rFonts w:ascii="Arial" w:hAnsi="Arial" w:cs="Arial"/>
          <w:sz w:val="20"/>
          <w:szCs w:val="20"/>
          <w:lang w:val="es-PE"/>
        </w:rPr>
        <w:t>disease</w:t>
      </w:r>
      <w:proofErr w:type="spellEnd"/>
      <w:r w:rsidRPr="00876478">
        <w:rPr>
          <w:rFonts w:ascii="Arial" w:hAnsi="Arial" w:cs="Arial"/>
          <w:sz w:val="20"/>
          <w:szCs w:val="20"/>
          <w:lang w:val="es-PE"/>
        </w:rPr>
        <w:t xml:space="preserve">; CKD, </w:t>
      </w:r>
      <w:proofErr w:type="spellStart"/>
      <w:r w:rsidRPr="00876478">
        <w:rPr>
          <w:rFonts w:ascii="Arial" w:hAnsi="Arial" w:cs="Arial"/>
          <w:sz w:val="20"/>
          <w:szCs w:val="20"/>
          <w:lang w:val="es-PE"/>
        </w:rPr>
        <w:t>chronic</w:t>
      </w:r>
      <w:proofErr w:type="spellEnd"/>
      <w:r w:rsidRPr="00876478">
        <w:rPr>
          <w:rFonts w:ascii="Arial" w:hAnsi="Arial" w:cs="Arial"/>
          <w:sz w:val="20"/>
          <w:szCs w:val="20"/>
          <w:lang w:val="es-PE"/>
        </w:rPr>
        <w:t xml:space="preserve"> </w:t>
      </w:r>
      <w:proofErr w:type="spellStart"/>
      <w:r w:rsidRPr="00876478">
        <w:rPr>
          <w:rFonts w:ascii="Arial" w:hAnsi="Arial" w:cs="Arial"/>
          <w:sz w:val="20"/>
          <w:szCs w:val="20"/>
          <w:lang w:val="es-PE"/>
        </w:rPr>
        <w:t>kidney</w:t>
      </w:r>
      <w:proofErr w:type="spellEnd"/>
      <w:r w:rsidRPr="00876478">
        <w:rPr>
          <w:rFonts w:ascii="Arial" w:hAnsi="Arial" w:cs="Arial"/>
          <w:sz w:val="20"/>
          <w:szCs w:val="20"/>
          <w:lang w:val="es-PE"/>
        </w:rPr>
        <w:t xml:space="preserve"> </w:t>
      </w:r>
      <w:proofErr w:type="spellStart"/>
      <w:r w:rsidRPr="00876478">
        <w:rPr>
          <w:rFonts w:ascii="Arial" w:hAnsi="Arial" w:cs="Arial"/>
          <w:sz w:val="20"/>
          <w:szCs w:val="20"/>
          <w:lang w:val="es-PE"/>
        </w:rPr>
        <w:t>disease</w:t>
      </w:r>
      <w:proofErr w:type="spellEnd"/>
      <w:r w:rsidRPr="00876478">
        <w:rPr>
          <w:rFonts w:ascii="Arial" w:hAnsi="Arial" w:cs="Arial"/>
          <w:sz w:val="20"/>
          <w:szCs w:val="20"/>
          <w:lang w:val="es-PE"/>
        </w:rPr>
        <w:t xml:space="preserve">; DM, diabetes mellitus; LDL-C, </w:t>
      </w:r>
      <w:proofErr w:type="spellStart"/>
      <w:r w:rsidRPr="00876478">
        <w:rPr>
          <w:rFonts w:ascii="Arial" w:hAnsi="Arial" w:cs="Arial"/>
          <w:sz w:val="20"/>
          <w:szCs w:val="20"/>
          <w:lang w:val="es-PE"/>
        </w:rPr>
        <w:t>low-density</w:t>
      </w:r>
      <w:proofErr w:type="spellEnd"/>
      <w:r w:rsidRPr="00876478">
        <w:rPr>
          <w:rFonts w:ascii="Arial" w:hAnsi="Arial" w:cs="Arial"/>
          <w:sz w:val="20"/>
          <w:szCs w:val="20"/>
          <w:lang w:val="es-PE"/>
        </w:rPr>
        <w:t xml:space="preserve"> </w:t>
      </w:r>
      <w:proofErr w:type="spellStart"/>
      <w:r w:rsidRPr="00876478">
        <w:rPr>
          <w:rFonts w:ascii="Arial" w:hAnsi="Arial" w:cs="Arial"/>
          <w:sz w:val="20"/>
          <w:szCs w:val="20"/>
          <w:lang w:val="es-PE"/>
        </w:rPr>
        <w:t>lipoprotein</w:t>
      </w:r>
      <w:proofErr w:type="spellEnd"/>
      <w:r w:rsidRPr="00876478">
        <w:rPr>
          <w:rFonts w:ascii="Arial" w:hAnsi="Arial" w:cs="Arial"/>
          <w:sz w:val="20"/>
          <w:szCs w:val="20"/>
          <w:lang w:val="es-PE"/>
        </w:rPr>
        <w:t xml:space="preserve"> colesterol; GFR, glomerular </w:t>
      </w:r>
      <w:proofErr w:type="spellStart"/>
      <w:r w:rsidRPr="00876478">
        <w:rPr>
          <w:rFonts w:ascii="Arial" w:hAnsi="Arial" w:cs="Arial"/>
          <w:sz w:val="20"/>
          <w:szCs w:val="20"/>
          <w:lang w:val="es-PE"/>
        </w:rPr>
        <w:t>filtration</w:t>
      </w:r>
      <w:proofErr w:type="spellEnd"/>
      <w:r w:rsidRPr="00876478">
        <w:rPr>
          <w:rFonts w:ascii="Arial" w:hAnsi="Arial" w:cs="Arial"/>
          <w:sz w:val="20"/>
          <w:szCs w:val="20"/>
          <w:lang w:val="es-PE"/>
        </w:rPr>
        <w:t xml:space="preserve"> </w:t>
      </w:r>
      <w:proofErr w:type="spellStart"/>
      <w:r w:rsidRPr="00876478">
        <w:rPr>
          <w:rFonts w:ascii="Arial" w:hAnsi="Arial" w:cs="Arial"/>
          <w:sz w:val="20"/>
          <w:szCs w:val="20"/>
          <w:lang w:val="es-PE"/>
        </w:rPr>
        <w:t>rate</w:t>
      </w:r>
      <w:proofErr w:type="spellEnd"/>
      <w:r w:rsidRPr="00876478">
        <w:rPr>
          <w:rFonts w:ascii="Arial" w:hAnsi="Arial" w:cs="Arial"/>
          <w:sz w:val="20"/>
          <w:szCs w:val="20"/>
          <w:lang w:val="es-PE"/>
        </w:rPr>
        <w:t xml:space="preserve">; CRP, C-reactive </w:t>
      </w:r>
      <w:proofErr w:type="spellStart"/>
      <w:r w:rsidRPr="00876478">
        <w:rPr>
          <w:rFonts w:ascii="Arial" w:hAnsi="Arial" w:cs="Arial"/>
          <w:sz w:val="20"/>
          <w:szCs w:val="20"/>
          <w:lang w:val="es-PE"/>
        </w:rPr>
        <w:t>protein</w:t>
      </w:r>
      <w:proofErr w:type="spellEnd"/>
      <w:r w:rsidRPr="00876478">
        <w:rPr>
          <w:rFonts w:ascii="Arial" w:hAnsi="Arial" w:cs="Arial"/>
          <w:sz w:val="20"/>
          <w:szCs w:val="20"/>
          <w:lang w:val="es-PE"/>
        </w:rPr>
        <w:t xml:space="preserve">. </w:t>
      </w:r>
    </w:p>
    <w:p w14:paraId="2E8131E9" w14:textId="77777777" w:rsidR="00B23AAC" w:rsidRPr="00876478" w:rsidRDefault="00B23AAC" w:rsidP="007A0CD8">
      <w:pPr>
        <w:tabs>
          <w:tab w:val="left" w:pos="1218"/>
        </w:tabs>
        <w:spacing w:after="0" w:line="240" w:lineRule="auto"/>
        <w:jc w:val="both"/>
        <w:rPr>
          <w:rFonts w:ascii="Arial" w:hAnsi="Arial" w:cs="Arial"/>
          <w:sz w:val="20"/>
          <w:szCs w:val="20"/>
          <w:lang w:val="es-PE"/>
        </w:rPr>
      </w:pPr>
    </w:p>
    <w:p w14:paraId="09FF25B1" w14:textId="77777777" w:rsidR="007A0CD8" w:rsidRPr="00876478" w:rsidRDefault="007A0CD8" w:rsidP="007A0CD8">
      <w:pPr>
        <w:tabs>
          <w:tab w:val="left" w:pos="1218"/>
        </w:tabs>
        <w:spacing w:after="0" w:line="240" w:lineRule="auto"/>
        <w:jc w:val="both"/>
        <w:rPr>
          <w:rFonts w:ascii="Arial" w:hAnsi="Arial" w:cs="Arial"/>
          <w:sz w:val="20"/>
          <w:szCs w:val="20"/>
        </w:rPr>
      </w:pPr>
      <w:proofErr w:type="spellStart"/>
      <w:r w:rsidRPr="00876478">
        <w:rPr>
          <w:rFonts w:ascii="Arial" w:hAnsi="Arial" w:cs="Arial"/>
          <w:sz w:val="20"/>
          <w:szCs w:val="20"/>
          <w:vertAlign w:val="superscript"/>
        </w:rPr>
        <w:t>a</w:t>
      </w:r>
      <w:proofErr w:type="spellEnd"/>
      <w:r w:rsidRPr="00876478">
        <w:rPr>
          <w:rFonts w:ascii="Arial" w:hAnsi="Arial" w:cs="Arial"/>
          <w:sz w:val="20"/>
          <w:szCs w:val="20"/>
          <w:vertAlign w:val="superscript"/>
        </w:rPr>
        <w:t xml:space="preserve"> </w:t>
      </w:r>
      <w:proofErr w:type="gramStart"/>
      <w:r w:rsidRPr="00876478">
        <w:rPr>
          <w:rFonts w:ascii="Arial" w:hAnsi="Arial" w:cs="Arial"/>
          <w:sz w:val="20"/>
          <w:szCs w:val="20"/>
        </w:rPr>
        <w:t>For</w:t>
      </w:r>
      <w:proofErr w:type="gramEnd"/>
      <w:r w:rsidRPr="00876478">
        <w:rPr>
          <w:rFonts w:ascii="Arial" w:hAnsi="Arial" w:cs="Arial"/>
          <w:sz w:val="20"/>
          <w:szCs w:val="20"/>
        </w:rPr>
        <w:t xml:space="preserve"> primary prevention: 0-1 risk factors.</w:t>
      </w:r>
    </w:p>
    <w:p w14:paraId="1C55A8AE" w14:textId="670E9892" w:rsidR="007A0CD8" w:rsidRPr="00876478" w:rsidRDefault="007A0CD8" w:rsidP="007A0CD8">
      <w:pPr>
        <w:tabs>
          <w:tab w:val="left" w:pos="1218"/>
        </w:tabs>
        <w:spacing w:after="0" w:line="240" w:lineRule="auto"/>
        <w:jc w:val="both"/>
        <w:rPr>
          <w:rFonts w:ascii="Arial" w:hAnsi="Arial" w:cs="Arial"/>
          <w:sz w:val="20"/>
          <w:szCs w:val="20"/>
        </w:rPr>
      </w:pPr>
      <w:r w:rsidRPr="00876478">
        <w:rPr>
          <w:rFonts w:ascii="Arial" w:hAnsi="Arial" w:cs="Arial"/>
          <w:sz w:val="20"/>
          <w:szCs w:val="20"/>
          <w:vertAlign w:val="superscript"/>
        </w:rPr>
        <w:t>b</w:t>
      </w:r>
      <w:r w:rsidRPr="00876478">
        <w:rPr>
          <w:rFonts w:ascii="Arial" w:hAnsi="Arial" w:cs="Arial"/>
          <w:sz w:val="20"/>
          <w:szCs w:val="20"/>
        </w:rPr>
        <w:t xml:space="preserve"> </w:t>
      </w:r>
      <w:r w:rsidR="00DF16A9" w:rsidRPr="00876478">
        <w:rPr>
          <w:rFonts w:ascii="Arial" w:hAnsi="Arial" w:cs="Arial"/>
          <w:sz w:val="20"/>
          <w:szCs w:val="20"/>
        </w:rPr>
        <w:t>Carotid</w:t>
      </w:r>
      <w:r w:rsidRPr="00876478">
        <w:rPr>
          <w:rFonts w:ascii="Arial" w:hAnsi="Arial" w:cs="Arial"/>
          <w:sz w:val="20"/>
          <w:szCs w:val="20"/>
        </w:rPr>
        <w:t xml:space="preserve"> intim</w:t>
      </w:r>
      <w:r w:rsidR="00DF16A9" w:rsidRPr="00876478">
        <w:rPr>
          <w:rFonts w:ascii="Arial" w:hAnsi="Arial" w:cs="Arial"/>
          <w:sz w:val="20"/>
          <w:szCs w:val="20"/>
        </w:rPr>
        <w:t>a</w:t>
      </w:r>
      <w:r w:rsidRPr="00876478">
        <w:rPr>
          <w:rFonts w:ascii="Arial" w:hAnsi="Arial" w:cs="Arial"/>
          <w:sz w:val="20"/>
          <w:szCs w:val="20"/>
        </w:rPr>
        <w:t>-media thickness &gt;1, coronary calcium score &gt;100 or &gt; 75</w:t>
      </w:r>
      <w:r w:rsidRPr="00876478">
        <w:rPr>
          <w:rFonts w:ascii="Arial" w:hAnsi="Arial" w:cs="Arial"/>
          <w:sz w:val="20"/>
          <w:szCs w:val="20"/>
          <w:vertAlign w:val="superscript"/>
        </w:rPr>
        <w:t>th</w:t>
      </w:r>
      <w:r w:rsidRPr="00876478">
        <w:rPr>
          <w:rFonts w:ascii="Arial" w:hAnsi="Arial" w:cs="Arial"/>
          <w:sz w:val="20"/>
          <w:szCs w:val="20"/>
        </w:rPr>
        <w:t xml:space="preserve"> percentile for sex and age, ankle-brachial index &lt;0.9.</w:t>
      </w:r>
    </w:p>
    <w:p w14:paraId="1D34E997" w14:textId="77777777" w:rsidR="007A0CD8" w:rsidRPr="00876478" w:rsidRDefault="007A0CD8" w:rsidP="007A0CD8">
      <w:pPr>
        <w:tabs>
          <w:tab w:val="left" w:pos="1218"/>
        </w:tabs>
        <w:spacing w:after="0" w:line="240" w:lineRule="auto"/>
        <w:jc w:val="both"/>
        <w:rPr>
          <w:rFonts w:ascii="Arial" w:hAnsi="Arial" w:cs="Arial"/>
          <w:sz w:val="20"/>
          <w:szCs w:val="20"/>
        </w:rPr>
      </w:pPr>
      <w:r w:rsidRPr="00876478">
        <w:rPr>
          <w:rFonts w:ascii="Arial" w:hAnsi="Arial" w:cs="Arial"/>
          <w:sz w:val="20"/>
          <w:szCs w:val="20"/>
          <w:vertAlign w:val="superscript"/>
        </w:rPr>
        <w:lastRenderedPageBreak/>
        <w:t xml:space="preserve">c </w:t>
      </w:r>
      <w:r w:rsidRPr="00876478">
        <w:rPr>
          <w:rFonts w:ascii="Arial" w:hAnsi="Arial" w:cs="Arial"/>
          <w:sz w:val="20"/>
          <w:szCs w:val="20"/>
        </w:rPr>
        <w:t>Acute coronary events such as acute myocardial infarction (AMI) and stable or unstable angina, cerebrovascular accident (CVA), transitory ischemic attack (TIA), history of previous revascularization (coronary or other site), or lower extremity atherosclerotic vascular disease.</w:t>
      </w:r>
    </w:p>
    <w:p w14:paraId="11F1F92F" w14:textId="77777777" w:rsidR="007A0CD8" w:rsidRPr="00876478" w:rsidRDefault="007A0CD8" w:rsidP="007A0CD8">
      <w:pPr>
        <w:tabs>
          <w:tab w:val="left" w:pos="1218"/>
        </w:tabs>
        <w:spacing w:after="0" w:line="240" w:lineRule="auto"/>
        <w:jc w:val="both"/>
        <w:rPr>
          <w:rFonts w:ascii="Arial" w:hAnsi="Arial" w:cs="Arial"/>
          <w:sz w:val="20"/>
          <w:szCs w:val="20"/>
        </w:rPr>
      </w:pPr>
      <w:r w:rsidRPr="00876478">
        <w:rPr>
          <w:rFonts w:ascii="Arial" w:hAnsi="Arial" w:cs="Arial"/>
          <w:sz w:val="20"/>
          <w:szCs w:val="20"/>
          <w:vertAlign w:val="superscript"/>
        </w:rPr>
        <w:t xml:space="preserve">d </w:t>
      </w:r>
      <w:r w:rsidRPr="00876478">
        <w:rPr>
          <w:rFonts w:ascii="Arial" w:hAnsi="Arial" w:cs="Arial"/>
          <w:sz w:val="20"/>
          <w:szCs w:val="20"/>
        </w:rPr>
        <w:t>Established cardiovascular disease by imaging, history of AMI, coronary revascularization or any other revascularization method, ischemic-type cerebrovascular event, DM type 2 or 1 with target organ damage, moderate to severe GFR decrease (&lt; 60 ml/min/1.73 m</w:t>
      </w:r>
      <w:r w:rsidRPr="00876478">
        <w:rPr>
          <w:rFonts w:ascii="Arial" w:hAnsi="Arial" w:cs="Arial"/>
          <w:sz w:val="20"/>
          <w:szCs w:val="20"/>
          <w:vertAlign w:val="superscript"/>
        </w:rPr>
        <w:t>2</w:t>
      </w:r>
      <w:r w:rsidRPr="00876478">
        <w:rPr>
          <w:rFonts w:ascii="Arial" w:hAnsi="Arial" w:cs="Arial"/>
          <w:sz w:val="20"/>
          <w:szCs w:val="20"/>
        </w:rPr>
        <w:t>), Globorisk &gt; 10% predicted 10-y risk of any ASCVD.</w:t>
      </w:r>
    </w:p>
    <w:p w14:paraId="0AF143D0" w14:textId="0114ACD9" w:rsidR="007A0CD8" w:rsidRPr="00876478" w:rsidRDefault="007A0CD8" w:rsidP="007A0CD8">
      <w:pPr>
        <w:tabs>
          <w:tab w:val="left" w:pos="1218"/>
        </w:tabs>
        <w:spacing w:after="0" w:line="240" w:lineRule="auto"/>
        <w:jc w:val="both"/>
        <w:rPr>
          <w:rFonts w:ascii="Arial" w:hAnsi="Arial" w:cs="Arial"/>
          <w:sz w:val="20"/>
          <w:szCs w:val="20"/>
        </w:rPr>
      </w:pPr>
      <w:r w:rsidRPr="00876478">
        <w:rPr>
          <w:rFonts w:ascii="Arial" w:hAnsi="Arial" w:cs="Arial"/>
          <w:sz w:val="20"/>
          <w:szCs w:val="20"/>
          <w:vertAlign w:val="superscript"/>
        </w:rPr>
        <w:t>e</w:t>
      </w:r>
      <w:r w:rsidRPr="00876478">
        <w:rPr>
          <w:rFonts w:ascii="Arial" w:hAnsi="Arial" w:cs="Arial"/>
          <w:sz w:val="20"/>
          <w:szCs w:val="20"/>
        </w:rPr>
        <w:t xml:space="preserve"> Globorisk 5-10% predicted 10-y risk of any ASCVD; markedly elevated risk factors such as uncontrolled blood pressure (blood pressure ≥180/10mmHg), uncontrolled </w:t>
      </w:r>
      <w:r w:rsidR="00965128" w:rsidRPr="00876478">
        <w:rPr>
          <w:rFonts w:ascii="Arial" w:hAnsi="Arial" w:cs="Arial"/>
          <w:sz w:val="20"/>
          <w:szCs w:val="20"/>
        </w:rPr>
        <w:t>dyslipidaemia</w:t>
      </w:r>
      <w:r w:rsidRPr="00876478">
        <w:rPr>
          <w:rFonts w:ascii="Arial" w:hAnsi="Arial" w:cs="Arial"/>
          <w:sz w:val="20"/>
          <w:szCs w:val="20"/>
        </w:rPr>
        <w:t xml:space="preserve"> (total cholesterol &gt; 310mg/dL) or with primary familial hypercholesterolemia.</w:t>
      </w:r>
    </w:p>
    <w:p w14:paraId="64C33DD4" w14:textId="77777777" w:rsidR="007A0CD8" w:rsidRPr="00876478" w:rsidRDefault="007A0CD8" w:rsidP="007A0CD8">
      <w:pPr>
        <w:tabs>
          <w:tab w:val="left" w:pos="1218"/>
        </w:tabs>
        <w:spacing w:after="0" w:line="240" w:lineRule="auto"/>
        <w:jc w:val="both"/>
        <w:rPr>
          <w:rFonts w:ascii="Arial" w:hAnsi="Arial" w:cs="Arial"/>
          <w:sz w:val="20"/>
          <w:szCs w:val="20"/>
        </w:rPr>
      </w:pPr>
      <w:r w:rsidRPr="00876478">
        <w:rPr>
          <w:rFonts w:ascii="Arial" w:hAnsi="Arial" w:cs="Arial"/>
          <w:sz w:val="20"/>
          <w:szCs w:val="20"/>
          <w:vertAlign w:val="superscript"/>
        </w:rPr>
        <w:t>f</w:t>
      </w:r>
      <w:r w:rsidRPr="00876478">
        <w:rPr>
          <w:rFonts w:ascii="Arial" w:hAnsi="Arial" w:cs="Arial"/>
          <w:sz w:val="20"/>
          <w:szCs w:val="20"/>
        </w:rPr>
        <w:t xml:space="preserve"> Globorisk 1-5% predicted 10-y risk of any ASCVD.</w:t>
      </w:r>
    </w:p>
    <w:p w14:paraId="3127E1DB" w14:textId="77777777" w:rsidR="007A0CD8" w:rsidRPr="00876478" w:rsidRDefault="007A0CD8" w:rsidP="007A0CD8">
      <w:pPr>
        <w:tabs>
          <w:tab w:val="left" w:pos="1218"/>
        </w:tabs>
        <w:spacing w:after="0" w:line="240" w:lineRule="auto"/>
        <w:jc w:val="both"/>
        <w:rPr>
          <w:rFonts w:ascii="Arial" w:hAnsi="Arial" w:cs="Arial"/>
          <w:sz w:val="20"/>
          <w:szCs w:val="20"/>
        </w:rPr>
      </w:pPr>
      <w:r w:rsidRPr="00876478">
        <w:rPr>
          <w:rFonts w:ascii="Arial" w:hAnsi="Arial" w:cs="Arial"/>
          <w:sz w:val="20"/>
          <w:szCs w:val="20"/>
          <w:vertAlign w:val="superscript"/>
        </w:rPr>
        <w:t>g</w:t>
      </w:r>
      <w:r w:rsidRPr="00876478">
        <w:rPr>
          <w:rFonts w:ascii="Arial" w:hAnsi="Arial" w:cs="Arial"/>
          <w:sz w:val="20"/>
          <w:szCs w:val="20"/>
        </w:rPr>
        <w:t xml:space="preserve"> Significant peripheral arterial plaque (carotid, femoral or aortic), coronary calcium score &gt; 75</w:t>
      </w:r>
      <w:r w:rsidRPr="00876478">
        <w:rPr>
          <w:rFonts w:ascii="Arial" w:hAnsi="Arial" w:cs="Arial"/>
          <w:sz w:val="20"/>
          <w:szCs w:val="20"/>
          <w:vertAlign w:val="superscript"/>
        </w:rPr>
        <w:t>th</w:t>
      </w:r>
      <w:r w:rsidRPr="00876478">
        <w:rPr>
          <w:rFonts w:ascii="Arial" w:hAnsi="Arial" w:cs="Arial"/>
          <w:sz w:val="20"/>
          <w:szCs w:val="20"/>
        </w:rPr>
        <w:t xml:space="preserve"> percentile or &gt; 300 units </w:t>
      </w:r>
      <w:proofErr w:type="spellStart"/>
      <w:r w:rsidRPr="00876478">
        <w:rPr>
          <w:rFonts w:ascii="Arial" w:hAnsi="Arial" w:cs="Arial"/>
          <w:sz w:val="20"/>
          <w:szCs w:val="20"/>
        </w:rPr>
        <w:t>Agatston</w:t>
      </w:r>
      <w:proofErr w:type="spellEnd"/>
      <w:r w:rsidRPr="00876478">
        <w:rPr>
          <w:rFonts w:ascii="Arial" w:hAnsi="Arial" w:cs="Arial"/>
          <w:sz w:val="20"/>
          <w:szCs w:val="20"/>
        </w:rPr>
        <w:t xml:space="preserve">, coronary plaque on </w:t>
      </w:r>
      <w:proofErr w:type="spellStart"/>
      <w:r w:rsidRPr="00876478">
        <w:rPr>
          <w:rFonts w:ascii="Arial" w:hAnsi="Arial" w:cs="Arial"/>
          <w:sz w:val="20"/>
          <w:szCs w:val="20"/>
        </w:rPr>
        <w:t>angiotomography</w:t>
      </w:r>
      <w:proofErr w:type="spellEnd"/>
      <w:r w:rsidRPr="00876478">
        <w:rPr>
          <w:rFonts w:ascii="Arial" w:hAnsi="Arial" w:cs="Arial"/>
          <w:sz w:val="20"/>
          <w:szCs w:val="20"/>
        </w:rPr>
        <w:t>.</w:t>
      </w:r>
    </w:p>
    <w:p w14:paraId="29C4BB38" w14:textId="77777777" w:rsidR="007A0CD8" w:rsidRPr="00876478" w:rsidRDefault="007A0CD8" w:rsidP="00675F01">
      <w:pPr>
        <w:rPr>
          <w:rFonts w:ascii="Arial" w:hAnsi="Arial" w:cs="Arial"/>
          <w:sz w:val="20"/>
          <w:szCs w:val="20"/>
        </w:rPr>
      </w:pPr>
    </w:p>
    <w:p w14:paraId="6307B740" w14:textId="7BC98F65" w:rsidR="007A0CD8" w:rsidRPr="00876478" w:rsidRDefault="001954CB" w:rsidP="00881FD8">
      <w:pPr>
        <w:pStyle w:val="ListParagraph"/>
        <w:numPr>
          <w:ilvl w:val="0"/>
          <w:numId w:val="1"/>
        </w:numPr>
        <w:jc w:val="both"/>
        <w:rPr>
          <w:rFonts w:ascii="Arial" w:hAnsi="Arial" w:cs="Arial"/>
          <w:sz w:val="20"/>
          <w:szCs w:val="20"/>
          <w:lang w:val="es-PE"/>
        </w:rPr>
      </w:pPr>
      <w:r w:rsidRPr="00876478">
        <w:rPr>
          <w:rFonts w:ascii="Arial" w:hAnsi="Arial" w:cs="Arial"/>
          <w:sz w:val="20"/>
          <w:szCs w:val="20"/>
          <w:lang w:val="es-PE"/>
        </w:rPr>
        <w:t xml:space="preserve">Sociedad Uruguaya de Aterosclerosis. </w:t>
      </w:r>
      <w:r w:rsidR="00AD252F" w:rsidRPr="00876478">
        <w:rPr>
          <w:rFonts w:ascii="Arial" w:hAnsi="Arial" w:cs="Arial"/>
          <w:sz w:val="20"/>
          <w:szCs w:val="20"/>
          <w:lang w:val="es-PE"/>
        </w:rPr>
        <w:t xml:space="preserve">Segundo consenso uruguayo sobre dislipidemias. </w:t>
      </w:r>
    </w:p>
    <w:p w14:paraId="7F2C7733" w14:textId="3C093BF5" w:rsidR="00AD252F" w:rsidRPr="00876478" w:rsidRDefault="001954CB" w:rsidP="00010487">
      <w:pPr>
        <w:pStyle w:val="ListParagraph"/>
        <w:numPr>
          <w:ilvl w:val="0"/>
          <w:numId w:val="1"/>
        </w:numPr>
        <w:jc w:val="both"/>
        <w:rPr>
          <w:rFonts w:ascii="Arial" w:hAnsi="Arial" w:cs="Arial"/>
          <w:sz w:val="20"/>
          <w:szCs w:val="20"/>
          <w:lang w:val="es-PE"/>
        </w:rPr>
      </w:pPr>
      <w:r w:rsidRPr="00876478">
        <w:rPr>
          <w:rFonts w:ascii="Arial" w:hAnsi="Arial" w:cs="Arial"/>
          <w:sz w:val="20"/>
          <w:szCs w:val="20"/>
          <w:lang w:val="es-PE"/>
        </w:rPr>
        <w:t xml:space="preserve">Caja Costarricense de Seguro social. </w:t>
      </w:r>
      <w:r w:rsidR="00B14721" w:rsidRPr="00876478">
        <w:rPr>
          <w:rFonts w:ascii="Arial" w:hAnsi="Arial" w:cs="Arial"/>
          <w:sz w:val="20"/>
          <w:szCs w:val="20"/>
          <w:lang w:val="es-PE"/>
        </w:rPr>
        <w:t>Guías para la detección, el diagnóstico y el tratamiento de las dislipidemias para el primer nivel de atención</w:t>
      </w:r>
      <w:r w:rsidR="00010487" w:rsidRPr="00876478">
        <w:rPr>
          <w:rFonts w:ascii="Arial" w:hAnsi="Arial" w:cs="Arial"/>
          <w:sz w:val="20"/>
          <w:szCs w:val="20"/>
          <w:lang w:val="es-PE"/>
        </w:rPr>
        <w:t>; 2004</w:t>
      </w:r>
    </w:p>
    <w:p w14:paraId="213DBC7A" w14:textId="14D3BF55" w:rsidR="00AD252F" w:rsidRPr="00876478" w:rsidRDefault="00010487" w:rsidP="00010487">
      <w:pPr>
        <w:pStyle w:val="ListParagraph"/>
        <w:numPr>
          <w:ilvl w:val="0"/>
          <w:numId w:val="1"/>
        </w:numPr>
        <w:jc w:val="both"/>
        <w:rPr>
          <w:rFonts w:ascii="Arial" w:hAnsi="Arial" w:cs="Arial"/>
          <w:sz w:val="20"/>
          <w:szCs w:val="20"/>
          <w:lang w:val="es-PE"/>
        </w:rPr>
      </w:pPr>
      <w:r w:rsidRPr="00876478">
        <w:rPr>
          <w:rFonts w:ascii="Arial" w:hAnsi="Arial" w:cs="Arial"/>
          <w:sz w:val="20"/>
          <w:szCs w:val="20"/>
          <w:lang w:val="es-PE"/>
        </w:rPr>
        <w:t xml:space="preserve">Xavier HT, Izar MC, Faria JR, Assad MH, Rocha VZ, </w:t>
      </w:r>
      <w:proofErr w:type="spellStart"/>
      <w:r w:rsidRPr="00876478">
        <w:rPr>
          <w:rFonts w:ascii="Arial" w:hAnsi="Arial" w:cs="Arial"/>
          <w:sz w:val="20"/>
          <w:szCs w:val="20"/>
          <w:lang w:val="es-PE"/>
        </w:rPr>
        <w:t>Sposito</w:t>
      </w:r>
      <w:proofErr w:type="spellEnd"/>
      <w:r w:rsidRPr="00876478">
        <w:rPr>
          <w:rFonts w:ascii="Arial" w:hAnsi="Arial" w:cs="Arial"/>
          <w:sz w:val="20"/>
          <w:szCs w:val="20"/>
          <w:lang w:val="es-PE"/>
        </w:rPr>
        <w:t xml:space="preserve"> AC, et al. V </w:t>
      </w:r>
      <w:proofErr w:type="spellStart"/>
      <w:r w:rsidRPr="00876478">
        <w:rPr>
          <w:rFonts w:ascii="Arial" w:hAnsi="Arial" w:cs="Arial"/>
          <w:sz w:val="20"/>
          <w:szCs w:val="20"/>
          <w:lang w:val="es-PE"/>
        </w:rPr>
        <w:t>Diretriz</w:t>
      </w:r>
      <w:proofErr w:type="spellEnd"/>
      <w:r w:rsidRPr="00876478">
        <w:rPr>
          <w:rFonts w:ascii="Arial" w:hAnsi="Arial" w:cs="Arial"/>
          <w:sz w:val="20"/>
          <w:szCs w:val="20"/>
          <w:lang w:val="es-PE"/>
        </w:rPr>
        <w:t xml:space="preserve"> Brasileira de Dislipidemias e </w:t>
      </w:r>
      <w:proofErr w:type="spellStart"/>
      <w:r w:rsidRPr="00876478">
        <w:rPr>
          <w:rFonts w:ascii="Arial" w:hAnsi="Arial" w:cs="Arial"/>
          <w:sz w:val="20"/>
          <w:szCs w:val="20"/>
          <w:lang w:val="es-PE"/>
        </w:rPr>
        <w:t>Prevenção</w:t>
      </w:r>
      <w:proofErr w:type="spellEnd"/>
      <w:r w:rsidRPr="00876478">
        <w:rPr>
          <w:rFonts w:ascii="Arial" w:hAnsi="Arial" w:cs="Arial"/>
          <w:sz w:val="20"/>
          <w:szCs w:val="20"/>
          <w:lang w:val="es-PE"/>
        </w:rPr>
        <w:t xml:space="preserve"> da </w:t>
      </w:r>
      <w:proofErr w:type="spellStart"/>
      <w:r w:rsidRPr="00876478">
        <w:rPr>
          <w:rFonts w:ascii="Arial" w:hAnsi="Arial" w:cs="Arial"/>
          <w:sz w:val="20"/>
          <w:szCs w:val="20"/>
          <w:lang w:val="es-PE"/>
        </w:rPr>
        <w:t>Aterosclerose</w:t>
      </w:r>
      <w:proofErr w:type="spellEnd"/>
      <w:r w:rsidRPr="00876478">
        <w:rPr>
          <w:rFonts w:ascii="Arial" w:hAnsi="Arial" w:cs="Arial"/>
          <w:sz w:val="20"/>
          <w:szCs w:val="20"/>
          <w:lang w:val="es-PE"/>
        </w:rPr>
        <w:t xml:space="preserve">. </w:t>
      </w:r>
      <w:proofErr w:type="spellStart"/>
      <w:r w:rsidRPr="00876478">
        <w:rPr>
          <w:rFonts w:ascii="Arial" w:hAnsi="Arial" w:cs="Arial"/>
          <w:sz w:val="20"/>
          <w:szCs w:val="20"/>
          <w:lang w:val="es-PE"/>
        </w:rPr>
        <w:t>Sociedade</w:t>
      </w:r>
      <w:proofErr w:type="spellEnd"/>
      <w:r w:rsidRPr="00876478">
        <w:rPr>
          <w:rFonts w:ascii="Arial" w:hAnsi="Arial" w:cs="Arial"/>
          <w:sz w:val="20"/>
          <w:szCs w:val="20"/>
          <w:lang w:val="es-PE"/>
        </w:rPr>
        <w:t xml:space="preserve"> Brasileira de </w:t>
      </w:r>
      <w:proofErr w:type="spellStart"/>
      <w:r w:rsidRPr="00876478">
        <w:rPr>
          <w:rFonts w:ascii="Arial" w:hAnsi="Arial" w:cs="Arial"/>
          <w:sz w:val="20"/>
          <w:szCs w:val="20"/>
          <w:lang w:val="es-PE"/>
        </w:rPr>
        <w:t>Cardiologia</w:t>
      </w:r>
      <w:proofErr w:type="spellEnd"/>
      <w:r w:rsidR="00D674C9" w:rsidRPr="00876478">
        <w:rPr>
          <w:rFonts w:ascii="Arial" w:hAnsi="Arial" w:cs="Arial"/>
          <w:sz w:val="20"/>
          <w:szCs w:val="20"/>
          <w:lang w:val="es-PE"/>
        </w:rPr>
        <w:t>. 2013; 101(4)</w:t>
      </w:r>
    </w:p>
    <w:p w14:paraId="5CFD3F73" w14:textId="7F22C851" w:rsidR="00AD252F" w:rsidRPr="00876478" w:rsidRDefault="001954CB" w:rsidP="00881FD8">
      <w:pPr>
        <w:pStyle w:val="ListParagraph"/>
        <w:numPr>
          <w:ilvl w:val="0"/>
          <w:numId w:val="1"/>
        </w:numPr>
        <w:jc w:val="both"/>
        <w:rPr>
          <w:rFonts w:ascii="Arial" w:hAnsi="Arial" w:cs="Arial"/>
          <w:sz w:val="20"/>
          <w:szCs w:val="20"/>
          <w:lang w:val="es-PE"/>
        </w:rPr>
      </w:pPr>
      <w:r w:rsidRPr="00876478">
        <w:rPr>
          <w:rFonts w:ascii="Arial" w:hAnsi="Arial" w:cs="Arial"/>
          <w:sz w:val="20"/>
          <w:szCs w:val="20"/>
          <w:lang w:val="es-PE"/>
        </w:rPr>
        <w:t>Centro Nacional de Investigación en Evidencia y Tecnologías en Salud CINETS.</w:t>
      </w:r>
      <w:r w:rsidR="0091098F" w:rsidRPr="00876478">
        <w:rPr>
          <w:rFonts w:ascii="Arial" w:hAnsi="Arial" w:cs="Arial"/>
          <w:sz w:val="20"/>
          <w:szCs w:val="20"/>
          <w:lang w:val="es-PE"/>
        </w:rPr>
        <w:t xml:space="preserve"> Guía de práctica clínica para la prevención, detección temprana, diagnóstico, tratamiento y seguimiento de las dislipidemias en la población mayor de 18 años; 2014</w:t>
      </w:r>
    </w:p>
    <w:p w14:paraId="11E8049A" w14:textId="02C0EBFD" w:rsidR="00AD252F" w:rsidRPr="00876478" w:rsidRDefault="0091098F" w:rsidP="00881FD8">
      <w:pPr>
        <w:pStyle w:val="ListParagraph"/>
        <w:numPr>
          <w:ilvl w:val="0"/>
          <w:numId w:val="1"/>
        </w:numPr>
        <w:jc w:val="both"/>
        <w:rPr>
          <w:rFonts w:ascii="Arial" w:hAnsi="Arial" w:cs="Arial"/>
          <w:sz w:val="20"/>
          <w:szCs w:val="20"/>
          <w:lang w:val="es-PE"/>
        </w:rPr>
      </w:pPr>
      <w:r w:rsidRPr="00876478">
        <w:rPr>
          <w:rFonts w:ascii="Arial" w:hAnsi="Arial" w:cs="Arial"/>
          <w:sz w:val="20"/>
          <w:szCs w:val="20"/>
          <w:lang w:val="es-PE"/>
        </w:rPr>
        <w:t>Instituto Mexicano del Seguro Social. Diagnóstico y tratamiento de DISLIPIDEMIAS (HIPERCOLESTEROLEMIA) en el adulto</w:t>
      </w:r>
      <w:r w:rsidR="001954CB" w:rsidRPr="00876478">
        <w:rPr>
          <w:rFonts w:ascii="Arial" w:hAnsi="Arial" w:cs="Arial"/>
          <w:sz w:val="20"/>
          <w:szCs w:val="20"/>
          <w:lang w:val="es-PE"/>
        </w:rPr>
        <w:t>; 2016</w:t>
      </w:r>
    </w:p>
    <w:p w14:paraId="0CD81E33" w14:textId="160E70AD" w:rsidR="00AD252F" w:rsidRPr="00876478" w:rsidRDefault="001954CB" w:rsidP="00881FD8">
      <w:pPr>
        <w:pStyle w:val="ListParagraph"/>
        <w:numPr>
          <w:ilvl w:val="0"/>
          <w:numId w:val="1"/>
        </w:numPr>
        <w:jc w:val="both"/>
        <w:rPr>
          <w:rFonts w:ascii="Arial" w:hAnsi="Arial" w:cs="Arial"/>
          <w:sz w:val="20"/>
          <w:szCs w:val="20"/>
          <w:lang w:val="es-PE"/>
        </w:rPr>
      </w:pPr>
      <w:r w:rsidRPr="00876478">
        <w:rPr>
          <w:rFonts w:ascii="Arial" w:hAnsi="Arial" w:cs="Arial"/>
          <w:sz w:val="20"/>
          <w:szCs w:val="20"/>
          <w:lang w:val="es-PE"/>
        </w:rPr>
        <w:t>Sociedad Argentina de Cardiología. Uso apropiado de las estatinas en la Argentina, Documento de posición. Revista Argentina de Cardiología. 2018; 86(1)</w:t>
      </w:r>
    </w:p>
    <w:p w14:paraId="2C503959" w14:textId="7497596F" w:rsidR="00AD252F" w:rsidRPr="00876478" w:rsidRDefault="00643E0E" w:rsidP="00B14721">
      <w:pPr>
        <w:pStyle w:val="ListParagraph"/>
        <w:numPr>
          <w:ilvl w:val="0"/>
          <w:numId w:val="1"/>
        </w:numPr>
        <w:jc w:val="both"/>
        <w:rPr>
          <w:rFonts w:ascii="Arial" w:hAnsi="Arial" w:cs="Arial"/>
          <w:sz w:val="20"/>
          <w:szCs w:val="20"/>
          <w:lang w:val="es-PE"/>
        </w:rPr>
      </w:pPr>
      <w:r w:rsidRPr="00876478">
        <w:rPr>
          <w:rFonts w:ascii="Arial" w:hAnsi="Arial" w:cs="Arial"/>
          <w:sz w:val="20"/>
          <w:szCs w:val="20"/>
          <w:lang w:val="es-PE"/>
        </w:rPr>
        <w:t>Ministerio de Salud de Chile. Orientación técnica Dislipidemias; 2018</w:t>
      </w:r>
    </w:p>
    <w:p w14:paraId="6D4EDF2C" w14:textId="57F3BB59" w:rsidR="002A30B7" w:rsidRPr="00876478" w:rsidRDefault="002A30B7">
      <w:pPr>
        <w:rPr>
          <w:rFonts w:ascii="Arial" w:hAnsi="Arial" w:cs="Arial"/>
          <w:sz w:val="20"/>
          <w:szCs w:val="20"/>
          <w:lang w:val="es-PE"/>
        </w:rPr>
      </w:pPr>
    </w:p>
    <w:p w14:paraId="7467D19E" w14:textId="708B667D" w:rsidR="00CF0F13" w:rsidRPr="00876478" w:rsidRDefault="00CF0F13">
      <w:pPr>
        <w:rPr>
          <w:rFonts w:ascii="Arial" w:hAnsi="Arial" w:cs="Arial"/>
          <w:sz w:val="20"/>
          <w:szCs w:val="20"/>
        </w:rPr>
      </w:pPr>
      <w:r w:rsidRPr="00876478">
        <w:rPr>
          <w:rFonts w:ascii="Arial" w:hAnsi="Arial" w:cs="Arial"/>
          <w:sz w:val="20"/>
          <w:szCs w:val="20"/>
        </w:rPr>
        <w:br w:type="page"/>
      </w:r>
    </w:p>
    <w:p w14:paraId="33BD8E2B" w14:textId="77777777" w:rsidR="00CF0F13" w:rsidRPr="00876478" w:rsidRDefault="00CF0F13" w:rsidP="008B3521">
      <w:pPr>
        <w:rPr>
          <w:rFonts w:ascii="Arial" w:hAnsi="Arial" w:cs="Arial"/>
          <w:sz w:val="20"/>
          <w:szCs w:val="20"/>
        </w:rPr>
        <w:sectPr w:rsidR="00CF0F13" w:rsidRPr="00876478" w:rsidSect="002B4173">
          <w:pgSz w:w="16838" w:h="11906" w:orient="landscape"/>
          <w:pgMar w:top="1440" w:right="1440" w:bottom="1440" w:left="1440" w:header="709" w:footer="709" w:gutter="0"/>
          <w:cols w:space="708"/>
          <w:docGrid w:linePitch="360"/>
        </w:sectPr>
      </w:pPr>
    </w:p>
    <w:p w14:paraId="0289E12F" w14:textId="26557FC2" w:rsidR="00DE0C2C" w:rsidRPr="00876478" w:rsidRDefault="00DE0C2C" w:rsidP="00DE0C2C">
      <w:pPr>
        <w:pStyle w:val="Heading1"/>
        <w:rPr>
          <w:rFonts w:ascii="Arial" w:hAnsi="Arial" w:cs="Arial"/>
          <w:color w:val="auto"/>
          <w:sz w:val="20"/>
          <w:szCs w:val="20"/>
          <w:lang w:val="en-GB"/>
        </w:rPr>
      </w:pPr>
      <w:bookmarkStart w:id="11" w:name="_Toc42494726"/>
      <w:r w:rsidRPr="00876478">
        <w:rPr>
          <w:rFonts w:ascii="Arial" w:hAnsi="Arial" w:cs="Arial"/>
          <w:color w:val="auto"/>
          <w:sz w:val="20"/>
          <w:szCs w:val="20"/>
          <w:lang w:val="en-GB"/>
        </w:rPr>
        <w:lastRenderedPageBreak/>
        <w:t xml:space="preserve">Supplementary Table </w:t>
      </w:r>
      <w:r w:rsidR="00D22B27" w:rsidRPr="00876478">
        <w:rPr>
          <w:rFonts w:ascii="Arial" w:hAnsi="Arial" w:cs="Arial"/>
          <w:color w:val="auto"/>
          <w:sz w:val="20"/>
          <w:szCs w:val="20"/>
          <w:lang w:val="en-GB"/>
        </w:rPr>
        <w:t>5</w:t>
      </w:r>
      <w:r w:rsidRPr="00876478">
        <w:rPr>
          <w:rFonts w:ascii="Arial" w:hAnsi="Arial" w:cs="Arial"/>
          <w:color w:val="auto"/>
          <w:sz w:val="20"/>
          <w:szCs w:val="20"/>
          <w:lang w:val="en-GB"/>
        </w:rPr>
        <w:t>: Country classification into sub-regions</w:t>
      </w:r>
      <w:bookmarkEnd w:id="11"/>
    </w:p>
    <w:p w14:paraId="502B5091" w14:textId="77777777" w:rsidR="00DE0C2C" w:rsidRPr="00876478" w:rsidRDefault="00DE0C2C" w:rsidP="00DE0C2C">
      <w:pPr>
        <w:pStyle w:val="NoSpacing"/>
        <w:rPr>
          <w:rFonts w:ascii="Arial" w:hAnsi="Arial" w:cs="Arial"/>
          <w:sz w:val="20"/>
          <w:szCs w:val="20"/>
          <w:lang w:val="en-GB"/>
        </w:rPr>
      </w:pPr>
    </w:p>
    <w:tbl>
      <w:tblPr>
        <w:tblW w:w="5000" w:type="pct"/>
        <w:tblLook w:val="04A0" w:firstRow="1" w:lastRow="0" w:firstColumn="1" w:lastColumn="0" w:noHBand="0" w:noVBand="1"/>
      </w:tblPr>
      <w:tblGrid>
        <w:gridCol w:w="1245"/>
        <w:gridCol w:w="3858"/>
        <w:gridCol w:w="4139"/>
      </w:tblGrid>
      <w:tr w:rsidR="00DE0C2C" w:rsidRPr="00876478" w14:paraId="3EA900C3" w14:textId="77777777" w:rsidTr="00DE0C2C">
        <w:trPr>
          <w:trHeight w:val="300"/>
        </w:trPr>
        <w:tc>
          <w:tcPr>
            <w:tcW w:w="67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D62144F" w14:textId="77777777" w:rsidR="00DE0C2C" w:rsidRPr="00876478" w:rsidRDefault="00DE0C2C" w:rsidP="00DE0C2C">
            <w:pPr>
              <w:spacing w:after="0" w:line="240" w:lineRule="auto"/>
              <w:jc w:val="center"/>
              <w:rPr>
                <w:rFonts w:ascii="Arial" w:eastAsia="Times New Roman" w:hAnsi="Arial" w:cs="Arial"/>
                <w:b/>
                <w:bCs/>
                <w:color w:val="000000"/>
                <w:sz w:val="20"/>
                <w:szCs w:val="20"/>
                <w:lang w:eastAsia="en-GB"/>
              </w:rPr>
            </w:pPr>
            <w:r w:rsidRPr="00876478">
              <w:rPr>
                <w:rFonts w:ascii="Arial" w:eastAsia="Times New Roman" w:hAnsi="Arial" w:cs="Arial"/>
                <w:b/>
                <w:bCs/>
                <w:color w:val="000000"/>
                <w:sz w:val="20"/>
                <w:szCs w:val="20"/>
                <w:lang w:eastAsia="en-GB"/>
              </w:rPr>
              <w:t>ISO3 Code</w:t>
            </w:r>
          </w:p>
        </w:tc>
        <w:tc>
          <w:tcPr>
            <w:tcW w:w="2087" w:type="pct"/>
            <w:tcBorders>
              <w:top w:val="single" w:sz="4" w:space="0" w:color="auto"/>
              <w:left w:val="nil"/>
              <w:bottom w:val="single" w:sz="4" w:space="0" w:color="auto"/>
              <w:right w:val="single" w:sz="4" w:space="0" w:color="auto"/>
            </w:tcBorders>
            <w:shd w:val="clear" w:color="000000" w:fill="BFBFBF"/>
            <w:noWrap/>
            <w:vAlign w:val="bottom"/>
            <w:hideMark/>
          </w:tcPr>
          <w:p w14:paraId="26B1DC30" w14:textId="77777777" w:rsidR="00DE0C2C" w:rsidRPr="00876478" w:rsidRDefault="00DE0C2C" w:rsidP="00DE0C2C">
            <w:pPr>
              <w:spacing w:after="0" w:line="240" w:lineRule="auto"/>
              <w:jc w:val="center"/>
              <w:rPr>
                <w:rFonts w:ascii="Arial" w:eastAsia="Times New Roman" w:hAnsi="Arial" w:cs="Arial"/>
                <w:b/>
                <w:bCs/>
                <w:color w:val="000000"/>
                <w:sz w:val="20"/>
                <w:szCs w:val="20"/>
                <w:lang w:eastAsia="en-GB"/>
              </w:rPr>
            </w:pPr>
            <w:r w:rsidRPr="00876478">
              <w:rPr>
                <w:rFonts w:ascii="Arial" w:eastAsia="Times New Roman" w:hAnsi="Arial" w:cs="Arial"/>
                <w:b/>
                <w:bCs/>
                <w:color w:val="000000"/>
                <w:sz w:val="20"/>
                <w:szCs w:val="20"/>
                <w:lang w:eastAsia="en-GB"/>
              </w:rPr>
              <w:t>Country</w:t>
            </w:r>
          </w:p>
        </w:tc>
        <w:tc>
          <w:tcPr>
            <w:tcW w:w="2239" w:type="pct"/>
            <w:tcBorders>
              <w:top w:val="single" w:sz="4" w:space="0" w:color="auto"/>
              <w:left w:val="nil"/>
              <w:bottom w:val="single" w:sz="4" w:space="0" w:color="auto"/>
              <w:right w:val="single" w:sz="4" w:space="0" w:color="auto"/>
            </w:tcBorders>
            <w:shd w:val="clear" w:color="000000" w:fill="BFBFBF"/>
            <w:noWrap/>
            <w:vAlign w:val="bottom"/>
            <w:hideMark/>
          </w:tcPr>
          <w:p w14:paraId="1058EDD7" w14:textId="77777777" w:rsidR="00DE0C2C" w:rsidRPr="00876478" w:rsidRDefault="00DE0C2C" w:rsidP="00DE0C2C">
            <w:pPr>
              <w:spacing w:after="0" w:line="240" w:lineRule="auto"/>
              <w:jc w:val="center"/>
              <w:rPr>
                <w:rFonts w:ascii="Arial" w:eastAsia="Times New Roman" w:hAnsi="Arial" w:cs="Arial"/>
                <w:b/>
                <w:bCs/>
                <w:color w:val="000000"/>
                <w:sz w:val="20"/>
                <w:szCs w:val="20"/>
                <w:lang w:eastAsia="en-GB"/>
              </w:rPr>
            </w:pPr>
            <w:r w:rsidRPr="00876478">
              <w:rPr>
                <w:rFonts w:ascii="Arial" w:eastAsia="Times New Roman" w:hAnsi="Arial" w:cs="Arial"/>
                <w:b/>
                <w:bCs/>
                <w:color w:val="000000"/>
                <w:sz w:val="20"/>
                <w:szCs w:val="20"/>
                <w:lang w:eastAsia="en-GB"/>
              </w:rPr>
              <w:t>Sub-Region</w:t>
            </w:r>
          </w:p>
        </w:tc>
      </w:tr>
      <w:tr w:rsidR="00DE0C2C" w:rsidRPr="00876478" w14:paraId="4C43D744"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748F0065"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ARG</w:t>
            </w:r>
          </w:p>
        </w:tc>
        <w:tc>
          <w:tcPr>
            <w:tcW w:w="2087" w:type="pct"/>
            <w:tcBorders>
              <w:top w:val="nil"/>
              <w:left w:val="nil"/>
              <w:bottom w:val="single" w:sz="4" w:space="0" w:color="auto"/>
              <w:right w:val="single" w:sz="4" w:space="0" w:color="auto"/>
            </w:tcBorders>
            <w:shd w:val="clear" w:color="auto" w:fill="auto"/>
            <w:noWrap/>
            <w:vAlign w:val="bottom"/>
            <w:hideMark/>
          </w:tcPr>
          <w:p w14:paraId="2D0F0E71"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Argentina</w:t>
            </w:r>
          </w:p>
        </w:tc>
        <w:tc>
          <w:tcPr>
            <w:tcW w:w="2239" w:type="pct"/>
            <w:tcBorders>
              <w:top w:val="nil"/>
              <w:left w:val="nil"/>
              <w:bottom w:val="single" w:sz="4" w:space="0" w:color="auto"/>
              <w:right w:val="single" w:sz="4" w:space="0" w:color="auto"/>
            </w:tcBorders>
            <w:shd w:val="clear" w:color="auto" w:fill="auto"/>
            <w:noWrap/>
            <w:vAlign w:val="bottom"/>
            <w:hideMark/>
          </w:tcPr>
          <w:p w14:paraId="35A9C052"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Southern and Tropical Latin America</w:t>
            </w:r>
          </w:p>
        </w:tc>
      </w:tr>
      <w:tr w:rsidR="00DE0C2C" w:rsidRPr="00876478" w14:paraId="4B4C1C41"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61A61E7F"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ATG</w:t>
            </w:r>
          </w:p>
        </w:tc>
        <w:tc>
          <w:tcPr>
            <w:tcW w:w="2087" w:type="pct"/>
            <w:tcBorders>
              <w:top w:val="nil"/>
              <w:left w:val="nil"/>
              <w:bottom w:val="single" w:sz="4" w:space="0" w:color="auto"/>
              <w:right w:val="single" w:sz="4" w:space="0" w:color="auto"/>
            </w:tcBorders>
            <w:shd w:val="clear" w:color="auto" w:fill="auto"/>
            <w:noWrap/>
            <w:vAlign w:val="bottom"/>
            <w:hideMark/>
          </w:tcPr>
          <w:p w14:paraId="3CECE353"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Antigua and Barbuda</w:t>
            </w:r>
          </w:p>
        </w:tc>
        <w:tc>
          <w:tcPr>
            <w:tcW w:w="2239" w:type="pct"/>
            <w:tcBorders>
              <w:top w:val="nil"/>
              <w:left w:val="nil"/>
              <w:bottom w:val="single" w:sz="4" w:space="0" w:color="auto"/>
              <w:right w:val="single" w:sz="4" w:space="0" w:color="auto"/>
            </w:tcBorders>
            <w:shd w:val="clear" w:color="auto" w:fill="auto"/>
            <w:noWrap/>
            <w:vAlign w:val="bottom"/>
            <w:hideMark/>
          </w:tcPr>
          <w:p w14:paraId="66D9C449"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1AE5A80B"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41E4CD7E"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BHS</w:t>
            </w:r>
          </w:p>
        </w:tc>
        <w:tc>
          <w:tcPr>
            <w:tcW w:w="2087" w:type="pct"/>
            <w:tcBorders>
              <w:top w:val="nil"/>
              <w:left w:val="nil"/>
              <w:bottom w:val="single" w:sz="4" w:space="0" w:color="auto"/>
              <w:right w:val="single" w:sz="4" w:space="0" w:color="auto"/>
            </w:tcBorders>
            <w:shd w:val="clear" w:color="auto" w:fill="auto"/>
            <w:noWrap/>
            <w:vAlign w:val="bottom"/>
            <w:hideMark/>
          </w:tcPr>
          <w:p w14:paraId="01AC397D"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Bahamas</w:t>
            </w:r>
          </w:p>
        </w:tc>
        <w:tc>
          <w:tcPr>
            <w:tcW w:w="2239" w:type="pct"/>
            <w:tcBorders>
              <w:top w:val="nil"/>
              <w:left w:val="nil"/>
              <w:bottom w:val="single" w:sz="4" w:space="0" w:color="auto"/>
              <w:right w:val="single" w:sz="4" w:space="0" w:color="auto"/>
            </w:tcBorders>
            <w:shd w:val="clear" w:color="auto" w:fill="auto"/>
            <w:noWrap/>
            <w:vAlign w:val="bottom"/>
            <w:hideMark/>
          </w:tcPr>
          <w:p w14:paraId="4726144D"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66C093BC"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776C5ED9"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BLZ</w:t>
            </w:r>
          </w:p>
        </w:tc>
        <w:tc>
          <w:tcPr>
            <w:tcW w:w="2087" w:type="pct"/>
            <w:tcBorders>
              <w:top w:val="nil"/>
              <w:left w:val="nil"/>
              <w:bottom w:val="single" w:sz="4" w:space="0" w:color="auto"/>
              <w:right w:val="single" w:sz="4" w:space="0" w:color="auto"/>
            </w:tcBorders>
            <w:shd w:val="clear" w:color="auto" w:fill="auto"/>
            <w:noWrap/>
            <w:vAlign w:val="bottom"/>
            <w:hideMark/>
          </w:tcPr>
          <w:p w14:paraId="137F9529"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Belize</w:t>
            </w:r>
          </w:p>
        </w:tc>
        <w:tc>
          <w:tcPr>
            <w:tcW w:w="2239" w:type="pct"/>
            <w:tcBorders>
              <w:top w:val="nil"/>
              <w:left w:val="nil"/>
              <w:bottom w:val="single" w:sz="4" w:space="0" w:color="auto"/>
              <w:right w:val="single" w:sz="4" w:space="0" w:color="auto"/>
            </w:tcBorders>
            <w:shd w:val="clear" w:color="auto" w:fill="auto"/>
            <w:noWrap/>
            <w:vAlign w:val="bottom"/>
            <w:hideMark/>
          </w:tcPr>
          <w:p w14:paraId="2089EFC8"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3AAA21EE"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04F08976"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BMU</w:t>
            </w:r>
          </w:p>
        </w:tc>
        <w:tc>
          <w:tcPr>
            <w:tcW w:w="2087" w:type="pct"/>
            <w:tcBorders>
              <w:top w:val="nil"/>
              <w:left w:val="nil"/>
              <w:bottom w:val="single" w:sz="4" w:space="0" w:color="auto"/>
              <w:right w:val="single" w:sz="4" w:space="0" w:color="auto"/>
            </w:tcBorders>
            <w:shd w:val="clear" w:color="auto" w:fill="auto"/>
            <w:noWrap/>
            <w:vAlign w:val="bottom"/>
            <w:hideMark/>
          </w:tcPr>
          <w:p w14:paraId="1AD63881"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Bermuda</w:t>
            </w:r>
          </w:p>
        </w:tc>
        <w:tc>
          <w:tcPr>
            <w:tcW w:w="2239" w:type="pct"/>
            <w:tcBorders>
              <w:top w:val="nil"/>
              <w:left w:val="nil"/>
              <w:bottom w:val="single" w:sz="4" w:space="0" w:color="auto"/>
              <w:right w:val="single" w:sz="4" w:space="0" w:color="auto"/>
            </w:tcBorders>
            <w:shd w:val="clear" w:color="auto" w:fill="auto"/>
            <w:noWrap/>
            <w:vAlign w:val="bottom"/>
            <w:hideMark/>
          </w:tcPr>
          <w:p w14:paraId="27426F07"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74FC4348"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2BE47EC1"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BOL</w:t>
            </w:r>
          </w:p>
        </w:tc>
        <w:tc>
          <w:tcPr>
            <w:tcW w:w="2087" w:type="pct"/>
            <w:tcBorders>
              <w:top w:val="nil"/>
              <w:left w:val="nil"/>
              <w:bottom w:val="single" w:sz="4" w:space="0" w:color="auto"/>
              <w:right w:val="single" w:sz="4" w:space="0" w:color="auto"/>
            </w:tcBorders>
            <w:shd w:val="clear" w:color="auto" w:fill="auto"/>
            <w:noWrap/>
            <w:vAlign w:val="bottom"/>
            <w:hideMark/>
          </w:tcPr>
          <w:p w14:paraId="77DF7D0A"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Bolivia</w:t>
            </w:r>
          </w:p>
        </w:tc>
        <w:tc>
          <w:tcPr>
            <w:tcW w:w="2239" w:type="pct"/>
            <w:tcBorders>
              <w:top w:val="nil"/>
              <w:left w:val="nil"/>
              <w:bottom w:val="single" w:sz="4" w:space="0" w:color="auto"/>
              <w:right w:val="single" w:sz="4" w:space="0" w:color="auto"/>
            </w:tcBorders>
            <w:shd w:val="clear" w:color="auto" w:fill="auto"/>
            <w:noWrap/>
            <w:vAlign w:val="bottom"/>
            <w:hideMark/>
          </w:tcPr>
          <w:p w14:paraId="53CCDB0C"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Andean Latin America</w:t>
            </w:r>
          </w:p>
        </w:tc>
      </w:tr>
      <w:tr w:rsidR="00DE0C2C" w:rsidRPr="00876478" w14:paraId="5E2E3F7C"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0CAE1EE4"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BRA</w:t>
            </w:r>
          </w:p>
        </w:tc>
        <w:tc>
          <w:tcPr>
            <w:tcW w:w="2087" w:type="pct"/>
            <w:tcBorders>
              <w:top w:val="nil"/>
              <w:left w:val="nil"/>
              <w:bottom w:val="single" w:sz="4" w:space="0" w:color="auto"/>
              <w:right w:val="single" w:sz="4" w:space="0" w:color="auto"/>
            </w:tcBorders>
            <w:shd w:val="clear" w:color="auto" w:fill="auto"/>
            <w:noWrap/>
            <w:vAlign w:val="bottom"/>
            <w:hideMark/>
          </w:tcPr>
          <w:p w14:paraId="0EE3BC84"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Brazil</w:t>
            </w:r>
          </w:p>
        </w:tc>
        <w:tc>
          <w:tcPr>
            <w:tcW w:w="2239" w:type="pct"/>
            <w:tcBorders>
              <w:top w:val="nil"/>
              <w:left w:val="nil"/>
              <w:bottom w:val="single" w:sz="4" w:space="0" w:color="auto"/>
              <w:right w:val="single" w:sz="4" w:space="0" w:color="auto"/>
            </w:tcBorders>
            <w:shd w:val="clear" w:color="auto" w:fill="auto"/>
            <w:noWrap/>
            <w:vAlign w:val="bottom"/>
            <w:hideMark/>
          </w:tcPr>
          <w:p w14:paraId="51C3C375"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Southern and Tropical Latin America</w:t>
            </w:r>
          </w:p>
        </w:tc>
      </w:tr>
      <w:tr w:rsidR="00DE0C2C" w:rsidRPr="00876478" w14:paraId="53A883CC"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2F466C0A"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BRB</w:t>
            </w:r>
          </w:p>
        </w:tc>
        <w:tc>
          <w:tcPr>
            <w:tcW w:w="2087" w:type="pct"/>
            <w:tcBorders>
              <w:top w:val="nil"/>
              <w:left w:val="nil"/>
              <w:bottom w:val="single" w:sz="4" w:space="0" w:color="auto"/>
              <w:right w:val="single" w:sz="4" w:space="0" w:color="auto"/>
            </w:tcBorders>
            <w:shd w:val="clear" w:color="auto" w:fill="auto"/>
            <w:noWrap/>
            <w:vAlign w:val="bottom"/>
            <w:hideMark/>
          </w:tcPr>
          <w:p w14:paraId="3BAB7601"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Barbados</w:t>
            </w:r>
          </w:p>
        </w:tc>
        <w:tc>
          <w:tcPr>
            <w:tcW w:w="2239" w:type="pct"/>
            <w:tcBorders>
              <w:top w:val="nil"/>
              <w:left w:val="nil"/>
              <w:bottom w:val="single" w:sz="4" w:space="0" w:color="auto"/>
              <w:right w:val="single" w:sz="4" w:space="0" w:color="auto"/>
            </w:tcBorders>
            <w:shd w:val="clear" w:color="auto" w:fill="auto"/>
            <w:noWrap/>
            <w:vAlign w:val="bottom"/>
            <w:hideMark/>
          </w:tcPr>
          <w:p w14:paraId="3BDACAF2"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0ED8C732"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02D519CE"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CHL</w:t>
            </w:r>
          </w:p>
        </w:tc>
        <w:tc>
          <w:tcPr>
            <w:tcW w:w="2087" w:type="pct"/>
            <w:tcBorders>
              <w:top w:val="nil"/>
              <w:left w:val="nil"/>
              <w:bottom w:val="single" w:sz="4" w:space="0" w:color="auto"/>
              <w:right w:val="single" w:sz="4" w:space="0" w:color="auto"/>
            </w:tcBorders>
            <w:shd w:val="clear" w:color="auto" w:fill="auto"/>
            <w:noWrap/>
            <w:vAlign w:val="bottom"/>
            <w:hideMark/>
          </w:tcPr>
          <w:p w14:paraId="444BAE81"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Chile</w:t>
            </w:r>
          </w:p>
        </w:tc>
        <w:tc>
          <w:tcPr>
            <w:tcW w:w="2239" w:type="pct"/>
            <w:tcBorders>
              <w:top w:val="nil"/>
              <w:left w:val="nil"/>
              <w:bottom w:val="single" w:sz="4" w:space="0" w:color="auto"/>
              <w:right w:val="single" w:sz="4" w:space="0" w:color="auto"/>
            </w:tcBorders>
            <w:shd w:val="clear" w:color="auto" w:fill="auto"/>
            <w:noWrap/>
            <w:vAlign w:val="bottom"/>
            <w:hideMark/>
          </w:tcPr>
          <w:p w14:paraId="26726D53"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Southern and Tropical Latin America</w:t>
            </w:r>
          </w:p>
        </w:tc>
      </w:tr>
      <w:tr w:rsidR="00DE0C2C" w:rsidRPr="00876478" w14:paraId="1661B42C"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2D5E8BED"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COL</w:t>
            </w:r>
          </w:p>
        </w:tc>
        <w:tc>
          <w:tcPr>
            <w:tcW w:w="2087" w:type="pct"/>
            <w:tcBorders>
              <w:top w:val="nil"/>
              <w:left w:val="nil"/>
              <w:bottom w:val="single" w:sz="4" w:space="0" w:color="auto"/>
              <w:right w:val="single" w:sz="4" w:space="0" w:color="auto"/>
            </w:tcBorders>
            <w:shd w:val="clear" w:color="auto" w:fill="auto"/>
            <w:noWrap/>
            <w:vAlign w:val="bottom"/>
            <w:hideMark/>
          </w:tcPr>
          <w:p w14:paraId="1F2AD6DF"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Colombia</w:t>
            </w:r>
          </w:p>
        </w:tc>
        <w:tc>
          <w:tcPr>
            <w:tcW w:w="2239" w:type="pct"/>
            <w:tcBorders>
              <w:top w:val="nil"/>
              <w:left w:val="nil"/>
              <w:bottom w:val="single" w:sz="4" w:space="0" w:color="auto"/>
              <w:right w:val="single" w:sz="4" w:space="0" w:color="auto"/>
            </w:tcBorders>
            <w:shd w:val="clear" w:color="auto" w:fill="auto"/>
            <w:noWrap/>
            <w:vAlign w:val="bottom"/>
            <w:hideMark/>
          </w:tcPr>
          <w:p w14:paraId="4981DF56"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Central Latin America</w:t>
            </w:r>
          </w:p>
        </w:tc>
      </w:tr>
      <w:tr w:rsidR="00DE0C2C" w:rsidRPr="00876478" w14:paraId="21A4CF2D"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3D49ABDD"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CRI</w:t>
            </w:r>
          </w:p>
        </w:tc>
        <w:tc>
          <w:tcPr>
            <w:tcW w:w="2087" w:type="pct"/>
            <w:tcBorders>
              <w:top w:val="nil"/>
              <w:left w:val="nil"/>
              <w:bottom w:val="single" w:sz="4" w:space="0" w:color="auto"/>
              <w:right w:val="single" w:sz="4" w:space="0" w:color="auto"/>
            </w:tcBorders>
            <w:shd w:val="clear" w:color="auto" w:fill="auto"/>
            <w:noWrap/>
            <w:vAlign w:val="bottom"/>
            <w:hideMark/>
          </w:tcPr>
          <w:p w14:paraId="4E5319BF"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Costa Rica</w:t>
            </w:r>
          </w:p>
        </w:tc>
        <w:tc>
          <w:tcPr>
            <w:tcW w:w="2239" w:type="pct"/>
            <w:tcBorders>
              <w:top w:val="nil"/>
              <w:left w:val="nil"/>
              <w:bottom w:val="single" w:sz="4" w:space="0" w:color="auto"/>
              <w:right w:val="single" w:sz="4" w:space="0" w:color="auto"/>
            </w:tcBorders>
            <w:shd w:val="clear" w:color="auto" w:fill="auto"/>
            <w:noWrap/>
            <w:vAlign w:val="bottom"/>
            <w:hideMark/>
          </w:tcPr>
          <w:p w14:paraId="650F93C5"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Central Latin America</w:t>
            </w:r>
          </w:p>
        </w:tc>
      </w:tr>
      <w:tr w:rsidR="00DE0C2C" w:rsidRPr="00876478" w14:paraId="2C308FC7"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4AACA652"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CUB</w:t>
            </w:r>
          </w:p>
        </w:tc>
        <w:tc>
          <w:tcPr>
            <w:tcW w:w="2087" w:type="pct"/>
            <w:tcBorders>
              <w:top w:val="nil"/>
              <w:left w:val="nil"/>
              <w:bottom w:val="single" w:sz="4" w:space="0" w:color="auto"/>
              <w:right w:val="single" w:sz="4" w:space="0" w:color="auto"/>
            </w:tcBorders>
            <w:shd w:val="clear" w:color="auto" w:fill="auto"/>
            <w:noWrap/>
            <w:vAlign w:val="bottom"/>
            <w:hideMark/>
          </w:tcPr>
          <w:p w14:paraId="5C7581BC"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Cuba</w:t>
            </w:r>
          </w:p>
        </w:tc>
        <w:tc>
          <w:tcPr>
            <w:tcW w:w="2239" w:type="pct"/>
            <w:tcBorders>
              <w:top w:val="nil"/>
              <w:left w:val="nil"/>
              <w:bottom w:val="single" w:sz="4" w:space="0" w:color="auto"/>
              <w:right w:val="single" w:sz="4" w:space="0" w:color="auto"/>
            </w:tcBorders>
            <w:shd w:val="clear" w:color="auto" w:fill="auto"/>
            <w:noWrap/>
            <w:vAlign w:val="bottom"/>
            <w:hideMark/>
          </w:tcPr>
          <w:p w14:paraId="22FF035B"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52B0522D"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5E089757"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DMA</w:t>
            </w:r>
          </w:p>
        </w:tc>
        <w:tc>
          <w:tcPr>
            <w:tcW w:w="2087" w:type="pct"/>
            <w:tcBorders>
              <w:top w:val="nil"/>
              <w:left w:val="nil"/>
              <w:bottom w:val="single" w:sz="4" w:space="0" w:color="auto"/>
              <w:right w:val="single" w:sz="4" w:space="0" w:color="auto"/>
            </w:tcBorders>
            <w:shd w:val="clear" w:color="auto" w:fill="auto"/>
            <w:noWrap/>
            <w:vAlign w:val="bottom"/>
            <w:hideMark/>
          </w:tcPr>
          <w:p w14:paraId="0AA2BA7A"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Dominica</w:t>
            </w:r>
          </w:p>
        </w:tc>
        <w:tc>
          <w:tcPr>
            <w:tcW w:w="2239" w:type="pct"/>
            <w:tcBorders>
              <w:top w:val="nil"/>
              <w:left w:val="nil"/>
              <w:bottom w:val="single" w:sz="4" w:space="0" w:color="auto"/>
              <w:right w:val="single" w:sz="4" w:space="0" w:color="auto"/>
            </w:tcBorders>
            <w:shd w:val="clear" w:color="auto" w:fill="auto"/>
            <w:noWrap/>
            <w:vAlign w:val="bottom"/>
            <w:hideMark/>
          </w:tcPr>
          <w:p w14:paraId="1FD893F1"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3E627931"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514D6914"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DOM</w:t>
            </w:r>
          </w:p>
        </w:tc>
        <w:tc>
          <w:tcPr>
            <w:tcW w:w="2087" w:type="pct"/>
            <w:tcBorders>
              <w:top w:val="nil"/>
              <w:left w:val="nil"/>
              <w:bottom w:val="single" w:sz="4" w:space="0" w:color="auto"/>
              <w:right w:val="single" w:sz="4" w:space="0" w:color="auto"/>
            </w:tcBorders>
            <w:shd w:val="clear" w:color="auto" w:fill="auto"/>
            <w:noWrap/>
            <w:vAlign w:val="bottom"/>
            <w:hideMark/>
          </w:tcPr>
          <w:p w14:paraId="21C51137"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Dominican Republic</w:t>
            </w:r>
          </w:p>
        </w:tc>
        <w:tc>
          <w:tcPr>
            <w:tcW w:w="2239" w:type="pct"/>
            <w:tcBorders>
              <w:top w:val="nil"/>
              <w:left w:val="nil"/>
              <w:bottom w:val="single" w:sz="4" w:space="0" w:color="auto"/>
              <w:right w:val="single" w:sz="4" w:space="0" w:color="auto"/>
            </w:tcBorders>
            <w:shd w:val="clear" w:color="auto" w:fill="auto"/>
            <w:noWrap/>
            <w:vAlign w:val="bottom"/>
            <w:hideMark/>
          </w:tcPr>
          <w:p w14:paraId="20322281"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28383045"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62D02DD5"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ECU</w:t>
            </w:r>
          </w:p>
        </w:tc>
        <w:tc>
          <w:tcPr>
            <w:tcW w:w="2087" w:type="pct"/>
            <w:tcBorders>
              <w:top w:val="nil"/>
              <w:left w:val="nil"/>
              <w:bottom w:val="single" w:sz="4" w:space="0" w:color="auto"/>
              <w:right w:val="single" w:sz="4" w:space="0" w:color="auto"/>
            </w:tcBorders>
            <w:shd w:val="clear" w:color="auto" w:fill="auto"/>
            <w:noWrap/>
            <w:vAlign w:val="bottom"/>
            <w:hideMark/>
          </w:tcPr>
          <w:p w14:paraId="677B26D5"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Ecuador</w:t>
            </w:r>
          </w:p>
        </w:tc>
        <w:tc>
          <w:tcPr>
            <w:tcW w:w="2239" w:type="pct"/>
            <w:tcBorders>
              <w:top w:val="nil"/>
              <w:left w:val="nil"/>
              <w:bottom w:val="single" w:sz="4" w:space="0" w:color="auto"/>
              <w:right w:val="single" w:sz="4" w:space="0" w:color="auto"/>
            </w:tcBorders>
            <w:shd w:val="clear" w:color="auto" w:fill="auto"/>
            <w:noWrap/>
            <w:vAlign w:val="bottom"/>
            <w:hideMark/>
          </w:tcPr>
          <w:p w14:paraId="7A8DAD24"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Andean Latin America</w:t>
            </w:r>
          </w:p>
        </w:tc>
      </w:tr>
      <w:tr w:rsidR="00DE0C2C" w:rsidRPr="00876478" w14:paraId="6CD0CD79"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0EA09A04"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GRD</w:t>
            </w:r>
          </w:p>
        </w:tc>
        <w:tc>
          <w:tcPr>
            <w:tcW w:w="2087" w:type="pct"/>
            <w:tcBorders>
              <w:top w:val="nil"/>
              <w:left w:val="nil"/>
              <w:bottom w:val="single" w:sz="4" w:space="0" w:color="auto"/>
              <w:right w:val="single" w:sz="4" w:space="0" w:color="auto"/>
            </w:tcBorders>
            <w:shd w:val="clear" w:color="auto" w:fill="auto"/>
            <w:noWrap/>
            <w:vAlign w:val="bottom"/>
            <w:hideMark/>
          </w:tcPr>
          <w:p w14:paraId="424141DA"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Grenada</w:t>
            </w:r>
          </w:p>
        </w:tc>
        <w:tc>
          <w:tcPr>
            <w:tcW w:w="2239" w:type="pct"/>
            <w:tcBorders>
              <w:top w:val="nil"/>
              <w:left w:val="nil"/>
              <w:bottom w:val="single" w:sz="4" w:space="0" w:color="auto"/>
              <w:right w:val="single" w:sz="4" w:space="0" w:color="auto"/>
            </w:tcBorders>
            <w:shd w:val="clear" w:color="auto" w:fill="auto"/>
            <w:noWrap/>
            <w:vAlign w:val="bottom"/>
            <w:hideMark/>
          </w:tcPr>
          <w:p w14:paraId="5C881D16"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2F693D67"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21679E29"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GTM</w:t>
            </w:r>
          </w:p>
        </w:tc>
        <w:tc>
          <w:tcPr>
            <w:tcW w:w="2087" w:type="pct"/>
            <w:tcBorders>
              <w:top w:val="nil"/>
              <w:left w:val="nil"/>
              <w:bottom w:val="single" w:sz="4" w:space="0" w:color="auto"/>
              <w:right w:val="single" w:sz="4" w:space="0" w:color="auto"/>
            </w:tcBorders>
            <w:shd w:val="clear" w:color="auto" w:fill="auto"/>
            <w:noWrap/>
            <w:vAlign w:val="bottom"/>
            <w:hideMark/>
          </w:tcPr>
          <w:p w14:paraId="1F2B4078"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Guatemala</w:t>
            </w:r>
          </w:p>
        </w:tc>
        <w:tc>
          <w:tcPr>
            <w:tcW w:w="2239" w:type="pct"/>
            <w:tcBorders>
              <w:top w:val="nil"/>
              <w:left w:val="nil"/>
              <w:bottom w:val="single" w:sz="4" w:space="0" w:color="auto"/>
              <w:right w:val="single" w:sz="4" w:space="0" w:color="auto"/>
            </w:tcBorders>
            <w:shd w:val="clear" w:color="auto" w:fill="auto"/>
            <w:noWrap/>
            <w:vAlign w:val="bottom"/>
            <w:hideMark/>
          </w:tcPr>
          <w:p w14:paraId="59551090"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Central Latin America</w:t>
            </w:r>
          </w:p>
        </w:tc>
      </w:tr>
      <w:tr w:rsidR="00DE0C2C" w:rsidRPr="00876478" w14:paraId="6B5C33B7"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73657121"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GUY</w:t>
            </w:r>
          </w:p>
        </w:tc>
        <w:tc>
          <w:tcPr>
            <w:tcW w:w="2087" w:type="pct"/>
            <w:tcBorders>
              <w:top w:val="nil"/>
              <w:left w:val="nil"/>
              <w:bottom w:val="single" w:sz="4" w:space="0" w:color="auto"/>
              <w:right w:val="single" w:sz="4" w:space="0" w:color="auto"/>
            </w:tcBorders>
            <w:shd w:val="clear" w:color="auto" w:fill="auto"/>
            <w:noWrap/>
            <w:vAlign w:val="bottom"/>
            <w:hideMark/>
          </w:tcPr>
          <w:p w14:paraId="15B20197"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Guyana</w:t>
            </w:r>
          </w:p>
        </w:tc>
        <w:tc>
          <w:tcPr>
            <w:tcW w:w="2239" w:type="pct"/>
            <w:tcBorders>
              <w:top w:val="nil"/>
              <w:left w:val="nil"/>
              <w:bottom w:val="single" w:sz="4" w:space="0" w:color="auto"/>
              <w:right w:val="single" w:sz="4" w:space="0" w:color="auto"/>
            </w:tcBorders>
            <w:shd w:val="clear" w:color="auto" w:fill="auto"/>
            <w:noWrap/>
            <w:vAlign w:val="bottom"/>
            <w:hideMark/>
          </w:tcPr>
          <w:p w14:paraId="68F3C868"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234675C6"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4B38EFF0"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HND</w:t>
            </w:r>
          </w:p>
        </w:tc>
        <w:tc>
          <w:tcPr>
            <w:tcW w:w="2087" w:type="pct"/>
            <w:tcBorders>
              <w:top w:val="nil"/>
              <w:left w:val="nil"/>
              <w:bottom w:val="single" w:sz="4" w:space="0" w:color="auto"/>
              <w:right w:val="single" w:sz="4" w:space="0" w:color="auto"/>
            </w:tcBorders>
            <w:shd w:val="clear" w:color="auto" w:fill="auto"/>
            <w:noWrap/>
            <w:vAlign w:val="bottom"/>
            <w:hideMark/>
          </w:tcPr>
          <w:p w14:paraId="625998C9"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Honduras</w:t>
            </w:r>
          </w:p>
        </w:tc>
        <w:tc>
          <w:tcPr>
            <w:tcW w:w="2239" w:type="pct"/>
            <w:tcBorders>
              <w:top w:val="nil"/>
              <w:left w:val="nil"/>
              <w:bottom w:val="single" w:sz="4" w:space="0" w:color="auto"/>
              <w:right w:val="single" w:sz="4" w:space="0" w:color="auto"/>
            </w:tcBorders>
            <w:shd w:val="clear" w:color="auto" w:fill="auto"/>
            <w:noWrap/>
            <w:vAlign w:val="bottom"/>
            <w:hideMark/>
          </w:tcPr>
          <w:p w14:paraId="2247459E"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Central Latin America</w:t>
            </w:r>
          </w:p>
        </w:tc>
      </w:tr>
      <w:tr w:rsidR="00DE0C2C" w:rsidRPr="00876478" w14:paraId="495425C3"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6120E952"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HTI</w:t>
            </w:r>
          </w:p>
        </w:tc>
        <w:tc>
          <w:tcPr>
            <w:tcW w:w="2087" w:type="pct"/>
            <w:tcBorders>
              <w:top w:val="nil"/>
              <w:left w:val="nil"/>
              <w:bottom w:val="single" w:sz="4" w:space="0" w:color="auto"/>
              <w:right w:val="single" w:sz="4" w:space="0" w:color="auto"/>
            </w:tcBorders>
            <w:shd w:val="clear" w:color="auto" w:fill="auto"/>
            <w:noWrap/>
            <w:vAlign w:val="bottom"/>
            <w:hideMark/>
          </w:tcPr>
          <w:p w14:paraId="46A3D810"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Haiti</w:t>
            </w:r>
          </w:p>
        </w:tc>
        <w:tc>
          <w:tcPr>
            <w:tcW w:w="2239" w:type="pct"/>
            <w:tcBorders>
              <w:top w:val="nil"/>
              <w:left w:val="nil"/>
              <w:bottom w:val="single" w:sz="4" w:space="0" w:color="auto"/>
              <w:right w:val="single" w:sz="4" w:space="0" w:color="auto"/>
            </w:tcBorders>
            <w:shd w:val="clear" w:color="auto" w:fill="auto"/>
            <w:noWrap/>
            <w:vAlign w:val="bottom"/>
            <w:hideMark/>
          </w:tcPr>
          <w:p w14:paraId="16A4BF86"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372C0FCA"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3C397884"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JAM</w:t>
            </w:r>
          </w:p>
        </w:tc>
        <w:tc>
          <w:tcPr>
            <w:tcW w:w="2087" w:type="pct"/>
            <w:tcBorders>
              <w:top w:val="nil"/>
              <w:left w:val="nil"/>
              <w:bottom w:val="single" w:sz="4" w:space="0" w:color="auto"/>
              <w:right w:val="single" w:sz="4" w:space="0" w:color="auto"/>
            </w:tcBorders>
            <w:shd w:val="clear" w:color="auto" w:fill="auto"/>
            <w:noWrap/>
            <w:vAlign w:val="bottom"/>
            <w:hideMark/>
          </w:tcPr>
          <w:p w14:paraId="03D12F28"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Jamaica</w:t>
            </w:r>
          </w:p>
        </w:tc>
        <w:tc>
          <w:tcPr>
            <w:tcW w:w="2239" w:type="pct"/>
            <w:tcBorders>
              <w:top w:val="nil"/>
              <w:left w:val="nil"/>
              <w:bottom w:val="single" w:sz="4" w:space="0" w:color="auto"/>
              <w:right w:val="single" w:sz="4" w:space="0" w:color="auto"/>
            </w:tcBorders>
            <w:shd w:val="clear" w:color="auto" w:fill="auto"/>
            <w:noWrap/>
            <w:vAlign w:val="bottom"/>
            <w:hideMark/>
          </w:tcPr>
          <w:p w14:paraId="0B0AC4C9"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0F2B0724"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306677C6"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KNA</w:t>
            </w:r>
          </w:p>
        </w:tc>
        <w:tc>
          <w:tcPr>
            <w:tcW w:w="2087" w:type="pct"/>
            <w:tcBorders>
              <w:top w:val="nil"/>
              <w:left w:val="nil"/>
              <w:bottom w:val="single" w:sz="4" w:space="0" w:color="auto"/>
              <w:right w:val="single" w:sz="4" w:space="0" w:color="auto"/>
            </w:tcBorders>
            <w:shd w:val="clear" w:color="auto" w:fill="auto"/>
            <w:noWrap/>
            <w:vAlign w:val="bottom"/>
            <w:hideMark/>
          </w:tcPr>
          <w:p w14:paraId="660DB407"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Saint Kitts and Nevis</w:t>
            </w:r>
          </w:p>
        </w:tc>
        <w:tc>
          <w:tcPr>
            <w:tcW w:w="2239" w:type="pct"/>
            <w:tcBorders>
              <w:top w:val="nil"/>
              <w:left w:val="nil"/>
              <w:bottom w:val="single" w:sz="4" w:space="0" w:color="auto"/>
              <w:right w:val="single" w:sz="4" w:space="0" w:color="auto"/>
            </w:tcBorders>
            <w:shd w:val="clear" w:color="auto" w:fill="auto"/>
            <w:noWrap/>
            <w:vAlign w:val="bottom"/>
            <w:hideMark/>
          </w:tcPr>
          <w:p w14:paraId="36C06D39"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365C5CB9"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00BDA4FB"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LCA</w:t>
            </w:r>
          </w:p>
        </w:tc>
        <w:tc>
          <w:tcPr>
            <w:tcW w:w="2087" w:type="pct"/>
            <w:tcBorders>
              <w:top w:val="nil"/>
              <w:left w:val="nil"/>
              <w:bottom w:val="single" w:sz="4" w:space="0" w:color="auto"/>
              <w:right w:val="single" w:sz="4" w:space="0" w:color="auto"/>
            </w:tcBorders>
            <w:shd w:val="clear" w:color="auto" w:fill="auto"/>
            <w:noWrap/>
            <w:vAlign w:val="bottom"/>
            <w:hideMark/>
          </w:tcPr>
          <w:p w14:paraId="066EEDCE"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Saint Lucia</w:t>
            </w:r>
          </w:p>
        </w:tc>
        <w:tc>
          <w:tcPr>
            <w:tcW w:w="2239" w:type="pct"/>
            <w:tcBorders>
              <w:top w:val="nil"/>
              <w:left w:val="nil"/>
              <w:bottom w:val="single" w:sz="4" w:space="0" w:color="auto"/>
              <w:right w:val="single" w:sz="4" w:space="0" w:color="auto"/>
            </w:tcBorders>
            <w:shd w:val="clear" w:color="auto" w:fill="auto"/>
            <w:noWrap/>
            <w:vAlign w:val="bottom"/>
            <w:hideMark/>
          </w:tcPr>
          <w:p w14:paraId="68A5A94A"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58302E56"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105E01D2"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MEX</w:t>
            </w:r>
          </w:p>
        </w:tc>
        <w:tc>
          <w:tcPr>
            <w:tcW w:w="2087" w:type="pct"/>
            <w:tcBorders>
              <w:top w:val="nil"/>
              <w:left w:val="nil"/>
              <w:bottom w:val="single" w:sz="4" w:space="0" w:color="auto"/>
              <w:right w:val="single" w:sz="4" w:space="0" w:color="auto"/>
            </w:tcBorders>
            <w:shd w:val="clear" w:color="auto" w:fill="auto"/>
            <w:noWrap/>
            <w:vAlign w:val="bottom"/>
            <w:hideMark/>
          </w:tcPr>
          <w:p w14:paraId="01789C40"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Mexico</w:t>
            </w:r>
          </w:p>
        </w:tc>
        <w:tc>
          <w:tcPr>
            <w:tcW w:w="2239" w:type="pct"/>
            <w:tcBorders>
              <w:top w:val="nil"/>
              <w:left w:val="nil"/>
              <w:bottom w:val="single" w:sz="4" w:space="0" w:color="auto"/>
              <w:right w:val="single" w:sz="4" w:space="0" w:color="auto"/>
            </w:tcBorders>
            <w:shd w:val="clear" w:color="auto" w:fill="auto"/>
            <w:noWrap/>
            <w:vAlign w:val="bottom"/>
            <w:hideMark/>
          </w:tcPr>
          <w:p w14:paraId="0B0EF741"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Central Latin America</w:t>
            </w:r>
          </w:p>
        </w:tc>
      </w:tr>
      <w:tr w:rsidR="00DE0C2C" w:rsidRPr="00876478" w14:paraId="01BDADBA"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4B6E87A6"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NIC</w:t>
            </w:r>
          </w:p>
        </w:tc>
        <w:tc>
          <w:tcPr>
            <w:tcW w:w="2087" w:type="pct"/>
            <w:tcBorders>
              <w:top w:val="nil"/>
              <w:left w:val="nil"/>
              <w:bottom w:val="single" w:sz="4" w:space="0" w:color="auto"/>
              <w:right w:val="single" w:sz="4" w:space="0" w:color="auto"/>
            </w:tcBorders>
            <w:shd w:val="clear" w:color="auto" w:fill="auto"/>
            <w:noWrap/>
            <w:vAlign w:val="bottom"/>
            <w:hideMark/>
          </w:tcPr>
          <w:p w14:paraId="6A56CAC3"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Nicaragua</w:t>
            </w:r>
          </w:p>
        </w:tc>
        <w:tc>
          <w:tcPr>
            <w:tcW w:w="2239" w:type="pct"/>
            <w:tcBorders>
              <w:top w:val="nil"/>
              <w:left w:val="nil"/>
              <w:bottom w:val="single" w:sz="4" w:space="0" w:color="auto"/>
              <w:right w:val="single" w:sz="4" w:space="0" w:color="auto"/>
            </w:tcBorders>
            <w:shd w:val="clear" w:color="auto" w:fill="auto"/>
            <w:noWrap/>
            <w:vAlign w:val="bottom"/>
            <w:hideMark/>
          </w:tcPr>
          <w:p w14:paraId="1EAD846B"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Central Latin America</w:t>
            </w:r>
          </w:p>
        </w:tc>
      </w:tr>
      <w:tr w:rsidR="00DE0C2C" w:rsidRPr="00876478" w14:paraId="093A1CBE"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64BE7C87"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PAN</w:t>
            </w:r>
          </w:p>
        </w:tc>
        <w:tc>
          <w:tcPr>
            <w:tcW w:w="2087" w:type="pct"/>
            <w:tcBorders>
              <w:top w:val="nil"/>
              <w:left w:val="nil"/>
              <w:bottom w:val="single" w:sz="4" w:space="0" w:color="auto"/>
              <w:right w:val="single" w:sz="4" w:space="0" w:color="auto"/>
            </w:tcBorders>
            <w:shd w:val="clear" w:color="auto" w:fill="auto"/>
            <w:noWrap/>
            <w:vAlign w:val="bottom"/>
            <w:hideMark/>
          </w:tcPr>
          <w:p w14:paraId="7ABC3D94"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Panama</w:t>
            </w:r>
          </w:p>
        </w:tc>
        <w:tc>
          <w:tcPr>
            <w:tcW w:w="2239" w:type="pct"/>
            <w:tcBorders>
              <w:top w:val="nil"/>
              <w:left w:val="nil"/>
              <w:bottom w:val="single" w:sz="4" w:space="0" w:color="auto"/>
              <w:right w:val="single" w:sz="4" w:space="0" w:color="auto"/>
            </w:tcBorders>
            <w:shd w:val="clear" w:color="auto" w:fill="auto"/>
            <w:noWrap/>
            <w:vAlign w:val="bottom"/>
            <w:hideMark/>
          </w:tcPr>
          <w:p w14:paraId="2293553F"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Central Latin America</w:t>
            </w:r>
          </w:p>
        </w:tc>
      </w:tr>
      <w:tr w:rsidR="00DE0C2C" w:rsidRPr="00876478" w14:paraId="270195C1"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156D6A1C"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PER</w:t>
            </w:r>
          </w:p>
        </w:tc>
        <w:tc>
          <w:tcPr>
            <w:tcW w:w="2087" w:type="pct"/>
            <w:tcBorders>
              <w:top w:val="nil"/>
              <w:left w:val="nil"/>
              <w:bottom w:val="single" w:sz="4" w:space="0" w:color="auto"/>
              <w:right w:val="single" w:sz="4" w:space="0" w:color="auto"/>
            </w:tcBorders>
            <w:shd w:val="clear" w:color="auto" w:fill="auto"/>
            <w:noWrap/>
            <w:vAlign w:val="bottom"/>
            <w:hideMark/>
          </w:tcPr>
          <w:p w14:paraId="218C79C8"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Peru</w:t>
            </w:r>
          </w:p>
        </w:tc>
        <w:tc>
          <w:tcPr>
            <w:tcW w:w="2239" w:type="pct"/>
            <w:tcBorders>
              <w:top w:val="nil"/>
              <w:left w:val="nil"/>
              <w:bottom w:val="single" w:sz="4" w:space="0" w:color="auto"/>
              <w:right w:val="single" w:sz="4" w:space="0" w:color="auto"/>
            </w:tcBorders>
            <w:shd w:val="clear" w:color="auto" w:fill="auto"/>
            <w:noWrap/>
            <w:vAlign w:val="bottom"/>
            <w:hideMark/>
          </w:tcPr>
          <w:p w14:paraId="2528BDAE"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Andean Latin America</w:t>
            </w:r>
          </w:p>
        </w:tc>
      </w:tr>
      <w:tr w:rsidR="00DE0C2C" w:rsidRPr="00876478" w14:paraId="019BC3D8"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02DAC2EA"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PRI</w:t>
            </w:r>
          </w:p>
        </w:tc>
        <w:tc>
          <w:tcPr>
            <w:tcW w:w="2087" w:type="pct"/>
            <w:tcBorders>
              <w:top w:val="nil"/>
              <w:left w:val="nil"/>
              <w:bottom w:val="single" w:sz="4" w:space="0" w:color="auto"/>
              <w:right w:val="single" w:sz="4" w:space="0" w:color="auto"/>
            </w:tcBorders>
            <w:shd w:val="clear" w:color="auto" w:fill="auto"/>
            <w:noWrap/>
            <w:vAlign w:val="bottom"/>
            <w:hideMark/>
          </w:tcPr>
          <w:p w14:paraId="1D744E85"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Puerto Rico</w:t>
            </w:r>
          </w:p>
        </w:tc>
        <w:tc>
          <w:tcPr>
            <w:tcW w:w="2239" w:type="pct"/>
            <w:tcBorders>
              <w:top w:val="nil"/>
              <w:left w:val="nil"/>
              <w:bottom w:val="single" w:sz="4" w:space="0" w:color="auto"/>
              <w:right w:val="single" w:sz="4" w:space="0" w:color="auto"/>
            </w:tcBorders>
            <w:shd w:val="clear" w:color="auto" w:fill="auto"/>
            <w:noWrap/>
            <w:vAlign w:val="bottom"/>
            <w:hideMark/>
          </w:tcPr>
          <w:p w14:paraId="11F5110C"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1D5095E8"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4FB4D7B6"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PRY</w:t>
            </w:r>
          </w:p>
        </w:tc>
        <w:tc>
          <w:tcPr>
            <w:tcW w:w="2087" w:type="pct"/>
            <w:tcBorders>
              <w:top w:val="nil"/>
              <w:left w:val="nil"/>
              <w:bottom w:val="single" w:sz="4" w:space="0" w:color="auto"/>
              <w:right w:val="single" w:sz="4" w:space="0" w:color="auto"/>
            </w:tcBorders>
            <w:shd w:val="clear" w:color="auto" w:fill="auto"/>
            <w:noWrap/>
            <w:vAlign w:val="bottom"/>
            <w:hideMark/>
          </w:tcPr>
          <w:p w14:paraId="67C43B54"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Paraguay</w:t>
            </w:r>
          </w:p>
        </w:tc>
        <w:tc>
          <w:tcPr>
            <w:tcW w:w="2239" w:type="pct"/>
            <w:tcBorders>
              <w:top w:val="nil"/>
              <w:left w:val="nil"/>
              <w:bottom w:val="single" w:sz="4" w:space="0" w:color="auto"/>
              <w:right w:val="single" w:sz="4" w:space="0" w:color="auto"/>
            </w:tcBorders>
            <w:shd w:val="clear" w:color="auto" w:fill="auto"/>
            <w:noWrap/>
            <w:vAlign w:val="bottom"/>
            <w:hideMark/>
          </w:tcPr>
          <w:p w14:paraId="6E25057E"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Southern and Tropical Latin America</w:t>
            </w:r>
          </w:p>
        </w:tc>
      </w:tr>
      <w:tr w:rsidR="00DE0C2C" w:rsidRPr="00876478" w14:paraId="4AFEE7D5"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3793A4BF"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SLV</w:t>
            </w:r>
          </w:p>
        </w:tc>
        <w:tc>
          <w:tcPr>
            <w:tcW w:w="2087" w:type="pct"/>
            <w:tcBorders>
              <w:top w:val="nil"/>
              <w:left w:val="nil"/>
              <w:bottom w:val="single" w:sz="4" w:space="0" w:color="auto"/>
              <w:right w:val="single" w:sz="4" w:space="0" w:color="auto"/>
            </w:tcBorders>
            <w:shd w:val="clear" w:color="auto" w:fill="auto"/>
            <w:noWrap/>
            <w:vAlign w:val="bottom"/>
            <w:hideMark/>
          </w:tcPr>
          <w:p w14:paraId="36240775"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El Salvador</w:t>
            </w:r>
          </w:p>
        </w:tc>
        <w:tc>
          <w:tcPr>
            <w:tcW w:w="2239" w:type="pct"/>
            <w:tcBorders>
              <w:top w:val="nil"/>
              <w:left w:val="nil"/>
              <w:bottom w:val="single" w:sz="4" w:space="0" w:color="auto"/>
              <w:right w:val="single" w:sz="4" w:space="0" w:color="auto"/>
            </w:tcBorders>
            <w:shd w:val="clear" w:color="auto" w:fill="auto"/>
            <w:noWrap/>
            <w:vAlign w:val="bottom"/>
            <w:hideMark/>
          </w:tcPr>
          <w:p w14:paraId="1F3EE5B4"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Central Latin America</w:t>
            </w:r>
          </w:p>
        </w:tc>
      </w:tr>
      <w:tr w:rsidR="00DE0C2C" w:rsidRPr="00876478" w14:paraId="51FBA704"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3010AE1F"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SUR</w:t>
            </w:r>
          </w:p>
        </w:tc>
        <w:tc>
          <w:tcPr>
            <w:tcW w:w="2087" w:type="pct"/>
            <w:tcBorders>
              <w:top w:val="nil"/>
              <w:left w:val="nil"/>
              <w:bottom w:val="single" w:sz="4" w:space="0" w:color="auto"/>
              <w:right w:val="single" w:sz="4" w:space="0" w:color="auto"/>
            </w:tcBorders>
            <w:shd w:val="clear" w:color="auto" w:fill="auto"/>
            <w:noWrap/>
            <w:vAlign w:val="bottom"/>
            <w:hideMark/>
          </w:tcPr>
          <w:p w14:paraId="0AF4A9A4"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Suriname</w:t>
            </w:r>
          </w:p>
        </w:tc>
        <w:tc>
          <w:tcPr>
            <w:tcW w:w="2239" w:type="pct"/>
            <w:tcBorders>
              <w:top w:val="nil"/>
              <w:left w:val="nil"/>
              <w:bottom w:val="single" w:sz="4" w:space="0" w:color="auto"/>
              <w:right w:val="single" w:sz="4" w:space="0" w:color="auto"/>
            </w:tcBorders>
            <w:shd w:val="clear" w:color="auto" w:fill="auto"/>
            <w:noWrap/>
            <w:vAlign w:val="bottom"/>
            <w:hideMark/>
          </w:tcPr>
          <w:p w14:paraId="671CABE7"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4FF90027"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3E432616"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TTO</w:t>
            </w:r>
          </w:p>
        </w:tc>
        <w:tc>
          <w:tcPr>
            <w:tcW w:w="2087" w:type="pct"/>
            <w:tcBorders>
              <w:top w:val="nil"/>
              <w:left w:val="nil"/>
              <w:bottom w:val="single" w:sz="4" w:space="0" w:color="auto"/>
              <w:right w:val="single" w:sz="4" w:space="0" w:color="auto"/>
            </w:tcBorders>
            <w:shd w:val="clear" w:color="auto" w:fill="auto"/>
            <w:noWrap/>
            <w:vAlign w:val="bottom"/>
            <w:hideMark/>
          </w:tcPr>
          <w:p w14:paraId="3118E778"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Trinidad and Tobago</w:t>
            </w:r>
          </w:p>
        </w:tc>
        <w:tc>
          <w:tcPr>
            <w:tcW w:w="2239" w:type="pct"/>
            <w:tcBorders>
              <w:top w:val="nil"/>
              <w:left w:val="nil"/>
              <w:bottom w:val="single" w:sz="4" w:space="0" w:color="auto"/>
              <w:right w:val="single" w:sz="4" w:space="0" w:color="auto"/>
            </w:tcBorders>
            <w:shd w:val="clear" w:color="auto" w:fill="auto"/>
            <w:noWrap/>
            <w:vAlign w:val="bottom"/>
            <w:hideMark/>
          </w:tcPr>
          <w:p w14:paraId="2374B964"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52A90E8F"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1E87B54E"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URY</w:t>
            </w:r>
          </w:p>
        </w:tc>
        <w:tc>
          <w:tcPr>
            <w:tcW w:w="2087" w:type="pct"/>
            <w:tcBorders>
              <w:top w:val="nil"/>
              <w:left w:val="nil"/>
              <w:bottom w:val="single" w:sz="4" w:space="0" w:color="auto"/>
              <w:right w:val="single" w:sz="4" w:space="0" w:color="auto"/>
            </w:tcBorders>
            <w:shd w:val="clear" w:color="auto" w:fill="auto"/>
            <w:noWrap/>
            <w:vAlign w:val="bottom"/>
            <w:hideMark/>
          </w:tcPr>
          <w:p w14:paraId="574342B5"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Uruguay</w:t>
            </w:r>
          </w:p>
        </w:tc>
        <w:tc>
          <w:tcPr>
            <w:tcW w:w="2239" w:type="pct"/>
            <w:tcBorders>
              <w:top w:val="nil"/>
              <w:left w:val="nil"/>
              <w:bottom w:val="single" w:sz="4" w:space="0" w:color="auto"/>
              <w:right w:val="single" w:sz="4" w:space="0" w:color="auto"/>
            </w:tcBorders>
            <w:shd w:val="clear" w:color="auto" w:fill="auto"/>
            <w:noWrap/>
            <w:vAlign w:val="bottom"/>
            <w:hideMark/>
          </w:tcPr>
          <w:p w14:paraId="4A62FDA2"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Southern and Tropical Latin America</w:t>
            </w:r>
          </w:p>
        </w:tc>
      </w:tr>
      <w:tr w:rsidR="00DE0C2C" w:rsidRPr="00876478" w14:paraId="74B21E2F"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3AA07491"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VCT</w:t>
            </w:r>
          </w:p>
        </w:tc>
        <w:tc>
          <w:tcPr>
            <w:tcW w:w="2087" w:type="pct"/>
            <w:tcBorders>
              <w:top w:val="nil"/>
              <w:left w:val="nil"/>
              <w:bottom w:val="single" w:sz="4" w:space="0" w:color="auto"/>
              <w:right w:val="single" w:sz="4" w:space="0" w:color="auto"/>
            </w:tcBorders>
            <w:shd w:val="clear" w:color="auto" w:fill="auto"/>
            <w:noWrap/>
            <w:vAlign w:val="bottom"/>
            <w:hideMark/>
          </w:tcPr>
          <w:p w14:paraId="38A4B8BE"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Saint Vincent and the Grenadines</w:t>
            </w:r>
          </w:p>
        </w:tc>
        <w:tc>
          <w:tcPr>
            <w:tcW w:w="2239" w:type="pct"/>
            <w:tcBorders>
              <w:top w:val="nil"/>
              <w:left w:val="nil"/>
              <w:bottom w:val="single" w:sz="4" w:space="0" w:color="auto"/>
              <w:right w:val="single" w:sz="4" w:space="0" w:color="auto"/>
            </w:tcBorders>
            <w:shd w:val="clear" w:color="auto" w:fill="auto"/>
            <w:noWrap/>
            <w:vAlign w:val="bottom"/>
            <w:hideMark/>
          </w:tcPr>
          <w:p w14:paraId="2250113D"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Caribbean</w:t>
            </w:r>
          </w:p>
        </w:tc>
      </w:tr>
      <w:tr w:rsidR="00DE0C2C" w:rsidRPr="00876478" w14:paraId="75EFD76F" w14:textId="77777777" w:rsidTr="00DE0C2C">
        <w:trPr>
          <w:trHeight w:val="300"/>
        </w:trPr>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703CE6C9"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VEN</w:t>
            </w:r>
          </w:p>
        </w:tc>
        <w:tc>
          <w:tcPr>
            <w:tcW w:w="2087" w:type="pct"/>
            <w:tcBorders>
              <w:top w:val="nil"/>
              <w:left w:val="nil"/>
              <w:bottom w:val="single" w:sz="4" w:space="0" w:color="auto"/>
              <w:right w:val="single" w:sz="4" w:space="0" w:color="auto"/>
            </w:tcBorders>
            <w:shd w:val="clear" w:color="auto" w:fill="auto"/>
            <w:noWrap/>
            <w:vAlign w:val="bottom"/>
            <w:hideMark/>
          </w:tcPr>
          <w:p w14:paraId="6B6E94A5"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Venezuela</w:t>
            </w:r>
          </w:p>
        </w:tc>
        <w:tc>
          <w:tcPr>
            <w:tcW w:w="2239" w:type="pct"/>
            <w:tcBorders>
              <w:top w:val="nil"/>
              <w:left w:val="nil"/>
              <w:bottom w:val="single" w:sz="4" w:space="0" w:color="auto"/>
              <w:right w:val="single" w:sz="4" w:space="0" w:color="auto"/>
            </w:tcBorders>
            <w:shd w:val="clear" w:color="auto" w:fill="auto"/>
            <w:noWrap/>
            <w:vAlign w:val="bottom"/>
            <w:hideMark/>
          </w:tcPr>
          <w:p w14:paraId="0C495FE0" w14:textId="77777777" w:rsidR="00DE0C2C" w:rsidRPr="00876478" w:rsidRDefault="00DE0C2C" w:rsidP="00DE0C2C">
            <w:pPr>
              <w:spacing w:after="0" w:line="240" w:lineRule="auto"/>
              <w:rPr>
                <w:rFonts w:ascii="Arial" w:eastAsia="Times New Roman" w:hAnsi="Arial" w:cs="Arial"/>
                <w:color w:val="000000"/>
                <w:sz w:val="20"/>
                <w:szCs w:val="20"/>
                <w:lang w:eastAsia="en-GB"/>
              </w:rPr>
            </w:pPr>
            <w:r w:rsidRPr="00876478">
              <w:rPr>
                <w:rFonts w:ascii="Arial" w:eastAsia="Times New Roman" w:hAnsi="Arial" w:cs="Arial"/>
                <w:color w:val="000000"/>
                <w:sz w:val="20"/>
                <w:szCs w:val="20"/>
                <w:lang w:eastAsia="en-GB"/>
              </w:rPr>
              <w:t>Central Latin America</w:t>
            </w:r>
          </w:p>
        </w:tc>
      </w:tr>
    </w:tbl>
    <w:p w14:paraId="33361F16" w14:textId="77777777" w:rsidR="00DE0C2C" w:rsidRPr="00876478" w:rsidRDefault="00DE0C2C" w:rsidP="00DE0C2C">
      <w:pPr>
        <w:pStyle w:val="NoSpacing"/>
        <w:rPr>
          <w:rFonts w:ascii="Arial" w:hAnsi="Arial" w:cs="Arial"/>
          <w:sz w:val="20"/>
          <w:szCs w:val="20"/>
        </w:rPr>
      </w:pPr>
    </w:p>
    <w:p w14:paraId="24FF44ED" w14:textId="624F9027" w:rsidR="00B15DD5" w:rsidRPr="00D34713" w:rsidRDefault="00DE0C2C" w:rsidP="00D34713">
      <w:pPr>
        <w:pStyle w:val="NoSpacing"/>
        <w:rPr>
          <w:rFonts w:eastAsiaTheme="majorEastAsia"/>
          <w:lang w:val="en-GB"/>
        </w:rPr>
      </w:pPr>
      <w:r w:rsidRPr="00876478">
        <w:rPr>
          <w:rFonts w:ascii="Arial" w:hAnsi="Arial" w:cs="Arial"/>
          <w:sz w:val="20"/>
          <w:szCs w:val="20"/>
          <w:lang w:val="en-GB"/>
        </w:rPr>
        <w:t xml:space="preserve">Classification based on NCD-RisC sub-regions: </w:t>
      </w:r>
      <w:hyperlink r:id="rId9" w:history="1">
        <w:r w:rsidRPr="00876478">
          <w:rPr>
            <w:rStyle w:val="Hyperlink"/>
            <w:rFonts w:ascii="Arial" w:hAnsi="Arial" w:cs="Arial"/>
            <w:sz w:val="20"/>
            <w:szCs w:val="20"/>
            <w:lang w:val="en-GB"/>
          </w:rPr>
          <w:t>http://ncdrisc.org/</w:t>
        </w:r>
      </w:hyperlink>
    </w:p>
    <w:p w14:paraId="29FA6A3C" w14:textId="6916262A" w:rsidR="00CF0F13" w:rsidRPr="00CF0F13" w:rsidRDefault="001B468D" w:rsidP="00D34713">
      <w:pPr>
        <w:pStyle w:val="NoSpacing"/>
      </w:pPr>
      <w:r w:rsidRPr="001B468D">
        <w:rPr>
          <w:rFonts w:cstheme="minorHAnsi"/>
        </w:rPr>
        <w:fldChar w:fldCharType="begin"/>
      </w:r>
      <w:r w:rsidRPr="001B468D">
        <w:rPr>
          <w:rFonts w:cstheme="minorHAnsi"/>
        </w:rPr>
        <w:instrText xml:space="preserve"> ADDIN EN.REFLIST </w:instrText>
      </w:r>
      <w:r w:rsidRPr="001B468D">
        <w:rPr>
          <w:rFonts w:cstheme="minorHAnsi"/>
        </w:rPr>
        <w:fldChar w:fldCharType="end"/>
      </w:r>
    </w:p>
    <w:sectPr w:rsidR="00CF0F13" w:rsidRPr="00CF0F13" w:rsidSect="00CF0F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C8FCE" w14:textId="77777777" w:rsidR="00BA651A" w:rsidRDefault="00BA651A" w:rsidP="000745F8">
      <w:pPr>
        <w:spacing w:after="0" w:line="240" w:lineRule="auto"/>
      </w:pPr>
      <w:r>
        <w:separator/>
      </w:r>
    </w:p>
  </w:endnote>
  <w:endnote w:type="continuationSeparator" w:id="0">
    <w:p w14:paraId="5296D61B" w14:textId="77777777" w:rsidR="00BA651A" w:rsidRDefault="00BA651A" w:rsidP="0007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618661"/>
      <w:docPartObj>
        <w:docPartGallery w:val="Page Numbers (Bottom of Page)"/>
        <w:docPartUnique/>
      </w:docPartObj>
    </w:sdtPr>
    <w:sdtEndPr>
      <w:rPr>
        <w:noProof/>
      </w:rPr>
    </w:sdtEndPr>
    <w:sdtContent>
      <w:p w14:paraId="2265B326" w14:textId="012A1A2C" w:rsidR="0054001C" w:rsidRDefault="005400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9682C3" w14:textId="77777777" w:rsidR="0054001C" w:rsidRDefault="0054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821C" w14:textId="77777777" w:rsidR="00BA651A" w:rsidRDefault="00BA651A" w:rsidP="000745F8">
      <w:pPr>
        <w:spacing w:after="0" w:line="240" w:lineRule="auto"/>
      </w:pPr>
      <w:r>
        <w:separator/>
      </w:r>
    </w:p>
  </w:footnote>
  <w:footnote w:type="continuationSeparator" w:id="0">
    <w:p w14:paraId="7B6A09D6" w14:textId="77777777" w:rsidR="00BA651A" w:rsidRDefault="00BA651A" w:rsidP="000745F8">
      <w:pPr>
        <w:spacing w:after="0" w:line="240" w:lineRule="auto"/>
      </w:pPr>
      <w:r>
        <w:continuationSeparator/>
      </w:r>
    </w:p>
  </w:footnote>
  <w:footnote w:id="1">
    <w:p w14:paraId="468B8793" w14:textId="08585281" w:rsidR="0054001C" w:rsidRPr="00483A39" w:rsidRDefault="0054001C">
      <w:pPr>
        <w:pStyle w:val="FootnoteText"/>
        <w:rPr>
          <w:rFonts w:ascii="Arial" w:hAnsi="Arial" w:cs="Arial"/>
        </w:rPr>
      </w:pPr>
      <w:r w:rsidRPr="00483A39">
        <w:rPr>
          <w:rStyle w:val="FootnoteReference"/>
          <w:rFonts w:ascii="Arial" w:hAnsi="Arial" w:cs="Arial"/>
          <w:sz w:val="18"/>
          <w:szCs w:val="18"/>
        </w:rPr>
        <w:footnoteRef/>
      </w:r>
      <w:r w:rsidRPr="00483A39">
        <w:rPr>
          <w:rFonts w:ascii="Arial" w:hAnsi="Arial" w:cs="Arial"/>
          <w:sz w:val="18"/>
          <w:szCs w:val="18"/>
        </w:rPr>
        <w:t xml:space="preserve"> Hoy D, Brooks P, Woolf A, et al. Assessing risk of bias in prevalence studies: modification of an existing tool and evidence of interrater agreement. Journal of clinical epidemiology 2012; 65(9): 934-9.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0C49"/>
    <w:multiLevelType w:val="hybridMultilevel"/>
    <w:tmpl w:val="618E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di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vttfzzam0tvzxe0dzn59erddpzeax99vpf9&quot;&gt;References of included studies&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1&lt;/item&gt;&lt;item&gt;392&lt;/item&gt;&lt;item&gt;393&lt;/item&gt;&lt;item&gt;394&lt;/item&gt;&lt;item&gt;395&lt;/item&gt;&lt;/record-ids&gt;&lt;/item&gt;&lt;/Libraries&gt;"/>
  </w:docVars>
  <w:rsids>
    <w:rsidRoot w:val="000745F8"/>
    <w:rsid w:val="00010487"/>
    <w:rsid w:val="00043C2F"/>
    <w:rsid w:val="000701F7"/>
    <w:rsid w:val="00070DE1"/>
    <w:rsid w:val="000745F8"/>
    <w:rsid w:val="00105BE8"/>
    <w:rsid w:val="001063BB"/>
    <w:rsid w:val="0011051A"/>
    <w:rsid w:val="00132467"/>
    <w:rsid w:val="00162FE0"/>
    <w:rsid w:val="001954CB"/>
    <w:rsid w:val="001B468D"/>
    <w:rsid w:val="001D4C97"/>
    <w:rsid w:val="001D79E5"/>
    <w:rsid w:val="00217DF5"/>
    <w:rsid w:val="00222B61"/>
    <w:rsid w:val="00254ECF"/>
    <w:rsid w:val="00280C92"/>
    <w:rsid w:val="002A30B7"/>
    <w:rsid w:val="002B2227"/>
    <w:rsid w:val="002B4173"/>
    <w:rsid w:val="002D0B1A"/>
    <w:rsid w:val="002E0267"/>
    <w:rsid w:val="00366461"/>
    <w:rsid w:val="0038020F"/>
    <w:rsid w:val="00382452"/>
    <w:rsid w:val="003A2BC0"/>
    <w:rsid w:val="003B36B5"/>
    <w:rsid w:val="003E45CA"/>
    <w:rsid w:val="00431C7F"/>
    <w:rsid w:val="00441129"/>
    <w:rsid w:val="004755A4"/>
    <w:rsid w:val="00483A39"/>
    <w:rsid w:val="0054001C"/>
    <w:rsid w:val="00565C67"/>
    <w:rsid w:val="00574BFB"/>
    <w:rsid w:val="00595692"/>
    <w:rsid w:val="005C573A"/>
    <w:rsid w:val="006240DF"/>
    <w:rsid w:val="0062442A"/>
    <w:rsid w:val="00627693"/>
    <w:rsid w:val="00643E0E"/>
    <w:rsid w:val="00665066"/>
    <w:rsid w:val="00675F01"/>
    <w:rsid w:val="0069061F"/>
    <w:rsid w:val="00692457"/>
    <w:rsid w:val="006C41B6"/>
    <w:rsid w:val="00712BFD"/>
    <w:rsid w:val="0074401C"/>
    <w:rsid w:val="00782576"/>
    <w:rsid w:val="00792780"/>
    <w:rsid w:val="007A0CD8"/>
    <w:rsid w:val="00807684"/>
    <w:rsid w:val="0082111C"/>
    <w:rsid w:val="008528B6"/>
    <w:rsid w:val="00862C62"/>
    <w:rsid w:val="00876478"/>
    <w:rsid w:val="00880E10"/>
    <w:rsid w:val="00881FD8"/>
    <w:rsid w:val="00882474"/>
    <w:rsid w:val="008B3521"/>
    <w:rsid w:val="0091098F"/>
    <w:rsid w:val="00913A5B"/>
    <w:rsid w:val="00965128"/>
    <w:rsid w:val="009F3459"/>
    <w:rsid w:val="00A514DC"/>
    <w:rsid w:val="00A82753"/>
    <w:rsid w:val="00AD252F"/>
    <w:rsid w:val="00B14721"/>
    <w:rsid w:val="00B15DD5"/>
    <w:rsid w:val="00B23AAC"/>
    <w:rsid w:val="00B27338"/>
    <w:rsid w:val="00B37B50"/>
    <w:rsid w:val="00B83596"/>
    <w:rsid w:val="00BA00CD"/>
    <w:rsid w:val="00BA651A"/>
    <w:rsid w:val="00BF73E1"/>
    <w:rsid w:val="00C06452"/>
    <w:rsid w:val="00C152BB"/>
    <w:rsid w:val="00C37EAC"/>
    <w:rsid w:val="00C85C18"/>
    <w:rsid w:val="00C954ED"/>
    <w:rsid w:val="00CE6692"/>
    <w:rsid w:val="00CF0F13"/>
    <w:rsid w:val="00D050CE"/>
    <w:rsid w:val="00D16702"/>
    <w:rsid w:val="00D22B27"/>
    <w:rsid w:val="00D34713"/>
    <w:rsid w:val="00D532BE"/>
    <w:rsid w:val="00D674C9"/>
    <w:rsid w:val="00DD6161"/>
    <w:rsid w:val="00DE0C2C"/>
    <w:rsid w:val="00DF16A9"/>
    <w:rsid w:val="00E401A0"/>
    <w:rsid w:val="00E572E4"/>
    <w:rsid w:val="00E747F1"/>
    <w:rsid w:val="00EA271C"/>
    <w:rsid w:val="00F61923"/>
    <w:rsid w:val="00F6741B"/>
    <w:rsid w:val="00FA668E"/>
    <w:rsid w:val="00FB1270"/>
    <w:rsid w:val="00FC5FAC"/>
    <w:rsid w:val="00FE1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102E"/>
  <w15:docId w15:val="{E64AE892-D745-4D00-B2C8-B233FB4B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5F8"/>
    <w:pPr>
      <w:keepNext/>
      <w:keepLines/>
      <w:spacing w:before="480" w:after="0"/>
      <w:outlineLvl w:val="0"/>
    </w:pPr>
    <w:rPr>
      <w:rFonts w:asciiTheme="majorHAnsi" w:eastAsiaTheme="majorEastAsia" w:hAnsiTheme="majorHAnsi" w:cstheme="majorBidi"/>
      <w:b/>
      <w:bCs/>
      <w:color w:val="365F91" w:themeColor="accent1" w:themeShade="BF"/>
      <w:sz w:val="28"/>
      <w:szCs w:val="28"/>
      <w:lang w:val="es-PE"/>
    </w:rPr>
  </w:style>
  <w:style w:type="paragraph" w:styleId="Heading2">
    <w:name w:val="heading 2"/>
    <w:basedOn w:val="Normal"/>
    <w:next w:val="Normal"/>
    <w:link w:val="Heading2Char"/>
    <w:uiPriority w:val="9"/>
    <w:unhideWhenUsed/>
    <w:qFormat/>
    <w:rsid w:val="000745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5F8"/>
    <w:rPr>
      <w:rFonts w:asciiTheme="majorHAnsi" w:eastAsiaTheme="majorEastAsia" w:hAnsiTheme="majorHAnsi" w:cstheme="majorBidi"/>
      <w:b/>
      <w:bCs/>
      <w:color w:val="365F91" w:themeColor="accent1" w:themeShade="BF"/>
      <w:sz w:val="28"/>
      <w:szCs w:val="28"/>
      <w:lang w:val="es-PE"/>
    </w:rPr>
  </w:style>
  <w:style w:type="character" w:customStyle="1" w:styleId="Heading2Char">
    <w:name w:val="Heading 2 Char"/>
    <w:basedOn w:val="DefaultParagraphFont"/>
    <w:link w:val="Heading2"/>
    <w:uiPriority w:val="9"/>
    <w:rsid w:val="000745F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745F8"/>
    <w:rPr>
      <w:color w:val="0000FF" w:themeColor="hyperlink"/>
      <w:u w:val="single"/>
    </w:rPr>
  </w:style>
  <w:style w:type="paragraph" w:styleId="NoSpacing">
    <w:name w:val="No Spacing"/>
    <w:uiPriority w:val="1"/>
    <w:qFormat/>
    <w:rsid w:val="000745F8"/>
    <w:pPr>
      <w:spacing w:after="0" w:line="240" w:lineRule="auto"/>
    </w:pPr>
    <w:rPr>
      <w:lang w:val="es-PE"/>
    </w:rPr>
  </w:style>
  <w:style w:type="table" w:styleId="TableGrid">
    <w:name w:val="Table Grid"/>
    <w:basedOn w:val="TableNormal"/>
    <w:uiPriority w:val="39"/>
    <w:rsid w:val="000745F8"/>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5F8"/>
  </w:style>
  <w:style w:type="paragraph" w:styleId="Footer">
    <w:name w:val="footer"/>
    <w:basedOn w:val="Normal"/>
    <w:link w:val="FooterChar"/>
    <w:uiPriority w:val="99"/>
    <w:unhideWhenUsed/>
    <w:rsid w:val="0007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5F8"/>
  </w:style>
  <w:style w:type="paragraph" w:styleId="TOCHeading">
    <w:name w:val="TOC Heading"/>
    <w:basedOn w:val="Heading1"/>
    <w:next w:val="Normal"/>
    <w:uiPriority w:val="39"/>
    <w:unhideWhenUsed/>
    <w:qFormat/>
    <w:rsid w:val="000745F8"/>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745F8"/>
    <w:pPr>
      <w:spacing w:after="100"/>
    </w:pPr>
  </w:style>
  <w:style w:type="paragraph" w:styleId="TOC2">
    <w:name w:val="toc 2"/>
    <w:basedOn w:val="Normal"/>
    <w:next w:val="Normal"/>
    <w:autoRedefine/>
    <w:uiPriority w:val="39"/>
    <w:unhideWhenUsed/>
    <w:rsid w:val="000745F8"/>
    <w:pPr>
      <w:spacing w:after="100"/>
      <w:ind w:left="220"/>
    </w:pPr>
  </w:style>
  <w:style w:type="paragraph" w:styleId="ListParagraph">
    <w:name w:val="List Paragraph"/>
    <w:basedOn w:val="Normal"/>
    <w:uiPriority w:val="34"/>
    <w:qFormat/>
    <w:rsid w:val="00AD252F"/>
    <w:pPr>
      <w:ind w:left="720"/>
      <w:contextualSpacing/>
    </w:pPr>
  </w:style>
  <w:style w:type="paragraph" w:styleId="BalloonText">
    <w:name w:val="Balloon Text"/>
    <w:basedOn w:val="Normal"/>
    <w:link w:val="BalloonTextChar"/>
    <w:uiPriority w:val="99"/>
    <w:semiHidden/>
    <w:unhideWhenUsed/>
    <w:rsid w:val="008B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21"/>
    <w:rPr>
      <w:rFonts w:ascii="Tahoma" w:hAnsi="Tahoma" w:cs="Tahoma"/>
      <w:sz w:val="16"/>
      <w:szCs w:val="16"/>
    </w:rPr>
  </w:style>
  <w:style w:type="paragraph" w:customStyle="1" w:styleId="Default">
    <w:name w:val="Default"/>
    <w:rsid w:val="0079278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792780"/>
    <w:rPr>
      <w:rFonts w:cs="Times New Roman"/>
      <w:color w:val="auto"/>
    </w:rPr>
  </w:style>
  <w:style w:type="character" w:styleId="FollowedHyperlink">
    <w:name w:val="FollowedHyperlink"/>
    <w:basedOn w:val="DefaultParagraphFont"/>
    <w:uiPriority w:val="99"/>
    <w:semiHidden/>
    <w:unhideWhenUsed/>
    <w:rsid w:val="00FE1928"/>
    <w:rPr>
      <w:color w:val="954F72"/>
      <w:u w:val="single"/>
    </w:rPr>
  </w:style>
  <w:style w:type="paragraph" w:customStyle="1" w:styleId="msonormal0">
    <w:name w:val="msonormal"/>
    <w:basedOn w:val="Normal"/>
    <w:rsid w:val="00FE19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FE19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FE192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4">
    <w:name w:val="xl64"/>
    <w:basedOn w:val="Normal"/>
    <w:rsid w:val="00FE19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FE19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82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576"/>
    <w:rPr>
      <w:sz w:val="20"/>
      <w:szCs w:val="20"/>
    </w:rPr>
  </w:style>
  <w:style w:type="character" w:styleId="FootnoteReference">
    <w:name w:val="footnote reference"/>
    <w:basedOn w:val="DefaultParagraphFont"/>
    <w:uiPriority w:val="99"/>
    <w:semiHidden/>
    <w:unhideWhenUsed/>
    <w:rsid w:val="00782576"/>
    <w:rPr>
      <w:vertAlign w:val="superscript"/>
    </w:rPr>
  </w:style>
  <w:style w:type="paragraph" w:customStyle="1" w:styleId="xl67">
    <w:name w:val="xl67"/>
    <w:basedOn w:val="Normal"/>
    <w:rsid w:val="00665066"/>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en-GB"/>
    </w:rPr>
  </w:style>
  <w:style w:type="paragraph" w:customStyle="1" w:styleId="xl68">
    <w:name w:val="xl68"/>
    <w:basedOn w:val="Normal"/>
    <w:rsid w:val="00665066"/>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en-GB"/>
    </w:rPr>
  </w:style>
  <w:style w:type="character" w:styleId="CommentReference">
    <w:name w:val="annotation reference"/>
    <w:basedOn w:val="DefaultParagraphFont"/>
    <w:uiPriority w:val="99"/>
    <w:semiHidden/>
    <w:unhideWhenUsed/>
    <w:rsid w:val="00665066"/>
    <w:rPr>
      <w:sz w:val="16"/>
      <w:szCs w:val="16"/>
    </w:rPr>
  </w:style>
  <w:style w:type="paragraph" w:styleId="CommentText">
    <w:name w:val="annotation text"/>
    <w:basedOn w:val="Normal"/>
    <w:link w:val="CommentTextChar"/>
    <w:uiPriority w:val="99"/>
    <w:semiHidden/>
    <w:unhideWhenUsed/>
    <w:rsid w:val="00665066"/>
    <w:pPr>
      <w:spacing w:line="240" w:lineRule="auto"/>
    </w:pPr>
    <w:rPr>
      <w:sz w:val="20"/>
      <w:szCs w:val="20"/>
    </w:rPr>
  </w:style>
  <w:style w:type="character" w:customStyle="1" w:styleId="CommentTextChar">
    <w:name w:val="Comment Text Char"/>
    <w:basedOn w:val="DefaultParagraphFont"/>
    <w:link w:val="CommentText"/>
    <w:uiPriority w:val="99"/>
    <w:semiHidden/>
    <w:rsid w:val="00665066"/>
    <w:rPr>
      <w:sz w:val="20"/>
      <w:szCs w:val="20"/>
    </w:rPr>
  </w:style>
  <w:style w:type="paragraph" w:styleId="CommentSubject">
    <w:name w:val="annotation subject"/>
    <w:basedOn w:val="CommentText"/>
    <w:next w:val="CommentText"/>
    <w:link w:val="CommentSubjectChar"/>
    <w:uiPriority w:val="99"/>
    <w:semiHidden/>
    <w:unhideWhenUsed/>
    <w:rsid w:val="00665066"/>
    <w:rPr>
      <w:b/>
      <w:bCs/>
    </w:rPr>
  </w:style>
  <w:style w:type="character" w:customStyle="1" w:styleId="CommentSubjectChar">
    <w:name w:val="Comment Subject Char"/>
    <w:basedOn w:val="CommentTextChar"/>
    <w:link w:val="CommentSubject"/>
    <w:uiPriority w:val="99"/>
    <w:semiHidden/>
    <w:rsid w:val="00665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4685">
      <w:bodyDiv w:val="1"/>
      <w:marLeft w:val="0"/>
      <w:marRight w:val="0"/>
      <w:marTop w:val="0"/>
      <w:marBottom w:val="0"/>
      <w:divBdr>
        <w:top w:val="none" w:sz="0" w:space="0" w:color="auto"/>
        <w:left w:val="none" w:sz="0" w:space="0" w:color="auto"/>
        <w:bottom w:val="none" w:sz="0" w:space="0" w:color="auto"/>
        <w:right w:val="none" w:sz="0" w:space="0" w:color="auto"/>
      </w:divBdr>
    </w:div>
    <w:div w:id="260072595">
      <w:bodyDiv w:val="1"/>
      <w:marLeft w:val="0"/>
      <w:marRight w:val="0"/>
      <w:marTop w:val="0"/>
      <w:marBottom w:val="0"/>
      <w:divBdr>
        <w:top w:val="none" w:sz="0" w:space="0" w:color="auto"/>
        <w:left w:val="none" w:sz="0" w:space="0" w:color="auto"/>
        <w:bottom w:val="none" w:sz="0" w:space="0" w:color="auto"/>
        <w:right w:val="none" w:sz="0" w:space="0" w:color="auto"/>
      </w:divBdr>
    </w:div>
    <w:div w:id="402484838">
      <w:bodyDiv w:val="1"/>
      <w:marLeft w:val="0"/>
      <w:marRight w:val="0"/>
      <w:marTop w:val="0"/>
      <w:marBottom w:val="0"/>
      <w:divBdr>
        <w:top w:val="none" w:sz="0" w:space="0" w:color="auto"/>
        <w:left w:val="none" w:sz="0" w:space="0" w:color="auto"/>
        <w:bottom w:val="none" w:sz="0" w:space="0" w:color="auto"/>
        <w:right w:val="none" w:sz="0" w:space="0" w:color="auto"/>
      </w:divBdr>
    </w:div>
    <w:div w:id="1030571207">
      <w:bodyDiv w:val="1"/>
      <w:marLeft w:val="0"/>
      <w:marRight w:val="0"/>
      <w:marTop w:val="0"/>
      <w:marBottom w:val="0"/>
      <w:divBdr>
        <w:top w:val="none" w:sz="0" w:space="0" w:color="auto"/>
        <w:left w:val="none" w:sz="0" w:space="0" w:color="auto"/>
        <w:bottom w:val="none" w:sz="0" w:space="0" w:color="auto"/>
        <w:right w:val="none" w:sz="0" w:space="0" w:color="auto"/>
      </w:divBdr>
    </w:div>
    <w:div w:id="1210536309">
      <w:bodyDiv w:val="1"/>
      <w:marLeft w:val="0"/>
      <w:marRight w:val="0"/>
      <w:marTop w:val="0"/>
      <w:marBottom w:val="0"/>
      <w:divBdr>
        <w:top w:val="none" w:sz="0" w:space="0" w:color="auto"/>
        <w:left w:val="none" w:sz="0" w:space="0" w:color="auto"/>
        <w:bottom w:val="none" w:sz="0" w:space="0" w:color="auto"/>
        <w:right w:val="none" w:sz="0" w:space="0" w:color="auto"/>
      </w:divBdr>
    </w:div>
    <w:div w:id="1292587458">
      <w:bodyDiv w:val="1"/>
      <w:marLeft w:val="0"/>
      <w:marRight w:val="0"/>
      <w:marTop w:val="0"/>
      <w:marBottom w:val="0"/>
      <w:divBdr>
        <w:top w:val="none" w:sz="0" w:space="0" w:color="auto"/>
        <w:left w:val="none" w:sz="0" w:space="0" w:color="auto"/>
        <w:bottom w:val="none" w:sz="0" w:space="0" w:color="auto"/>
        <w:right w:val="none" w:sz="0" w:space="0" w:color="auto"/>
      </w:divBdr>
    </w:div>
    <w:div w:id="1314290931">
      <w:bodyDiv w:val="1"/>
      <w:marLeft w:val="0"/>
      <w:marRight w:val="0"/>
      <w:marTop w:val="0"/>
      <w:marBottom w:val="0"/>
      <w:divBdr>
        <w:top w:val="none" w:sz="0" w:space="0" w:color="auto"/>
        <w:left w:val="none" w:sz="0" w:space="0" w:color="auto"/>
        <w:bottom w:val="none" w:sz="0" w:space="0" w:color="auto"/>
        <w:right w:val="none" w:sz="0" w:space="0" w:color="auto"/>
      </w:divBdr>
    </w:div>
    <w:div w:id="1396271461">
      <w:bodyDiv w:val="1"/>
      <w:marLeft w:val="0"/>
      <w:marRight w:val="0"/>
      <w:marTop w:val="0"/>
      <w:marBottom w:val="0"/>
      <w:divBdr>
        <w:top w:val="none" w:sz="0" w:space="0" w:color="auto"/>
        <w:left w:val="none" w:sz="0" w:space="0" w:color="auto"/>
        <w:bottom w:val="none" w:sz="0" w:space="0" w:color="auto"/>
        <w:right w:val="none" w:sz="0" w:space="0" w:color="auto"/>
      </w:divBdr>
    </w:div>
    <w:div w:id="1494565327">
      <w:bodyDiv w:val="1"/>
      <w:marLeft w:val="0"/>
      <w:marRight w:val="0"/>
      <w:marTop w:val="0"/>
      <w:marBottom w:val="0"/>
      <w:divBdr>
        <w:top w:val="none" w:sz="0" w:space="0" w:color="auto"/>
        <w:left w:val="none" w:sz="0" w:space="0" w:color="auto"/>
        <w:bottom w:val="none" w:sz="0" w:space="0" w:color="auto"/>
        <w:right w:val="none" w:sz="0" w:space="0" w:color="auto"/>
      </w:divBdr>
    </w:div>
    <w:div w:id="1726562507">
      <w:bodyDiv w:val="1"/>
      <w:marLeft w:val="0"/>
      <w:marRight w:val="0"/>
      <w:marTop w:val="0"/>
      <w:marBottom w:val="0"/>
      <w:divBdr>
        <w:top w:val="none" w:sz="0" w:space="0" w:color="auto"/>
        <w:left w:val="none" w:sz="0" w:space="0" w:color="auto"/>
        <w:bottom w:val="none" w:sz="0" w:space="0" w:color="auto"/>
        <w:right w:val="none" w:sz="0" w:space="0" w:color="auto"/>
      </w:divBdr>
    </w:div>
    <w:div w:id="1913155708">
      <w:bodyDiv w:val="1"/>
      <w:marLeft w:val="0"/>
      <w:marRight w:val="0"/>
      <w:marTop w:val="0"/>
      <w:marBottom w:val="0"/>
      <w:divBdr>
        <w:top w:val="none" w:sz="0" w:space="0" w:color="auto"/>
        <w:left w:val="none" w:sz="0" w:space="0" w:color="auto"/>
        <w:bottom w:val="none" w:sz="0" w:space="0" w:color="auto"/>
        <w:right w:val="none" w:sz="0" w:space="0" w:color="auto"/>
      </w:divBdr>
    </w:div>
    <w:div w:id="19232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cdri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C889-B764-41C1-BAE7-ECE24A03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113103</Words>
  <Characters>644692</Characters>
  <Application>Microsoft Office Word</Application>
  <DocSecurity>0</DocSecurity>
  <Lines>5372</Lines>
  <Paragraphs>1512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Larco, Rodrigo M</dc:creator>
  <cp:lastModifiedBy>Carrillo Larco, Rodrigo M</cp:lastModifiedBy>
  <cp:revision>46</cp:revision>
  <dcterms:created xsi:type="dcterms:W3CDTF">2020-03-22T16:15:00Z</dcterms:created>
  <dcterms:modified xsi:type="dcterms:W3CDTF">2020-06-08T12:46:00Z</dcterms:modified>
</cp:coreProperties>
</file>