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32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4252"/>
        <w:gridCol w:w="1251"/>
        <w:gridCol w:w="1696"/>
      </w:tblGrid>
      <w:tr w:rsidR="00822CB4" w:rsidRPr="001207F2" w:rsidTr="00D479C8">
        <w:trPr>
          <w:trHeight w:val="510"/>
        </w:trPr>
        <w:tc>
          <w:tcPr>
            <w:tcW w:w="863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822CB4" w:rsidRPr="0064748A" w:rsidRDefault="007F5F05" w:rsidP="004A05BC">
            <w:pPr>
              <w:jc w:val="both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7F5F0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Supplementary file 1</w:t>
            </w:r>
            <w:r w:rsidR="00822CB4" w:rsidRPr="00DE2FDB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  <w:r w:rsidR="00822CB4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 xml:space="preserve"> </w:t>
            </w:r>
            <w:r w:rsidR="00822CB4" w:rsidRPr="00AA7D76">
              <w:rPr>
                <w:rFonts w:ascii="Times New Roman" w:hAnsi="Times New Roman" w:cs="Times New Roman"/>
                <w:b/>
                <w:lang w:val="en-US"/>
              </w:rPr>
              <w:t>Quan</w:t>
            </w:r>
            <w:r w:rsidR="00534201">
              <w:rPr>
                <w:rFonts w:ascii="Times New Roman" w:hAnsi="Times New Roman" w:cs="Times New Roman"/>
                <w:b/>
                <w:lang w:val="en-US"/>
              </w:rPr>
              <w:t>titative mass spectrometry data</w:t>
            </w:r>
            <w:r w:rsidR="004A05BC">
              <w:rPr>
                <w:rFonts w:ascii="Times New Roman" w:hAnsi="Times New Roman" w:cs="Times New Roman"/>
                <w:b/>
                <w:lang w:val="en-US"/>
              </w:rPr>
              <w:t xml:space="preserve"> by (</w:t>
            </w:r>
            <w:r w:rsidR="004A05BC" w:rsidRPr="004A05BC">
              <w:rPr>
                <w:rFonts w:ascii="Times New Roman" w:hAnsi="Times New Roman" w:cs="Times New Roman"/>
                <w:b/>
                <w:lang w:val="en-US"/>
              </w:rPr>
              <w:t>Byrne, K. M. et al</w:t>
            </w:r>
            <w:r w:rsidR="004A05BC">
              <w:rPr>
                <w:rFonts w:ascii="Times New Roman" w:hAnsi="Times New Roman" w:cs="Times New Roman"/>
                <w:b/>
                <w:lang w:val="en-US"/>
              </w:rPr>
              <w:t>, 2016)</w:t>
            </w:r>
            <w:r w:rsidR="00822CB4" w:rsidRPr="00AA7D76">
              <w:rPr>
                <w:rFonts w:ascii="Times New Roman" w:hAnsi="Times New Roman" w:cs="Times New Roman"/>
                <w:b/>
                <w:lang w:val="en-US"/>
              </w:rPr>
              <w:t xml:space="preserve"> used to populate protein abundances in our mathematical model.</w:t>
            </w:r>
          </w:p>
        </w:tc>
      </w:tr>
      <w:tr w:rsidR="00822CB4" w:rsidRPr="001207F2" w:rsidTr="00D479C8">
        <w:trPr>
          <w:trHeight w:val="510"/>
        </w:trPr>
        <w:tc>
          <w:tcPr>
            <w:tcW w:w="14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Gene name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Protein name</w:t>
            </w:r>
          </w:p>
        </w:tc>
        <w:tc>
          <w:tcPr>
            <w:tcW w:w="1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Copy number i</w:t>
            </w:r>
            <w:r w:rsidRPr="001207F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ntensity</w:t>
            </w:r>
          </w:p>
        </w:tc>
        <w:tc>
          <w:tcPr>
            <w:tcW w:w="1696" w:type="dxa"/>
            <w:tcBorders>
              <w:top w:val="single" w:sz="12" w:space="0" w:color="auto"/>
              <w:bottom w:val="single" w:sz="4" w:space="0" w:color="auto"/>
            </w:tcBorders>
            <w:shd w:val="clear" w:color="FFFF00" w:fill="FFFFFF"/>
            <w:vAlign w:val="center"/>
            <w:hideMark/>
          </w:tcPr>
          <w:p w:rsidR="00822CB4" w:rsidRPr="001207F2" w:rsidRDefault="00822CB4" w:rsidP="00D479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Concentration (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nM</w:t>
            </w:r>
            <w:proofErr w:type="spellEnd"/>
            <w:r w:rsidRPr="001207F2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)*</w:t>
            </w:r>
          </w:p>
        </w:tc>
      </w:tr>
      <w:tr w:rsidR="00822CB4" w:rsidRPr="001207F2" w:rsidTr="00D479C8">
        <w:trPr>
          <w:trHeight w:val="25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PAK2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Serine/threonine-protein kinase PAK 2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661552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27.00</w:t>
            </w:r>
          </w:p>
        </w:tc>
      </w:tr>
      <w:tr w:rsidR="00822CB4" w:rsidRPr="001207F2" w:rsidTr="00D479C8">
        <w:trPr>
          <w:trHeight w:val="25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RAC2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Ras</w:t>
            </w:r>
            <w:proofErr w:type="spellEnd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-related C3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botulinum</w:t>
            </w:r>
            <w:proofErr w:type="spellEnd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toxin substrate 2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277301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11.09</w:t>
            </w:r>
          </w:p>
        </w:tc>
      </w:tr>
      <w:tr w:rsidR="00822CB4" w:rsidRPr="001207F2" w:rsidTr="00D479C8">
        <w:trPr>
          <w:trHeight w:val="510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RAC1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proofErr w:type="spellStart"/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Ras</w:t>
            </w:r>
            <w:proofErr w:type="spellEnd"/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 xml:space="preserve">-related C3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botulinum</w:t>
            </w:r>
            <w:proofErr w:type="spellEnd"/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 xml:space="preserve"> toxin substrate 1;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Ras</w:t>
            </w:r>
            <w:proofErr w:type="spellEnd"/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 xml:space="preserve">-related C3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botulinum</w:t>
            </w:r>
            <w:proofErr w:type="spellEnd"/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 xml:space="preserve"> toxin substrate 3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3984262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160.00</w:t>
            </w:r>
          </w:p>
        </w:tc>
      </w:tr>
      <w:tr w:rsidR="00822CB4" w:rsidRPr="001207F2" w:rsidTr="00D479C8">
        <w:trPr>
          <w:trHeight w:val="510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RHOT1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Mitochondrial Rho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GTPase</w:t>
            </w:r>
            <w:proofErr w:type="spellEnd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1;Mitochondrial Rho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GTPase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7391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0.30</w:t>
            </w:r>
          </w:p>
        </w:tc>
      </w:tr>
      <w:tr w:rsidR="00822CB4" w:rsidRPr="001207F2" w:rsidTr="00D479C8">
        <w:trPr>
          <w:trHeight w:val="25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RHOC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Rho-related GTP-binding protein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RhoC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530247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21.21</w:t>
            </w:r>
          </w:p>
        </w:tc>
      </w:tr>
      <w:tr w:rsidR="00822CB4" w:rsidRPr="001207F2" w:rsidTr="00D479C8">
        <w:trPr>
          <w:trHeight w:val="510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RHOA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 xml:space="preserve">Transforming protein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RhoA;Rho-related</w:t>
            </w:r>
            <w:proofErr w:type="spellEnd"/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 xml:space="preserve"> GTP-binding protein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RhoC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4013548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161.00</w:t>
            </w:r>
          </w:p>
        </w:tc>
      </w:tr>
      <w:tr w:rsidR="00822CB4" w:rsidRPr="001207F2" w:rsidTr="00D479C8">
        <w:trPr>
          <w:trHeight w:val="25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RHOG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Rho-related GTP-binding protein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RhoG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490041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19.60</w:t>
            </w:r>
          </w:p>
        </w:tc>
      </w:tr>
      <w:tr w:rsidR="00822CB4" w:rsidRPr="001207F2" w:rsidTr="00D479C8">
        <w:trPr>
          <w:trHeight w:val="25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RHOT2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Mitochondrial Rho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GTPase</w:t>
            </w:r>
            <w:proofErr w:type="spellEnd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2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7850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0.31</w:t>
            </w:r>
          </w:p>
        </w:tc>
      </w:tr>
      <w:tr w:rsidR="00822CB4" w:rsidRPr="001207F2" w:rsidTr="00D479C8">
        <w:trPr>
          <w:trHeight w:val="25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RHOF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Rho-related GTP-binding protein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RhoF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25597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1.02</w:t>
            </w:r>
          </w:p>
        </w:tc>
      </w:tr>
      <w:tr w:rsidR="00822CB4" w:rsidRPr="001207F2" w:rsidTr="00D479C8">
        <w:trPr>
          <w:trHeight w:val="25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</w:tr>
      <w:tr w:rsidR="00822CB4" w:rsidRPr="001207F2" w:rsidTr="00D479C8">
        <w:trPr>
          <w:trHeight w:val="25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</w:tr>
      <w:tr w:rsidR="00822CB4" w:rsidRPr="001207F2" w:rsidTr="00D479C8">
        <w:trPr>
          <w:trHeight w:val="25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ROCK1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Rho-associated protein kinase 1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13858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0.55</w:t>
            </w:r>
          </w:p>
        </w:tc>
      </w:tr>
      <w:tr w:rsidR="00822CB4" w:rsidRPr="001207F2" w:rsidTr="00D479C8">
        <w:trPr>
          <w:trHeight w:val="255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ROCK2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Rho-associated protein kinase 2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62134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2.49</w:t>
            </w:r>
          </w:p>
        </w:tc>
      </w:tr>
      <w:tr w:rsidR="00822CB4" w:rsidRPr="001207F2" w:rsidTr="00D479C8">
        <w:trPr>
          <w:trHeight w:val="510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DIAPH1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 xml:space="preserve">Protein diaphanous homolog 1;Diaphanous homolog 1 (Drosophila), isoform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CRA_a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189210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bCs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bCs/>
                <w:lang w:val="en-GB" w:eastAsia="en-GB"/>
              </w:rPr>
              <w:t>7.57</w:t>
            </w:r>
          </w:p>
        </w:tc>
      </w:tr>
      <w:tr w:rsidR="00822CB4" w:rsidRPr="001207F2" w:rsidTr="00D479C8">
        <w:trPr>
          <w:trHeight w:val="930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DIAPH2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Protein diaphanous homolog 2;Diaphanous homolog 2 (Drosophila), isoform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CRA_c;Diaphanous</w:t>
            </w:r>
            <w:proofErr w:type="spellEnd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homolog 2 (Drosophila), isoform </w:t>
            </w:r>
            <w:proofErr w:type="spellStart"/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CRA_a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8292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0.33</w:t>
            </w:r>
          </w:p>
        </w:tc>
      </w:tr>
      <w:tr w:rsidR="00822CB4" w:rsidRPr="001207F2" w:rsidTr="00D479C8">
        <w:trPr>
          <w:trHeight w:val="255"/>
        </w:trPr>
        <w:tc>
          <w:tcPr>
            <w:tcW w:w="14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DIAPH3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22CB4" w:rsidRPr="001207F2" w:rsidRDefault="00822CB4" w:rsidP="00D479C8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Protein diaphanous homolog 3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19067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12" w:space="0" w:color="auto"/>
            </w:tcBorders>
            <w:shd w:val="clear" w:color="FFFF00" w:fill="FFFFFF"/>
            <w:noWrap/>
            <w:vAlign w:val="center"/>
            <w:hideMark/>
          </w:tcPr>
          <w:p w:rsidR="00822CB4" w:rsidRPr="001207F2" w:rsidRDefault="00822CB4" w:rsidP="00D479C8">
            <w:pPr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207F2">
              <w:rPr>
                <w:rFonts w:ascii="Times New Roman" w:eastAsia="Times New Roman" w:hAnsi="Times New Roman" w:cs="Times New Roman"/>
                <w:lang w:val="en-GB" w:eastAsia="en-GB"/>
              </w:rPr>
              <w:t>0.76</w:t>
            </w:r>
          </w:p>
        </w:tc>
      </w:tr>
    </w:tbl>
    <w:p w:rsidR="00822CB4" w:rsidRPr="001207F2" w:rsidRDefault="00822CB4" w:rsidP="00822CB4">
      <w:pPr>
        <w:spacing w:after="100"/>
        <w:jc w:val="both"/>
        <w:rPr>
          <w:rFonts w:ascii="Times New Roman" w:hAnsi="Times New Roman" w:cs="Times New Roman"/>
          <w:lang w:val="en-GB"/>
        </w:rPr>
      </w:pPr>
      <w:r w:rsidRPr="001207F2">
        <w:rPr>
          <w:rFonts w:ascii="Times New Roman" w:hAnsi="Times New Roman" w:cs="Times New Roman"/>
          <w:vertAlign w:val="superscript"/>
          <w:lang w:val="en-US"/>
        </w:rPr>
        <w:t>*</w:t>
      </w:r>
      <w:r>
        <w:rPr>
          <w:rFonts w:ascii="Times New Roman" w:hAnsi="Times New Roman" w:cs="Times New Roman"/>
          <w:lang w:val="en-US"/>
        </w:rPr>
        <w:t xml:space="preserve"> </w:t>
      </w:r>
      <w:r w:rsidRPr="001207F2">
        <w:rPr>
          <w:rFonts w:ascii="Times New Roman" w:hAnsi="Times New Roman" w:cs="Times New Roman"/>
          <w:lang w:val="en-US"/>
        </w:rPr>
        <w:t>Concentrations were calculated a</w:t>
      </w:r>
      <w:r>
        <w:rPr>
          <w:rFonts w:ascii="Times New Roman" w:hAnsi="Times New Roman" w:cs="Times New Roman"/>
          <w:lang w:val="en-US"/>
        </w:rPr>
        <w:t xml:space="preserve">ssuming an average cell volume </w:t>
      </w:r>
      <m:oMath>
        <m:r>
          <w:rPr>
            <w:rFonts w:ascii="Cambria Math" w:hAnsi="Cambria Math" w:cs="Times New Roman"/>
            <w:lang w:val="en-US"/>
          </w:rPr>
          <m:t>4⋅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10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-14</m:t>
            </m:r>
          </m:sup>
        </m:sSup>
      </m:oMath>
      <w:r>
        <w:rPr>
          <w:rFonts w:ascii="Times New Roman" w:hAnsi="Times New Roman" w:cs="Times New Roman"/>
          <w:lang w:val="en-US"/>
        </w:rPr>
        <w:t xml:space="preserve"> L</w:t>
      </w:r>
      <w:r w:rsidRPr="001207F2">
        <w:rPr>
          <w:rFonts w:ascii="Times New Roman" w:hAnsi="Times New Roman" w:cs="Times New Roman"/>
          <w:lang w:val="en-US"/>
        </w:rPr>
        <w:t>.</w:t>
      </w:r>
    </w:p>
    <w:p w:rsidR="00733F53" w:rsidRDefault="00733F53">
      <w:pPr>
        <w:rPr>
          <w:lang w:val="en-GB"/>
        </w:rPr>
      </w:pPr>
    </w:p>
    <w:p w:rsidR="00693FF6" w:rsidRDefault="00693FF6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693FF6" w:rsidRDefault="00693FF6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693FF6">
        <w:rPr>
          <w:rFonts w:ascii="Times New Roman" w:hAnsi="Times New Roman" w:cs="Times New Roman"/>
          <w:b/>
          <w:sz w:val="28"/>
          <w:szCs w:val="28"/>
          <w:lang w:val="en-GB"/>
        </w:rPr>
        <w:t>References</w:t>
      </w:r>
    </w:p>
    <w:p w:rsidR="00693FF6" w:rsidRDefault="00693FF6" w:rsidP="00693FF6">
      <w:pPr>
        <w:rPr>
          <w:rFonts w:ascii="Times New Roman" w:hAnsi="Times New Roman" w:cs="Times New Roman"/>
        </w:rPr>
      </w:pPr>
    </w:p>
    <w:p w:rsidR="00693FF6" w:rsidRPr="00693FF6" w:rsidRDefault="00693FF6" w:rsidP="00095B8E">
      <w:pPr>
        <w:jc w:val="both"/>
        <w:rPr>
          <w:rFonts w:ascii="Times New Roman" w:hAnsi="Times New Roman" w:cs="Times New Roman"/>
          <w:lang w:val="en-GB"/>
        </w:rPr>
      </w:pPr>
      <w:r w:rsidRPr="00745BA4">
        <w:rPr>
          <w:rFonts w:ascii="Times New Roman" w:hAnsi="Times New Roman" w:cs="Times New Roman"/>
        </w:rPr>
        <w:t>Byrne, K. M.</w:t>
      </w:r>
      <w:r w:rsidRPr="00745BA4">
        <w:rPr>
          <w:rFonts w:ascii="Times New Roman" w:hAnsi="Times New Roman" w:cs="Times New Roman"/>
          <w:i/>
        </w:rPr>
        <w:t xml:space="preserve"> et al.</w:t>
      </w:r>
      <w:r w:rsidRPr="00745BA4">
        <w:rPr>
          <w:rFonts w:ascii="Times New Roman" w:hAnsi="Times New Roman" w:cs="Times New Roman"/>
        </w:rPr>
        <w:t xml:space="preserve"> </w:t>
      </w:r>
      <w:proofErr w:type="spellStart"/>
      <w:r w:rsidRPr="00745BA4">
        <w:rPr>
          <w:rFonts w:ascii="Times New Roman" w:hAnsi="Times New Roman" w:cs="Times New Roman"/>
        </w:rPr>
        <w:t>Bistability</w:t>
      </w:r>
      <w:proofErr w:type="spellEnd"/>
      <w:r w:rsidRPr="00745BA4">
        <w:rPr>
          <w:rFonts w:ascii="Times New Roman" w:hAnsi="Times New Roman" w:cs="Times New Roman"/>
        </w:rPr>
        <w:t xml:space="preserve"> in the Rac1, PAK, and RhoA </w:t>
      </w:r>
      <w:proofErr w:type="spellStart"/>
      <w:r w:rsidRPr="00745BA4">
        <w:rPr>
          <w:rFonts w:ascii="Times New Roman" w:hAnsi="Times New Roman" w:cs="Times New Roman"/>
        </w:rPr>
        <w:t>Signaling</w:t>
      </w:r>
      <w:proofErr w:type="spellEnd"/>
      <w:r w:rsidRPr="00745BA4">
        <w:rPr>
          <w:rFonts w:ascii="Times New Roman" w:hAnsi="Times New Roman" w:cs="Times New Roman"/>
        </w:rPr>
        <w:t xml:space="preserve"> Network Drives Actin Cytoskeleton Dynamics and Cell Motility Switches. </w:t>
      </w:r>
      <w:proofErr w:type="gramStart"/>
      <w:r w:rsidRPr="00745BA4">
        <w:rPr>
          <w:rFonts w:ascii="Times New Roman" w:hAnsi="Times New Roman" w:cs="Times New Roman"/>
          <w:i/>
        </w:rPr>
        <w:t xml:space="preserve">Cell </w:t>
      </w:r>
      <w:proofErr w:type="spellStart"/>
      <w:r w:rsidRPr="00745BA4">
        <w:rPr>
          <w:rFonts w:ascii="Times New Roman" w:hAnsi="Times New Roman" w:cs="Times New Roman"/>
          <w:i/>
        </w:rPr>
        <w:t>Syst</w:t>
      </w:r>
      <w:proofErr w:type="spellEnd"/>
      <w:r w:rsidRPr="00745BA4">
        <w:rPr>
          <w:rFonts w:ascii="Times New Roman" w:hAnsi="Times New Roman" w:cs="Times New Roman"/>
        </w:rPr>
        <w:t xml:space="preserve"> </w:t>
      </w:r>
      <w:r w:rsidRPr="00745BA4">
        <w:rPr>
          <w:rFonts w:ascii="Times New Roman" w:hAnsi="Times New Roman" w:cs="Times New Roman"/>
          <w:b/>
        </w:rPr>
        <w:t>2</w:t>
      </w:r>
      <w:r w:rsidRPr="00745BA4">
        <w:rPr>
          <w:rFonts w:ascii="Times New Roman" w:hAnsi="Times New Roman" w:cs="Times New Roman"/>
        </w:rPr>
        <w:t xml:space="preserve">, 38-48, </w:t>
      </w:r>
      <w:bookmarkStart w:id="0" w:name="_GoBack"/>
      <w:bookmarkEnd w:id="0"/>
      <w:r w:rsidRPr="00745BA4">
        <w:rPr>
          <w:rFonts w:ascii="Times New Roman" w:hAnsi="Times New Roman" w:cs="Times New Roman"/>
        </w:rPr>
        <w:t>doi:10.1016/j.cels.2016.01.003 (2016).</w:t>
      </w:r>
      <w:proofErr w:type="gramEnd"/>
    </w:p>
    <w:sectPr w:rsidR="00693FF6" w:rsidRPr="00693FF6" w:rsidSect="00822C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B4"/>
    <w:rsid w:val="00095B8E"/>
    <w:rsid w:val="004A05BC"/>
    <w:rsid w:val="00534201"/>
    <w:rsid w:val="00693FF6"/>
    <w:rsid w:val="00733F53"/>
    <w:rsid w:val="007F5F05"/>
    <w:rsid w:val="0082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B4"/>
    <w:pPr>
      <w:spacing w:after="0" w:line="240" w:lineRule="auto"/>
    </w:pPr>
    <w:rPr>
      <w:rFonts w:eastAsiaTheme="minorEastAsia"/>
      <w:sz w:val="24"/>
      <w:szCs w:val="24"/>
      <w:lang w:val="en-I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C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CB4"/>
    <w:rPr>
      <w:rFonts w:ascii="Tahoma" w:eastAsiaTheme="minorEastAsia" w:hAnsi="Tahoma" w:cs="Tahoma"/>
      <w:sz w:val="16"/>
      <w:szCs w:val="16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B4"/>
    <w:pPr>
      <w:spacing w:after="0" w:line="240" w:lineRule="auto"/>
    </w:pPr>
    <w:rPr>
      <w:rFonts w:eastAsiaTheme="minorEastAsia"/>
      <w:sz w:val="24"/>
      <w:szCs w:val="24"/>
      <w:lang w:val="en-I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C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CB4"/>
    <w:rPr>
      <w:rFonts w:ascii="Tahoma" w:eastAsiaTheme="minorEastAsia" w:hAnsi="Tahoma" w:cs="Tahoma"/>
      <w:sz w:val="16"/>
      <w:szCs w:val="1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Oleksii</dc:creator>
  <cp:lastModifiedBy>Rukhlenko</cp:lastModifiedBy>
  <cp:revision>6</cp:revision>
  <dcterms:created xsi:type="dcterms:W3CDTF">2020-05-01T13:17:00Z</dcterms:created>
  <dcterms:modified xsi:type="dcterms:W3CDTF">2020-05-01T13:36:00Z</dcterms:modified>
</cp:coreProperties>
</file>