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D2949">
        <w:fldChar w:fldCharType="begin"/>
      </w:r>
      <w:r w:rsidR="00BD2949">
        <w:instrText xml:space="preserve"> HYPERLINK "https://biosharing.org/" \t "_blank" </w:instrText>
      </w:r>
      <w:r w:rsidR="00BD294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D294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BFB7B8" w:rsidR="00877644" w:rsidRPr="00125190" w:rsidRDefault="0056311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 not apply because we did not conduct an empirical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E1C07C" w:rsidR="00B330BD" w:rsidRPr="00125190" w:rsidRDefault="0056311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does also not apply.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EA5EED" w:rsidR="0015519A" w:rsidRPr="00505C51" w:rsidRDefault="005631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also not apply.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8BF53A" w14:textId="77777777" w:rsidR="00563117" w:rsidRPr="00505C51" w:rsidRDefault="00563117" w:rsidP="005631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also not apply.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A0B847" w:rsidR="00BC3CCE" w:rsidRPr="00505C51" w:rsidRDefault="005631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a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to compute the replication rate for the p-hacking scenarios described in our article. The primary input parameters to these routines are the base rate, alpha1, alpha2, beta2, and k (the degree of p-hacking).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7459B" w14:textId="77777777" w:rsidR="00B2059E" w:rsidRDefault="00B2059E" w:rsidP="004215FE">
      <w:r>
        <w:separator/>
      </w:r>
    </w:p>
  </w:endnote>
  <w:endnote w:type="continuationSeparator" w:id="0">
    <w:p w14:paraId="6728F9A6" w14:textId="77777777" w:rsidR="00B2059E" w:rsidRDefault="00B205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1AE6" w14:textId="77777777" w:rsidR="00B2059E" w:rsidRDefault="00B2059E" w:rsidP="004215FE">
      <w:r>
        <w:separator/>
      </w:r>
    </w:p>
  </w:footnote>
  <w:footnote w:type="continuationSeparator" w:id="0">
    <w:p w14:paraId="16CC4081" w14:textId="77777777" w:rsidR="00B2059E" w:rsidRDefault="00B205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117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059E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2949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C4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Rolf</cp:lastModifiedBy>
  <cp:revision>3</cp:revision>
  <dcterms:created xsi:type="dcterms:W3CDTF">2020-09-09T15:37:00Z</dcterms:created>
  <dcterms:modified xsi:type="dcterms:W3CDTF">2020-09-09T15:47:00Z</dcterms:modified>
</cp:coreProperties>
</file>