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A0" w:rsidRDefault="00EF491A" w:rsidP="00EF491A">
      <w:pPr>
        <w:pStyle w:val="Title"/>
      </w:pPr>
      <w:r>
        <w:t xml:space="preserve">Supplementary </w:t>
      </w:r>
      <w:r>
        <w:t xml:space="preserve">File </w:t>
      </w:r>
      <w:r w:rsidR="00FC1577">
        <w:t>4</w:t>
      </w:r>
      <w:r w:rsidR="00D3573C">
        <w:t xml:space="preserve"> – </w:t>
      </w:r>
      <w:r w:rsidR="00FC1577">
        <w:t xml:space="preserve">Correlations </w:t>
      </w:r>
      <w:r w:rsidR="00FC1577">
        <w:t>of questionnaires with motivational effects</w:t>
      </w:r>
    </w:p>
    <w:p w:rsidR="00FC1577" w:rsidRDefault="00FC1577" w:rsidP="00FC1577">
      <w:pPr>
        <w:pStyle w:val="Heading1"/>
      </w:pPr>
      <w:r>
        <w:t>A</w:t>
      </w:r>
      <w:bookmarkStart w:id="0" w:name="_GoBack"/>
      <w:bookmarkEnd w:id="0"/>
    </w:p>
    <w:p w:rsidR="00FC1577" w:rsidRPr="00FC1577" w:rsidRDefault="00FC1577" w:rsidP="00FC1577">
      <w:pPr>
        <w:pStyle w:val="Caption"/>
        <w:rPr>
          <w:rStyle w:val="CaptionTitle"/>
          <w:b w:val="0"/>
          <w:i/>
          <w:iCs/>
        </w:rPr>
      </w:pPr>
      <w:r w:rsidRPr="00FC1577">
        <w:rPr>
          <w:rStyle w:val="CaptionTitle"/>
        </w:rPr>
        <w:t xml:space="preserve">Table A. </w:t>
      </w:r>
      <w:r>
        <w:rPr>
          <w:rStyle w:val="CaptionTitle"/>
        </w:rPr>
        <w:t xml:space="preserve">No correlations between apathy or depression and vigour. </w:t>
      </w:r>
      <w:r w:rsidRPr="00FC1577">
        <w:t>T</w:t>
      </w:r>
      <w:r>
        <w:t>he outputs from Pearson’s correlations between apathy and depression questionnaires and the contingent and guaranteed motivational effects on residual peak velocity in PD ON and OFF separately.</w:t>
      </w:r>
      <w:r w:rsidR="0037533C">
        <w:t xml:space="preserve"> No correlations were significant.</w:t>
      </w: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2325"/>
        <w:gridCol w:w="2170"/>
        <w:gridCol w:w="2257"/>
        <w:gridCol w:w="2274"/>
      </w:tblGrid>
      <w:tr w:rsidR="00FC1577" w:rsidTr="00FC15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FC1577" w:rsidRDefault="00FC1577" w:rsidP="00FC1577">
            <w:r>
              <w:t>Questionnaires</w:t>
            </w:r>
          </w:p>
        </w:tc>
        <w:tc>
          <w:tcPr>
            <w:tcW w:w="2170" w:type="dxa"/>
          </w:tcPr>
          <w:p w:rsidR="00FC1577" w:rsidRDefault="00FC1577" w:rsidP="00FC15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Effect</w:t>
            </w:r>
          </w:p>
        </w:tc>
        <w:tc>
          <w:tcPr>
            <w:tcW w:w="2257" w:type="dxa"/>
          </w:tcPr>
          <w:p w:rsidR="00FC1577" w:rsidRDefault="00FC1577" w:rsidP="00FC15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PD ON</w:t>
            </w:r>
          </w:p>
        </w:tc>
        <w:tc>
          <w:tcPr>
            <w:tcW w:w="2274" w:type="dxa"/>
          </w:tcPr>
          <w:p w:rsidR="00FC1577" w:rsidRDefault="00FC1577" w:rsidP="00FC15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PD OFF</w:t>
            </w:r>
          </w:p>
        </w:tc>
      </w:tr>
      <w:tr w:rsidR="00FC1577" w:rsidTr="00FC1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FC1577" w:rsidRDefault="00FC1577" w:rsidP="00FC1577">
            <w:r>
              <w:t>AMI</w:t>
            </w:r>
          </w:p>
        </w:tc>
        <w:tc>
          <w:tcPr>
            <w:tcW w:w="2170" w:type="dxa"/>
          </w:tcPr>
          <w:p w:rsidR="00FC1577" w:rsidRDefault="00FC1577" w:rsidP="00FC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Contingent</w:t>
            </w:r>
          </w:p>
        </w:tc>
        <w:tc>
          <w:tcPr>
            <w:tcW w:w="2257" w:type="dxa"/>
          </w:tcPr>
          <w:p w:rsidR="00FC1577" w:rsidRPr="00FC1577" w:rsidRDefault="0037533C" w:rsidP="00FC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ρ</w:t>
            </w:r>
            <w:r w:rsidR="00FC1577" w:rsidRPr="0037533C">
              <w:t xml:space="preserve"> = </w:t>
            </w:r>
            <w:r w:rsidRPr="0037533C">
              <w:t>-.3312,</w:t>
            </w:r>
            <w:r>
              <w:t xml:space="preserve"> p = .0984</w:t>
            </w:r>
          </w:p>
        </w:tc>
        <w:tc>
          <w:tcPr>
            <w:tcW w:w="2274" w:type="dxa"/>
          </w:tcPr>
          <w:p w:rsidR="00FC1577" w:rsidRDefault="0037533C" w:rsidP="00FC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</w:rPr>
              <w:t>ρ</w:t>
            </w:r>
            <w:r>
              <w:t xml:space="preserve"> = .0429,  p = .8352</w:t>
            </w:r>
          </w:p>
        </w:tc>
      </w:tr>
      <w:tr w:rsidR="00FC1577" w:rsidTr="00FC1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FC1577" w:rsidRDefault="00FC1577" w:rsidP="00FC1577"/>
        </w:tc>
        <w:tc>
          <w:tcPr>
            <w:tcW w:w="2170" w:type="dxa"/>
          </w:tcPr>
          <w:p w:rsidR="00FC1577" w:rsidRDefault="00FC1577" w:rsidP="00FC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Guaranteed</w:t>
            </w:r>
          </w:p>
        </w:tc>
        <w:tc>
          <w:tcPr>
            <w:tcW w:w="2257" w:type="dxa"/>
          </w:tcPr>
          <w:p w:rsidR="00FC1577" w:rsidRPr="0037533C" w:rsidRDefault="0037533C" w:rsidP="00FC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ρ</w:t>
            </w:r>
            <w:r>
              <w:t xml:space="preserve"> = -.0439, p = .8313</w:t>
            </w:r>
          </w:p>
        </w:tc>
        <w:tc>
          <w:tcPr>
            <w:tcW w:w="2274" w:type="dxa"/>
          </w:tcPr>
          <w:p w:rsidR="00FC1577" w:rsidRDefault="0037533C" w:rsidP="00FC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ρ</w:t>
            </w:r>
            <w:r>
              <w:t xml:space="preserve"> = .1112,  p = .5887</w:t>
            </w:r>
          </w:p>
        </w:tc>
      </w:tr>
      <w:tr w:rsidR="00FC1577" w:rsidTr="00FC1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FC1577" w:rsidRDefault="0037533C" w:rsidP="0037533C">
            <w:r>
              <w:t>HADS</w:t>
            </w:r>
          </w:p>
        </w:tc>
        <w:tc>
          <w:tcPr>
            <w:tcW w:w="2170" w:type="dxa"/>
          </w:tcPr>
          <w:p w:rsidR="00FC1577" w:rsidRDefault="00FC1577" w:rsidP="00FC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Contingent</w:t>
            </w:r>
          </w:p>
        </w:tc>
        <w:tc>
          <w:tcPr>
            <w:tcW w:w="2257" w:type="dxa"/>
          </w:tcPr>
          <w:p w:rsidR="00FC1577" w:rsidRDefault="0037533C" w:rsidP="00FC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</w:rPr>
              <w:t>ρ</w:t>
            </w:r>
            <w:r>
              <w:t xml:space="preserve"> = .0570,  p = .7814</w:t>
            </w:r>
          </w:p>
        </w:tc>
        <w:tc>
          <w:tcPr>
            <w:tcW w:w="2274" w:type="dxa"/>
          </w:tcPr>
          <w:p w:rsidR="00FC1577" w:rsidRDefault="0037533C" w:rsidP="00FC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</w:rPr>
              <w:t>ρ</w:t>
            </w:r>
            <w:r>
              <w:t xml:space="preserve"> = -.3261, p = .1199</w:t>
            </w:r>
          </w:p>
        </w:tc>
      </w:tr>
      <w:tr w:rsidR="00FC1577" w:rsidTr="00FC1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FC1577" w:rsidRDefault="00FC1577" w:rsidP="00FC1577"/>
        </w:tc>
        <w:tc>
          <w:tcPr>
            <w:tcW w:w="2170" w:type="dxa"/>
          </w:tcPr>
          <w:p w:rsidR="00FC1577" w:rsidRDefault="00FC1577" w:rsidP="00FC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Guaranteed</w:t>
            </w:r>
          </w:p>
        </w:tc>
        <w:tc>
          <w:tcPr>
            <w:tcW w:w="2257" w:type="dxa"/>
          </w:tcPr>
          <w:p w:rsidR="00FC1577" w:rsidRDefault="0037533C" w:rsidP="00FC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ρ</w:t>
            </w:r>
            <w:r>
              <w:t xml:space="preserve"> = -.2577, p = .2240</w:t>
            </w:r>
          </w:p>
        </w:tc>
        <w:tc>
          <w:tcPr>
            <w:tcW w:w="2274" w:type="dxa"/>
          </w:tcPr>
          <w:p w:rsidR="00FC1577" w:rsidRDefault="0037533C" w:rsidP="00FC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ρ</w:t>
            </w:r>
            <w:r>
              <w:t xml:space="preserve"> = -.0355, p = .8692</w:t>
            </w:r>
          </w:p>
        </w:tc>
      </w:tr>
      <w:tr w:rsidR="00FC1577" w:rsidTr="00FC1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FC1577" w:rsidRDefault="0037533C" w:rsidP="00FC1577">
            <w:r>
              <w:t>BDI-II</w:t>
            </w:r>
          </w:p>
        </w:tc>
        <w:tc>
          <w:tcPr>
            <w:tcW w:w="2170" w:type="dxa"/>
          </w:tcPr>
          <w:p w:rsidR="00FC1577" w:rsidRDefault="00FC1577" w:rsidP="00FC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Contingent</w:t>
            </w:r>
          </w:p>
        </w:tc>
        <w:tc>
          <w:tcPr>
            <w:tcW w:w="2257" w:type="dxa"/>
          </w:tcPr>
          <w:p w:rsidR="00FC1577" w:rsidRDefault="0037533C" w:rsidP="00FC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</w:rPr>
              <w:t>ρ</w:t>
            </w:r>
            <w:r>
              <w:t xml:space="preserve"> = -.0166, p = .9445</w:t>
            </w:r>
          </w:p>
        </w:tc>
        <w:tc>
          <w:tcPr>
            <w:tcW w:w="2274" w:type="dxa"/>
          </w:tcPr>
          <w:p w:rsidR="00FC1577" w:rsidRDefault="0037533C" w:rsidP="00FC15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</w:rPr>
              <w:t>ρ</w:t>
            </w:r>
            <w:r>
              <w:t xml:space="preserve"> = -.1763, p = .4573</w:t>
            </w:r>
          </w:p>
        </w:tc>
      </w:tr>
      <w:tr w:rsidR="00FC1577" w:rsidTr="00FC1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5" w:type="dxa"/>
          </w:tcPr>
          <w:p w:rsidR="00FC1577" w:rsidRDefault="00FC1577" w:rsidP="00FC1577"/>
        </w:tc>
        <w:tc>
          <w:tcPr>
            <w:tcW w:w="2170" w:type="dxa"/>
          </w:tcPr>
          <w:p w:rsidR="00FC1577" w:rsidRDefault="00FC1577" w:rsidP="00FC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Guaranteed</w:t>
            </w:r>
          </w:p>
        </w:tc>
        <w:tc>
          <w:tcPr>
            <w:tcW w:w="2257" w:type="dxa"/>
          </w:tcPr>
          <w:p w:rsidR="00FC1577" w:rsidRDefault="0037533C" w:rsidP="00FC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ρ</w:t>
            </w:r>
            <w:r>
              <w:t xml:space="preserve"> = -.1838, p = .4379</w:t>
            </w:r>
          </w:p>
        </w:tc>
        <w:tc>
          <w:tcPr>
            <w:tcW w:w="2274" w:type="dxa"/>
          </w:tcPr>
          <w:p w:rsidR="00FC1577" w:rsidRDefault="0037533C" w:rsidP="00FC1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ρ</w:t>
            </w:r>
            <w:r>
              <w:t xml:space="preserve"> = -.0605, p = .7999</w:t>
            </w:r>
          </w:p>
        </w:tc>
      </w:tr>
    </w:tbl>
    <w:p w:rsidR="00FC1577" w:rsidRPr="00FC1577" w:rsidRDefault="00FC1577" w:rsidP="00FC1577"/>
    <w:sectPr w:rsidR="00FC1577" w:rsidRPr="00FC1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1A"/>
    <w:rsid w:val="0010040B"/>
    <w:rsid w:val="00140279"/>
    <w:rsid w:val="00190D16"/>
    <w:rsid w:val="001A5CF4"/>
    <w:rsid w:val="0025798A"/>
    <w:rsid w:val="00275AE4"/>
    <w:rsid w:val="003611B2"/>
    <w:rsid w:val="0037533C"/>
    <w:rsid w:val="004044EA"/>
    <w:rsid w:val="006F2FB4"/>
    <w:rsid w:val="007E725D"/>
    <w:rsid w:val="0089353E"/>
    <w:rsid w:val="00A25D64"/>
    <w:rsid w:val="00BB06A0"/>
    <w:rsid w:val="00D3573C"/>
    <w:rsid w:val="00EF491A"/>
    <w:rsid w:val="00FC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7171A-9E85-4AA9-9B9F-E9553996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autoRedefine/>
    <w:qFormat/>
    <w:rsid w:val="004044EA"/>
    <w:pPr>
      <w:autoSpaceDE w:val="0"/>
      <w:autoSpaceDN w:val="0"/>
      <w:adjustRightInd w:val="0"/>
      <w:spacing w:after="0" w:line="240" w:lineRule="auto"/>
      <w:ind w:left="720"/>
    </w:pPr>
    <w:rPr>
      <w:rFonts w:ascii="Courier New" w:hAnsi="Courier New" w:cs="Courier New"/>
      <w:noProof/>
      <w:color w:val="000000"/>
      <w:sz w:val="20"/>
      <w:szCs w:val="20"/>
    </w:rPr>
  </w:style>
  <w:style w:type="table" w:styleId="ListTable1Light">
    <w:name w:val="List Table 1 Light"/>
    <w:basedOn w:val="TableNormal"/>
    <w:uiPriority w:val="46"/>
    <w:rsid w:val="00275A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F49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ptionTitle">
    <w:name w:val="CaptionTitle"/>
    <w:basedOn w:val="DefaultParagraphFont"/>
    <w:uiPriority w:val="1"/>
    <w:qFormat/>
    <w:rsid w:val="00EF491A"/>
    <w:rPr>
      <w:b/>
      <w:i/>
      <w:iCs/>
      <w:color w:val="44546A"/>
      <w:sz w:val="18"/>
      <w:szCs w:val="18"/>
    </w:rPr>
  </w:style>
  <w:style w:type="paragraph" w:styleId="Caption">
    <w:name w:val="caption"/>
    <w:basedOn w:val="Normal"/>
    <w:next w:val="Normal"/>
    <w:autoRedefine/>
    <w:uiPriority w:val="35"/>
    <w:qFormat/>
    <w:rsid w:val="00FC1577"/>
    <w:pPr>
      <w:keepNext/>
      <w:overflowPunct w:val="0"/>
      <w:spacing w:after="200" w:line="240" w:lineRule="auto"/>
    </w:pPr>
    <w:rPr>
      <w:rFonts w:ascii="Calibri" w:eastAsia="Calibri" w:hAnsi="Calibri" w:cs="DejaVu Sans"/>
      <w:i/>
      <w:iCs/>
      <w:color w:val="44546A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F49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F49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Grogan</dc:creator>
  <cp:keywords/>
  <dc:description/>
  <cp:lastModifiedBy>John Grogan</cp:lastModifiedBy>
  <cp:revision>4</cp:revision>
  <dcterms:created xsi:type="dcterms:W3CDTF">2020-08-12T17:02:00Z</dcterms:created>
  <dcterms:modified xsi:type="dcterms:W3CDTF">2020-08-12T17:09:00Z</dcterms:modified>
</cp:coreProperties>
</file>