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52DEF"/>
      <w:r w:rsidR="00152DEF">
        <w:instrText xml:space="preserve"/>
      </w:r>
      <w:r w:rsidR="00152DEF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52DEF">
        <w:rPr>
          <w:rStyle w:val="Hyperlink"/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4F3959" w:rsidR="00877644" w:rsidRPr="00125190" w:rsidRDefault="0004452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a power analysis prior to the experiment presented in the manuscript. We performed the infectivity and retrotransposition assay with sample sizes standard for these types of assays</w:t>
      </w:r>
      <w:r w:rsidR="008D62F1">
        <w:rPr>
          <w:rFonts w:asciiTheme="minorHAnsi" w:hAnsiTheme="minorHAnsi"/>
        </w:rPr>
        <w:t>. With these sample sizes, we see no decrease in the standard deviation with the addition of more replicates.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4B6EF9E" w:rsidR="00B330BD" w:rsidRPr="00125190" w:rsidRDefault="008D62F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numbers are presented in the methods section, figures, and figure legends. Replicates for infectivity and retrotransposition assays are 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DD4D9C" w:rsidR="0015519A" w:rsidRPr="00505C51" w:rsidRDefault="0004452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</w:t>
      </w:r>
      <w:r w:rsidR="008D62F1">
        <w:rPr>
          <w:rFonts w:asciiTheme="minorHAnsi" w:hAnsiTheme="minorHAnsi"/>
          <w:sz w:val="22"/>
          <w:szCs w:val="22"/>
        </w:rPr>
        <w:t>ing can be found in figures and figure legends. Raw counts of RNA-seq reads are presented as supplemental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54AEF59" w:rsidR="00BC3CCE" w:rsidRPr="00505C51" w:rsidRDefault="008D62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E092758" w:rsidR="00BC3CCE" w:rsidRPr="00505C51" w:rsidRDefault="008D62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accession numbers for the exact sequences and assemblies we analyzed, and we provide other relevant data in the supplement as needed.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E5DA2" w14:textId="77777777" w:rsidR="00152DEF" w:rsidRDefault="00152DEF" w:rsidP="004215FE">
      <w:r>
        <w:separator/>
      </w:r>
    </w:p>
  </w:endnote>
  <w:endnote w:type="continuationSeparator" w:id="0">
    <w:p w14:paraId="1F881C12" w14:textId="77777777" w:rsidR="00152DEF" w:rsidRDefault="00152DE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</w:r>
    <w:r w:rsidRPr="0009520A">
      <w:rPr>
        <w:rStyle w:val="PageNumber"/>
        <w:rFonts w:asciiTheme="minorHAnsi" w:hAnsiTheme="minorHAnsi"/>
        <w:sz w:val="20"/>
        <w:szCs w:val="20"/>
      </w:rPr>
      <w:instrText xml:space="preserve"/>
    </w:r>
    <w:r w:rsidRPr="0009520A">
      <w:rPr>
        <w:rStyle w:val="PageNumber"/>
        <w:rFonts w:asciiTheme="minorHAnsi" w:hAnsiTheme="minorHAnsi"/>
        <w:sz w:val="20"/>
        <w:szCs w:val="20"/>
      </w:rPr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4958E" w14:textId="77777777" w:rsidR="00152DEF" w:rsidRDefault="00152DEF" w:rsidP="004215FE">
      <w:r>
        <w:separator/>
      </w:r>
    </w:p>
  </w:footnote>
  <w:footnote w:type="continuationSeparator" w:id="0">
    <w:p w14:paraId="6E4626A5" w14:textId="77777777" w:rsidR="00152DEF" w:rsidRDefault="00152DE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452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2DEF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62F1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5A2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75724B-3195-4955-8DDA-E349F73E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Rick McLaughlin</cp:lastModifiedBy>
  <cp:revision>2</cp:revision>
  <dcterms:created xsi:type="dcterms:W3CDTF">2020-05-20T06:50:00Z</dcterms:created>
  <dcterms:modified xsi:type="dcterms:W3CDTF">2020-05-20T06:50:00Z</dcterms:modified>
</cp:coreProperties>
</file>