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1EF" w:rsidRDefault="006921EF" w:rsidP="006921EF">
      <w:pPr>
        <w:jc w:val="center"/>
        <w:rPr>
          <w:rFonts w:ascii="Times New Roman" w:hAnsi="Times New Roman" w:cs="Times New Roman"/>
          <w:sz w:val="24"/>
          <w:szCs w:val="24"/>
          <w:lang w:val="en-CA"/>
        </w:rPr>
      </w:pPr>
    </w:p>
    <w:p w:rsidR="007C0209" w:rsidRPr="006F6F4A" w:rsidRDefault="007654EA" w:rsidP="006921EF">
      <w:pPr>
        <w:jc w:val="center"/>
        <w:rPr>
          <w:rFonts w:ascii="Times New Roman" w:hAnsi="Times New Roman" w:cs="Times New Roman"/>
          <w:sz w:val="24"/>
          <w:szCs w:val="24"/>
          <w:lang w:val="en-CA"/>
        </w:rPr>
      </w:pPr>
      <w:r>
        <w:rPr>
          <w:rFonts w:ascii="Times New Roman" w:hAnsi="Times New Roman" w:cs="Times New Roman"/>
          <w:sz w:val="24"/>
          <w:szCs w:val="24"/>
          <w:lang w:val="en-CA"/>
        </w:rPr>
        <w:t xml:space="preserve">Supplementary </w:t>
      </w:r>
      <w:r w:rsidR="006C06EC">
        <w:rPr>
          <w:rFonts w:ascii="Times New Roman" w:hAnsi="Times New Roman" w:cs="Times New Roman"/>
          <w:sz w:val="24"/>
          <w:szCs w:val="24"/>
          <w:lang w:val="en-CA"/>
        </w:rPr>
        <w:t>File</w:t>
      </w:r>
      <w:bookmarkStart w:id="0" w:name="_GoBack"/>
      <w:bookmarkEnd w:id="0"/>
      <w:r w:rsidR="007C0209" w:rsidRPr="006F6F4A">
        <w:rPr>
          <w:rFonts w:ascii="Times New Roman" w:hAnsi="Times New Roman" w:cs="Times New Roman"/>
          <w:sz w:val="24"/>
          <w:szCs w:val="24"/>
          <w:lang w:val="en-CA"/>
        </w:rPr>
        <w:t xml:space="preserve"> 1. Percentage of neutrophil precursors in bone marrow.</w:t>
      </w:r>
    </w:p>
    <w:tbl>
      <w:tblPr>
        <w:tblStyle w:val="TabelaSimples2"/>
        <w:tblW w:w="6793" w:type="dxa"/>
        <w:tblInd w:w="1361" w:type="dxa"/>
        <w:tblLook w:val="04A0" w:firstRow="1" w:lastRow="0" w:firstColumn="1" w:lastColumn="0" w:noHBand="0" w:noVBand="1"/>
      </w:tblPr>
      <w:tblGrid>
        <w:gridCol w:w="2780"/>
        <w:gridCol w:w="1867"/>
        <w:gridCol w:w="167"/>
        <w:gridCol w:w="1785"/>
        <w:gridCol w:w="27"/>
        <w:gridCol w:w="167"/>
      </w:tblGrid>
      <w:tr w:rsidR="009D205A" w:rsidRPr="006C06EC" w:rsidTr="009D205A">
        <w:trPr>
          <w:gridAfter w:val="2"/>
          <w:cnfStyle w:val="100000000000" w:firstRow="1" w:lastRow="0" w:firstColumn="0" w:lastColumn="0" w:oddVBand="0" w:evenVBand="0" w:oddHBand="0" w:evenHBand="0" w:firstRowFirstColumn="0" w:firstRowLastColumn="0" w:lastRowFirstColumn="0" w:lastRowLastColumn="0"/>
          <w:wAfter w:w="194" w:type="dxa"/>
          <w:trHeight w:val="400"/>
        </w:trPr>
        <w:tc>
          <w:tcPr>
            <w:cnfStyle w:val="001000000000" w:firstRow="0" w:lastRow="0" w:firstColumn="1" w:lastColumn="0" w:oddVBand="0" w:evenVBand="0" w:oddHBand="0" w:evenHBand="0" w:firstRowFirstColumn="0" w:firstRowLastColumn="0" w:lastRowFirstColumn="0" w:lastRowLastColumn="0"/>
            <w:tcW w:w="2780" w:type="dxa"/>
            <w:vMerge w:val="restart"/>
            <w:vAlign w:val="center"/>
          </w:tcPr>
          <w:p w:rsidR="009D205A" w:rsidRDefault="009D205A" w:rsidP="009D205A">
            <w:pPr>
              <w:jc w:val="center"/>
              <w:rPr>
                <w:rFonts w:ascii="Times New Roman" w:hAnsi="Times New Roman" w:cs="Times New Roman"/>
                <w:sz w:val="24"/>
                <w:szCs w:val="24"/>
                <w:lang w:val="en-CA"/>
              </w:rPr>
            </w:pPr>
            <w:r>
              <w:rPr>
                <w:rFonts w:ascii="Times New Roman" w:hAnsi="Times New Roman" w:cs="Times New Roman"/>
                <w:sz w:val="24"/>
                <w:szCs w:val="24"/>
                <w:lang w:val="en-CA"/>
              </w:rPr>
              <w:t>Neutrophil</w:t>
            </w:r>
          </w:p>
          <w:p w:rsidR="009D205A" w:rsidRPr="006F6F4A" w:rsidRDefault="009D205A" w:rsidP="009D205A">
            <w:pPr>
              <w:jc w:val="center"/>
              <w:rPr>
                <w:rFonts w:ascii="Times New Roman" w:hAnsi="Times New Roman" w:cs="Times New Roman"/>
                <w:sz w:val="24"/>
                <w:szCs w:val="24"/>
                <w:lang w:val="en-CA"/>
              </w:rPr>
            </w:pPr>
            <w:r>
              <w:rPr>
                <w:rFonts w:ascii="Times New Roman" w:hAnsi="Times New Roman" w:cs="Times New Roman"/>
                <w:sz w:val="24"/>
                <w:szCs w:val="24"/>
                <w:lang w:val="en-CA"/>
              </w:rPr>
              <w:t>precursor</w:t>
            </w:r>
          </w:p>
        </w:tc>
        <w:tc>
          <w:tcPr>
            <w:tcW w:w="3819" w:type="dxa"/>
            <w:gridSpan w:val="3"/>
            <w:vAlign w:val="center"/>
          </w:tcPr>
          <w:p w:rsidR="009D205A" w:rsidRPr="006F6F4A" w:rsidRDefault="009D205A" w:rsidP="009D20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CA"/>
              </w:rPr>
            </w:pPr>
            <w:r w:rsidRPr="006F6F4A">
              <w:rPr>
                <w:rFonts w:ascii="Times New Roman" w:hAnsi="Times New Roman" w:cs="Times New Roman"/>
                <w:sz w:val="24"/>
                <w:szCs w:val="24"/>
                <w:lang w:val="en-CA"/>
              </w:rPr>
              <w:t>Groups</w:t>
            </w:r>
          </w:p>
        </w:tc>
      </w:tr>
      <w:tr w:rsidR="009D205A" w:rsidRPr="006C06EC" w:rsidTr="009D205A">
        <w:trPr>
          <w:gridAfter w:val="1"/>
          <w:cnfStyle w:val="000000100000" w:firstRow="0" w:lastRow="0" w:firstColumn="0" w:lastColumn="0" w:oddVBand="0" w:evenVBand="0" w:oddHBand="1" w:evenHBand="0" w:firstRowFirstColumn="0" w:firstRowLastColumn="0" w:lastRowFirstColumn="0" w:lastRowLastColumn="0"/>
          <w:wAfter w:w="167" w:type="dxa"/>
          <w:trHeight w:val="400"/>
        </w:trPr>
        <w:tc>
          <w:tcPr>
            <w:cnfStyle w:val="001000000000" w:firstRow="0" w:lastRow="0" w:firstColumn="1" w:lastColumn="0" w:oddVBand="0" w:evenVBand="0" w:oddHBand="0" w:evenHBand="0" w:firstRowFirstColumn="0" w:firstRowLastColumn="0" w:lastRowFirstColumn="0" w:lastRowLastColumn="0"/>
            <w:tcW w:w="2780" w:type="dxa"/>
            <w:vMerge/>
            <w:vAlign w:val="center"/>
          </w:tcPr>
          <w:p w:rsidR="009D205A" w:rsidRPr="006F6F4A" w:rsidRDefault="009D205A" w:rsidP="009D205A">
            <w:pPr>
              <w:jc w:val="center"/>
              <w:rPr>
                <w:rFonts w:ascii="Times New Roman" w:hAnsi="Times New Roman" w:cs="Times New Roman"/>
                <w:sz w:val="24"/>
                <w:szCs w:val="24"/>
                <w:lang w:val="en-CA"/>
              </w:rPr>
            </w:pPr>
          </w:p>
        </w:tc>
        <w:tc>
          <w:tcPr>
            <w:tcW w:w="1867" w:type="dxa"/>
            <w:vAlign w:val="center"/>
          </w:tcPr>
          <w:p w:rsidR="009D205A" w:rsidRPr="006F6F4A" w:rsidRDefault="009D205A" w:rsidP="009D20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Control</w:t>
            </w:r>
          </w:p>
        </w:tc>
        <w:tc>
          <w:tcPr>
            <w:tcW w:w="1979" w:type="dxa"/>
            <w:gridSpan w:val="3"/>
            <w:vAlign w:val="center"/>
          </w:tcPr>
          <w:p w:rsidR="009D205A" w:rsidRPr="006F6F4A" w:rsidRDefault="009D205A" w:rsidP="009D20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Ethanol-treated</w:t>
            </w:r>
          </w:p>
        </w:tc>
      </w:tr>
      <w:tr w:rsidR="009D205A" w:rsidRPr="006C06EC" w:rsidTr="009D205A">
        <w:trPr>
          <w:trHeight w:val="377"/>
        </w:trPr>
        <w:tc>
          <w:tcPr>
            <w:cnfStyle w:val="001000000000" w:firstRow="0" w:lastRow="0" w:firstColumn="1" w:lastColumn="0" w:oddVBand="0" w:evenVBand="0" w:oddHBand="0" w:evenHBand="0" w:firstRowFirstColumn="0" w:firstRowLastColumn="0" w:lastRowFirstColumn="0" w:lastRowLastColumn="0"/>
            <w:tcW w:w="2780" w:type="dxa"/>
            <w:vAlign w:val="center"/>
          </w:tcPr>
          <w:p w:rsidR="009D205A" w:rsidRPr="006F6F4A" w:rsidRDefault="009D205A" w:rsidP="009D205A">
            <w:pPr>
              <w:jc w:val="center"/>
              <w:rPr>
                <w:rFonts w:ascii="Times New Roman" w:hAnsi="Times New Roman" w:cs="Times New Roman"/>
                <w:sz w:val="24"/>
                <w:szCs w:val="24"/>
                <w:lang w:val="en-CA"/>
              </w:rPr>
            </w:pPr>
            <w:proofErr w:type="spellStart"/>
            <w:r w:rsidRPr="006F6F4A">
              <w:rPr>
                <w:rFonts w:ascii="Times New Roman" w:hAnsi="Times New Roman" w:cs="Times New Roman"/>
                <w:sz w:val="24"/>
                <w:szCs w:val="24"/>
                <w:lang w:val="en-CA"/>
              </w:rPr>
              <w:t>Promyelocytes</w:t>
            </w:r>
            <w:proofErr w:type="spellEnd"/>
          </w:p>
        </w:tc>
        <w:tc>
          <w:tcPr>
            <w:tcW w:w="2034" w:type="dxa"/>
            <w:gridSpan w:val="2"/>
            <w:vAlign w:val="center"/>
          </w:tcPr>
          <w:p w:rsidR="009D205A" w:rsidRPr="006F6F4A" w:rsidRDefault="009D205A" w:rsidP="009D2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0.333± 0.577</w:t>
            </w:r>
          </w:p>
        </w:tc>
        <w:tc>
          <w:tcPr>
            <w:tcW w:w="1979" w:type="dxa"/>
            <w:gridSpan w:val="3"/>
            <w:vAlign w:val="center"/>
          </w:tcPr>
          <w:p w:rsidR="009D205A" w:rsidRPr="006F6F4A" w:rsidRDefault="009D205A" w:rsidP="009D2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0.333± 0.577</w:t>
            </w:r>
          </w:p>
        </w:tc>
      </w:tr>
      <w:tr w:rsidR="009D205A" w:rsidRPr="006F6F4A" w:rsidTr="009D205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80" w:type="dxa"/>
            <w:vAlign w:val="center"/>
          </w:tcPr>
          <w:p w:rsidR="009D205A" w:rsidRPr="006F6F4A" w:rsidRDefault="009D205A" w:rsidP="009D205A">
            <w:pPr>
              <w:jc w:val="center"/>
              <w:rPr>
                <w:rFonts w:ascii="Times New Roman" w:hAnsi="Times New Roman" w:cs="Times New Roman"/>
                <w:sz w:val="24"/>
                <w:szCs w:val="24"/>
                <w:lang w:val="en-CA"/>
              </w:rPr>
            </w:pPr>
            <w:proofErr w:type="spellStart"/>
            <w:r w:rsidRPr="006F6F4A">
              <w:rPr>
                <w:rFonts w:ascii="Times New Roman" w:hAnsi="Times New Roman" w:cs="Times New Roman"/>
                <w:sz w:val="24"/>
                <w:szCs w:val="24"/>
                <w:lang w:val="en-CA"/>
              </w:rPr>
              <w:t>Myelocytes</w:t>
            </w:r>
            <w:proofErr w:type="spellEnd"/>
          </w:p>
        </w:tc>
        <w:tc>
          <w:tcPr>
            <w:tcW w:w="2034" w:type="dxa"/>
            <w:gridSpan w:val="2"/>
            <w:vAlign w:val="center"/>
          </w:tcPr>
          <w:p w:rsidR="009D205A" w:rsidRPr="006F6F4A" w:rsidRDefault="009D205A" w:rsidP="009D20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0.000± 0.000</w:t>
            </w:r>
          </w:p>
        </w:tc>
        <w:tc>
          <w:tcPr>
            <w:tcW w:w="1979" w:type="dxa"/>
            <w:gridSpan w:val="3"/>
            <w:vAlign w:val="center"/>
          </w:tcPr>
          <w:p w:rsidR="009D205A" w:rsidRPr="006F6F4A" w:rsidRDefault="009D205A" w:rsidP="009D20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0.000± 0.000</w:t>
            </w:r>
          </w:p>
        </w:tc>
      </w:tr>
      <w:tr w:rsidR="009D205A" w:rsidRPr="006F6F4A" w:rsidTr="009D205A">
        <w:trPr>
          <w:trHeight w:val="377"/>
        </w:trPr>
        <w:tc>
          <w:tcPr>
            <w:cnfStyle w:val="001000000000" w:firstRow="0" w:lastRow="0" w:firstColumn="1" w:lastColumn="0" w:oddVBand="0" w:evenVBand="0" w:oddHBand="0" w:evenHBand="0" w:firstRowFirstColumn="0" w:firstRowLastColumn="0" w:lastRowFirstColumn="0" w:lastRowLastColumn="0"/>
            <w:tcW w:w="2780" w:type="dxa"/>
            <w:vAlign w:val="center"/>
          </w:tcPr>
          <w:p w:rsidR="009D205A" w:rsidRPr="006F6F4A" w:rsidRDefault="009D205A" w:rsidP="009D205A">
            <w:pPr>
              <w:jc w:val="center"/>
              <w:rPr>
                <w:rFonts w:ascii="Times New Roman" w:hAnsi="Times New Roman" w:cs="Times New Roman"/>
                <w:sz w:val="24"/>
                <w:szCs w:val="24"/>
                <w:lang w:val="en-CA"/>
              </w:rPr>
            </w:pPr>
            <w:r w:rsidRPr="006F6F4A">
              <w:rPr>
                <w:rFonts w:ascii="Times New Roman" w:hAnsi="Times New Roman" w:cs="Times New Roman"/>
                <w:sz w:val="24"/>
                <w:szCs w:val="24"/>
                <w:lang w:val="en-CA"/>
              </w:rPr>
              <w:t>Metamyelocytes</w:t>
            </w:r>
          </w:p>
        </w:tc>
        <w:tc>
          <w:tcPr>
            <w:tcW w:w="2034" w:type="dxa"/>
            <w:gridSpan w:val="2"/>
            <w:vAlign w:val="center"/>
          </w:tcPr>
          <w:p w:rsidR="009D205A" w:rsidRPr="006F6F4A" w:rsidRDefault="009D205A" w:rsidP="009D2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1.167± 0.289</w:t>
            </w:r>
          </w:p>
        </w:tc>
        <w:tc>
          <w:tcPr>
            <w:tcW w:w="1979" w:type="dxa"/>
            <w:gridSpan w:val="3"/>
            <w:vAlign w:val="center"/>
          </w:tcPr>
          <w:p w:rsidR="009D205A" w:rsidRPr="006F6F4A" w:rsidRDefault="009D205A" w:rsidP="009D2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CA"/>
              </w:rPr>
            </w:pPr>
            <w:r w:rsidRPr="006F6F4A">
              <w:rPr>
                <w:rFonts w:ascii="Times New Roman" w:hAnsi="Times New Roman" w:cs="Times New Roman"/>
                <w:sz w:val="24"/>
                <w:szCs w:val="24"/>
                <w:lang w:val="en-CA"/>
              </w:rPr>
              <w:t>0.833± 1.041</w:t>
            </w:r>
          </w:p>
        </w:tc>
      </w:tr>
    </w:tbl>
    <w:p w:rsidR="007C0209" w:rsidRDefault="007C0209">
      <w:pPr>
        <w:rPr>
          <w:rFonts w:ascii="Times New Roman" w:hAnsi="Times New Roman" w:cs="Times New Roman"/>
          <w:sz w:val="24"/>
          <w:szCs w:val="24"/>
        </w:rPr>
      </w:pPr>
    </w:p>
    <w:p w:rsidR="006921EF" w:rsidRDefault="006921EF">
      <w:pPr>
        <w:rPr>
          <w:rFonts w:ascii="Times New Roman" w:hAnsi="Times New Roman" w:cs="Times New Roman"/>
          <w:sz w:val="24"/>
          <w:szCs w:val="24"/>
        </w:rPr>
      </w:pPr>
    </w:p>
    <w:p w:rsidR="006921EF" w:rsidRPr="005874F8" w:rsidRDefault="006921EF" w:rsidP="006921EF">
      <w:pPr>
        <w:spacing w:after="0" w:line="480" w:lineRule="auto"/>
        <w:ind w:firstLine="708"/>
        <w:jc w:val="both"/>
        <w:rPr>
          <w:rFonts w:ascii="Times New Roman" w:eastAsia="Arial" w:hAnsi="Times New Roman" w:cs="Times New Roman"/>
          <w:sz w:val="24"/>
          <w:szCs w:val="24"/>
          <w:lang w:val="en-CA"/>
        </w:rPr>
      </w:pPr>
      <w:r w:rsidRPr="005874F8">
        <w:rPr>
          <w:rFonts w:ascii="Times New Roman" w:eastAsia="Arial" w:hAnsi="Times New Roman" w:cs="Times New Roman"/>
          <w:sz w:val="24"/>
          <w:szCs w:val="24"/>
          <w:lang w:val="en-CA"/>
        </w:rPr>
        <w:t xml:space="preserve">C57BL/6 mice received ethanol 5% (v/v) in the first week, followed by 10% (v/v) in the second week and treated during 10 weeks with ethanol 20% (v/v) in the drinking water. Control group received water. After ethanol treatment, mice were euthanized and bone marrow (BM) from femurs were collected. Total cell counts were determined by counting in Neubauer chamber and </w:t>
      </w:r>
      <w:r w:rsidR="00EC04B1">
        <w:rPr>
          <w:rFonts w:ascii="Times New Roman" w:eastAsia="Arial" w:hAnsi="Times New Roman" w:cs="Times New Roman"/>
          <w:sz w:val="24"/>
          <w:szCs w:val="24"/>
          <w:lang w:val="en-CA"/>
        </w:rPr>
        <w:t>d</w:t>
      </w:r>
      <w:r w:rsidRPr="005874F8">
        <w:rPr>
          <w:rFonts w:ascii="Times New Roman" w:eastAsia="Arial" w:hAnsi="Times New Roman" w:cs="Times New Roman"/>
          <w:sz w:val="24"/>
          <w:szCs w:val="24"/>
          <w:lang w:val="en-CA"/>
        </w:rPr>
        <w:t xml:space="preserve">ifferential neutrophil precursors count was </w:t>
      </w:r>
      <w:bookmarkStart w:id="1" w:name="30j0zll" w:colFirst="0" w:colLast="0"/>
      <w:bookmarkEnd w:id="1"/>
      <w:r w:rsidRPr="005874F8">
        <w:rPr>
          <w:rFonts w:ascii="Times New Roman" w:eastAsia="Arial" w:hAnsi="Times New Roman" w:cs="Times New Roman"/>
          <w:sz w:val="24"/>
          <w:szCs w:val="24"/>
          <w:lang w:val="en-CA"/>
        </w:rPr>
        <w:t>obtained from cytospin preparations</w:t>
      </w:r>
      <w:r w:rsidR="00EC04B1">
        <w:rPr>
          <w:rFonts w:ascii="Times New Roman" w:eastAsia="Arial" w:hAnsi="Times New Roman" w:cs="Times New Roman"/>
          <w:sz w:val="24"/>
          <w:szCs w:val="24"/>
          <w:lang w:val="en-CA"/>
        </w:rPr>
        <w:t>.</w:t>
      </w:r>
      <w:r w:rsidRPr="005874F8">
        <w:rPr>
          <w:rFonts w:ascii="Times New Roman" w:eastAsia="Arial" w:hAnsi="Times New Roman" w:cs="Times New Roman"/>
          <w:sz w:val="24"/>
          <w:szCs w:val="24"/>
          <w:lang w:val="en-CA"/>
        </w:rPr>
        <w:t xml:space="preserve"> Data are</w:t>
      </w:r>
      <w:r w:rsidR="003F0FC2">
        <w:rPr>
          <w:rFonts w:ascii="Times New Roman" w:eastAsia="Arial" w:hAnsi="Times New Roman" w:cs="Times New Roman"/>
          <w:sz w:val="24"/>
          <w:szCs w:val="24"/>
          <w:lang w:val="en-CA"/>
        </w:rPr>
        <w:t xml:space="preserve"> presented as % of cells ± SD (3</w:t>
      </w:r>
      <w:r w:rsidRPr="005874F8">
        <w:rPr>
          <w:rFonts w:ascii="Times New Roman" w:eastAsia="Arial" w:hAnsi="Times New Roman" w:cs="Times New Roman"/>
          <w:sz w:val="24"/>
          <w:szCs w:val="24"/>
          <w:lang w:val="en-CA"/>
        </w:rPr>
        <w:t xml:space="preserve"> mice per group). </w:t>
      </w:r>
    </w:p>
    <w:p w:rsidR="006921EF" w:rsidRPr="006921EF" w:rsidRDefault="006921EF" w:rsidP="006921EF">
      <w:pPr>
        <w:jc w:val="both"/>
        <w:rPr>
          <w:rFonts w:ascii="Times New Roman" w:hAnsi="Times New Roman" w:cs="Times New Roman"/>
          <w:sz w:val="24"/>
          <w:szCs w:val="24"/>
          <w:lang w:val="en-CA"/>
        </w:rPr>
      </w:pPr>
    </w:p>
    <w:sectPr w:rsidR="006921EF" w:rsidRPr="006921EF" w:rsidSect="000433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09"/>
    <w:rsid w:val="0004330F"/>
    <w:rsid w:val="003F0FC2"/>
    <w:rsid w:val="005874F8"/>
    <w:rsid w:val="005A3172"/>
    <w:rsid w:val="005F20F8"/>
    <w:rsid w:val="006921EF"/>
    <w:rsid w:val="006C06EC"/>
    <w:rsid w:val="006F6F4A"/>
    <w:rsid w:val="00706C2D"/>
    <w:rsid w:val="007654EA"/>
    <w:rsid w:val="007C0209"/>
    <w:rsid w:val="009D205A"/>
    <w:rsid w:val="00CB33B1"/>
    <w:rsid w:val="00D446F3"/>
    <w:rsid w:val="00EC04B1"/>
    <w:rsid w:val="00F84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A325"/>
  <w15:chartTrackingRefBased/>
  <w15:docId w15:val="{4649C21F-1E2B-4980-98D5-909FC336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C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6F6F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650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UFMG</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Naty Oliveira</dc:creator>
  <cp:keywords/>
  <dc:description/>
  <cp:lastModifiedBy>Naty Oliveira</cp:lastModifiedBy>
  <cp:revision>4</cp:revision>
  <dcterms:created xsi:type="dcterms:W3CDTF">2020-06-24T17:23:00Z</dcterms:created>
  <dcterms:modified xsi:type="dcterms:W3CDTF">2020-06-30T16:25:00Z</dcterms:modified>
</cp:coreProperties>
</file>