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80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60"/>
        <w:gridCol w:w="1440"/>
        <w:gridCol w:w="1900"/>
      </w:tblGrid>
      <w:tr w:rsidR="002930FA" w:rsidRPr="002930FA" w14:paraId="7D70C6B8" w14:textId="77777777" w:rsidTr="0062169A">
        <w:trPr>
          <w:trHeight w:val="192"/>
          <w:jc w:val="center"/>
        </w:trPr>
        <w:tc>
          <w:tcPr>
            <w:tcW w:w="6800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F85DCB4" w14:textId="05409560" w:rsidR="002930FA" w:rsidRPr="006E2270" w:rsidRDefault="00AD27E4" w:rsidP="006E2270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</w:rPr>
            </w:pPr>
            <w:r w:rsidRPr="006E2270">
              <w:rPr>
                <w:rFonts w:ascii="Verdana" w:hAnsi="Verdana"/>
                <w:b/>
                <w:sz w:val="18"/>
              </w:rPr>
              <w:t>Supplementa</w:t>
            </w:r>
            <w:r w:rsidR="00942C7F">
              <w:rPr>
                <w:rFonts w:ascii="Verdana" w:hAnsi="Verdana"/>
                <w:b/>
                <w:sz w:val="18"/>
              </w:rPr>
              <w:t>ry</w:t>
            </w:r>
            <w:r w:rsidRPr="006E2270">
              <w:rPr>
                <w:rFonts w:ascii="Verdana" w:hAnsi="Verdana"/>
                <w:b/>
                <w:sz w:val="18"/>
              </w:rPr>
              <w:t xml:space="preserve"> </w:t>
            </w:r>
            <w:r w:rsidR="0038671B">
              <w:rPr>
                <w:rFonts w:ascii="Verdana" w:hAnsi="Verdana"/>
                <w:b/>
                <w:sz w:val="18"/>
              </w:rPr>
              <w:t>file</w:t>
            </w:r>
            <w:r w:rsidRPr="006E2270">
              <w:rPr>
                <w:rFonts w:ascii="Verdana" w:hAnsi="Verdana"/>
                <w:b/>
                <w:sz w:val="18"/>
              </w:rPr>
              <w:t xml:space="preserve"> 1</w:t>
            </w:r>
            <w:r w:rsidR="0038671B">
              <w:rPr>
                <w:rFonts w:ascii="Verdana" w:hAnsi="Verdana"/>
                <w:b/>
                <w:sz w:val="18"/>
              </w:rPr>
              <w:t>A</w:t>
            </w:r>
            <w:r w:rsidR="00D54597" w:rsidRPr="006E2270">
              <w:rPr>
                <w:rFonts w:ascii="Verdana" w:hAnsi="Verdana"/>
                <w:b/>
                <w:sz w:val="18"/>
              </w:rPr>
              <w:t xml:space="preserve">. </w:t>
            </w:r>
            <w:r w:rsidR="006E2270">
              <w:rPr>
                <w:rFonts w:ascii="Verdana" w:hAnsi="Verdana"/>
                <w:b/>
                <w:sz w:val="18"/>
              </w:rPr>
              <w:t>C</w:t>
            </w:r>
            <w:r w:rsidR="00D54597" w:rsidRPr="006E2270">
              <w:rPr>
                <w:rFonts w:ascii="Verdana" w:hAnsi="Verdana"/>
                <w:b/>
                <w:sz w:val="18"/>
              </w:rPr>
              <w:t>haracteristics of participants of the 1st and 2nd study.</w:t>
            </w:r>
          </w:p>
        </w:tc>
      </w:tr>
      <w:tr w:rsidR="002930FA" w:rsidRPr="002930FA" w14:paraId="248E8275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A847F3F" w14:textId="77777777" w:rsidR="002930FA" w:rsidRPr="006E2270" w:rsidRDefault="002930FA" w:rsidP="002930F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127E35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Study 1 </w:t>
            </w:r>
          </w:p>
          <w:p w14:paraId="7880ADCA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(CUMC 1)</w:t>
            </w:r>
          </w:p>
        </w:tc>
        <w:tc>
          <w:tcPr>
            <w:tcW w:w="190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980601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Study 2 </w:t>
            </w:r>
          </w:p>
          <w:p w14:paraId="122B5CA9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(INSERM)</w:t>
            </w:r>
          </w:p>
        </w:tc>
      </w:tr>
      <w:tr w:rsidR="002930FA" w:rsidRPr="002930FA" w14:paraId="5EE6CC82" w14:textId="77777777" w:rsidTr="0062169A">
        <w:trPr>
          <w:trHeight w:val="181"/>
          <w:jc w:val="center"/>
        </w:trPr>
        <w:tc>
          <w:tcPr>
            <w:tcW w:w="346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2F8BCA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Number 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126A38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11</w:t>
            </w:r>
          </w:p>
        </w:tc>
        <w:tc>
          <w:tcPr>
            <w:tcW w:w="190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81DC22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9</w:t>
            </w:r>
          </w:p>
        </w:tc>
      </w:tr>
      <w:tr w:rsidR="002930FA" w:rsidRPr="002930FA" w14:paraId="588EE09E" w14:textId="77777777" w:rsidTr="0062169A">
        <w:trPr>
          <w:trHeight w:val="181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406DFE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C89026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Females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4EEAB4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Females</w:t>
            </w:r>
          </w:p>
        </w:tc>
      </w:tr>
      <w:tr w:rsidR="002930FA" w:rsidRPr="002930FA" w14:paraId="246D10E6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4BF685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Age (years)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3D4674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27.9 ± 0.7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C4869E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26.1 ± 1.0</w:t>
            </w:r>
          </w:p>
        </w:tc>
      </w:tr>
      <w:tr w:rsidR="002930FA" w:rsidRPr="002930FA" w14:paraId="3D504A89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2E158F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BMI (kg/m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position w:val="5"/>
                <w:sz w:val="18"/>
                <w:szCs w:val="18"/>
                <w:vertAlign w:val="superscript"/>
              </w:rPr>
              <w:t>2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FDC5CD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21.8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0.6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99FB73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20.8 ± 0.5</w:t>
            </w:r>
          </w:p>
        </w:tc>
      </w:tr>
      <w:tr w:rsidR="002930FA" w:rsidRPr="002930FA" w14:paraId="38DA5BD7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4848DA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Fasting glucose (mg/dL)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FC04B" w14:textId="77777777" w:rsidR="002930FA" w:rsidRPr="006E2270" w:rsidRDefault="002930FA" w:rsidP="002930FA">
            <w:pPr>
              <w:spacing w:after="0" w:line="240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 xml:space="preserve">79.9 </w:t>
            </w:r>
            <w:r w:rsidRPr="006E2270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</w:rPr>
              <w:t>± 1.3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20C2B5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Calibri" w:hAnsi="Verdana" w:cs="Times New Roman"/>
                <w:color w:val="000000" w:themeColor="text1"/>
                <w:kern w:val="24"/>
                <w:sz w:val="18"/>
                <w:szCs w:val="18"/>
              </w:rPr>
              <w:t>-</w:t>
            </w:r>
          </w:p>
        </w:tc>
      </w:tr>
      <w:tr w:rsidR="002930FA" w:rsidRPr="002930FA" w14:paraId="390425D2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0228E3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Fasting LCN2 (ng/mL)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E767E0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38.5 ± 7.6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88ED4A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74.4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8.8</w:t>
            </w:r>
          </w:p>
        </w:tc>
      </w:tr>
      <w:tr w:rsidR="002930FA" w:rsidRPr="002930FA" w14:paraId="74638953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2BBF87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Peak LCN2 (ng/mL)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5FA0DD" w14:textId="77777777" w:rsidR="002930FA" w:rsidRPr="006E2270" w:rsidRDefault="002930FA" w:rsidP="00932EE8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44.6 ± 7.8</w:t>
            </w:r>
            <w:r w:rsidR="00206F24"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 xml:space="preserve"> (</w:t>
            </w:r>
            <w:r w:rsidR="00932EE8"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‡</w:t>
            </w:r>
            <w:r w:rsidR="00206F24"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AB442E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114.6 ± 16.5</w:t>
            </w:r>
            <w:r w:rsidR="00206F24"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 (*)</w:t>
            </w:r>
          </w:p>
        </w:tc>
      </w:tr>
      <w:tr w:rsidR="002930FA" w:rsidRPr="002930FA" w14:paraId="494E0914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835A8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Times New Roman" w:hAnsi="Verdana" w:cs="Calibri"/>
                <w:color w:val="000000"/>
                <w:kern w:val="24"/>
                <w:sz w:val="18"/>
                <w:szCs w:val="18"/>
              </w:rPr>
              <w:t>Change from baseline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4F354A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16%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BC27C2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54%</w:t>
            </w:r>
          </w:p>
        </w:tc>
      </w:tr>
      <w:tr w:rsidR="002930FA" w:rsidRPr="002930FA" w14:paraId="23B716B8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BF28AB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Fasting GLP-1 (ng/mL)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88113F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51.9 ± 3.5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0A71A8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11.9 ± 2.0</w:t>
            </w:r>
          </w:p>
        </w:tc>
      </w:tr>
      <w:tr w:rsidR="002930FA" w:rsidRPr="002930FA" w14:paraId="410A38C7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EF5EC5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Peak GLP-1 (ng/mL)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1381D0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85.5 ± 5.5</w:t>
            </w:r>
            <w:r w:rsidR="00206F24"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 xml:space="preserve"> (*)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67BEA9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18.0 ± 2.0</w:t>
            </w:r>
            <w:r w:rsidR="00206F24"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 (*)</w:t>
            </w:r>
          </w:p>
        </w:tc>
      </w:tr>
      <w:tr w:rsidR="002930FA" w:rsidRPr="002930FA" w14:paraId="644387FC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310CE6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Times New Roman" w:hAnsi="Verdana" w:cs="Calibri"/>
                <w:color w:val="000000"/>
                <w:kern w:val="24"/>
                <w:sz w:val="18"/>
                <w:szCs w:val="18"/>
              </w:rPr>
              <w:t>Change from baseline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C8AEE5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65%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EA4AC8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90%</w:t>
            </w:r>
          </w:p>
        </w:tc>
      </w:tr>
      <w:tr w:rsidR="002930FA" w:rsidRPr="002930FA" w14:paraId="0F660A34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C4CAA2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Major GLP-1 change at (min)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9E5489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1DE1A3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60</w:t>
            </w:r>
          </w:p>
        </w:tc>
      </w:tr>
      <w:tr w:rsidR="002930FA" w:rsidRPr="002930FA" w14:paraId="36843C63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A21427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Major LCN2 change at (min)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EBFCE6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51F080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60</w:t>
            </w:r>
          </w:p>
        </w:tc>
      </w:tr>
      <w:tr w:rsidR="002930FA" w:rsidRPr="002930FA" w14:paraId="193EBCA7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0D6C4C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Fasting insulin (mIU/mL)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05A47" w14:textId="77777777" w:rsidR="002930FA" w:rsidRPr="006E2270" w:rsidRDefault="002930FA" w:rsidP="002930FA">
            <w:pPr>
              <w:spacing w:after="0" w:line="240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 xml:space="preserve">1.6 </w:t>
            </w:r>
            <w:r w:rsidRPr="006E2270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</w:rPr>
              <w:t>± 0.3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94383F" w14:textId="77777777" w:rsidR="002930FA" w:rsidRPr="006E2270" w:rsidRDefault="002930FA" w:rsidP="002930FA">
            <w:pPr>
              <w:spacing w:after="0" w:line="240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/>
                <w:color w:val="000000"/>
                <w:kern w:val="24"/>
                <w:sz w:val="18"/>
                <w:szCs w:val="18"/>
              </w:rPr>
              <w:t>8.9 ± 1.9</w:t>
            </w:r>
          </w:p>
        </w:tc>
      </w:tr>
      <w:tr w:rsidR="002930FA" w:rsidRPr="002930FA" w14:paraId="09931460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D81E80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Peak insulin (mIU/mL)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6C114" w14:textId="77777777" w:rsidR="002930FA" w:rsidRPr="006E2270" w:rsidRDefault="002930FA" w:rsidP="002930FA">
            <w:pPr>
              <w:spacing w:after="0" w:line="240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 xml:space="preserve">9.2 </w:t>
            </w:r>
            <w:r w:rsidRPr="006E2270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</w:rPr>
              <w:t>± 2.6</w:t>
            </w:r>
            <w:r w:rsidR="00206F24" w:rsidRPr="006E2270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</w:rPr>
              <w:t xml:space="preserve"> (*)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FA1F65" w14:textId="77777777" w:rsidR="002930FA" w:rsidRPr="006E2270" w:rsidRDefault="002930FA" w:rsidP="002930FA">
            <w:pPr>
              <w:spacing w:after="0" w:line="240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/>
                <w:color w:val="000000"/>
                <w:kern w:val="24"/>
                <w:sz w:val="18"/>
                <w:szCs w:val="18"/>
              </w:rPr>
              <w:t>65.4 ± 16.4</w:t>
            </w:r>
            <w:r w:rsidR="00206F24" w:rsidRPr="006E2270">
              <w:rPr>
                <w:rFonts w:ascii="Verdana" w:eastAsia="Verdana" w:hAnsi="Verdana"/>
                <w:color w:val="000000"/>
                <w:kern w:val="24"/>
                <w:sz w:val="18"/>
                <w:szCs w:val="18"/>
              </w:rPr>
              <w:t xml:space="preserve"> (*)</w:t>
            </w:r>
          </w:p>
        </w:tc>
      </w:tr>
      <w:tr w:rsidR="002930FA" w:rsidRPr="002930FA" w14:paraId="3B365031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816091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Change from baseline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6295A3" w14:textId="77777777" w:rsidR="002930FA" w:rsidRPr="006E2270" w:rsidRDefault="002930FA" w:rsidP="002930FA">
            <w:pPr>
              <w:spacing w:after="0" w:line="240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/>
                <w:color w:val="000000"/>
                <w:kern w:val="24"/>
                <w:sz w:val="18"/>
                <w:szCs w:val="18"/>
              </w:rPr>
              <w:t>473%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134476" w14:textId="77777777" w:rsidR="002930FA" w:rsidRPr="006E2270" w:rsidRDefault="002930FA" w:rsidP="002930FA">
            <w:pPr>
              <w:spacing w:after="0" w:line="240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/>
                <w:color w:val="000000"/>
                <w:kern w:val="24"/>
                <w:sz w:val="18"/>
                <w:szCs w:val="18"/>
              </w:rPr>
              <w:t>659%</w:t>
            </w:r>
          </w:p>
        </w:tc>
      </w:tr>
      <w:tr w:rsidR="002930FA" w:rsidRPr="002930FA" w14:paraId="67BF9456" w14:textId="77777777" w:rsidTr="0062169A">
        <w:trPr>
          <w:trHeight w:val="192"/>
          <w:jc w:val="center"/>
        </w:trPr>
        <w:tc>
          <w:tcPr>
            <w:tcW w:w="346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AF2A30" w14:textId="77777777" w:rsidR="002930FA" w:rsidRPr="006E2270" w:rsidRDefault="002930FA" w:rsidP="002930FA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Major insulin change at (min)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F24ABB" w14:textId="77777777" w:rsidR="002930FA" w:rsidRPr="006E2270" w:rsidRDefault="002930FA" w:rsidP="002930FA">
            <w:pPr>
              <w:spacing w:after="0" w:line="240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/>
                <w:color w:val="000000"/>
                <w:kern w:val="24"/>
                <w:sz w:val="18"/>
                <w:szCs w:val="18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29B2DC" w14:textId="77777777" w:rsidR="002930FA" w:rsidRPr="006E2270" w:rsidRDefault="002930FA" w:rsidP="002930F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Calibri" w:hAnsi="Verdana" w:cs="Times New Roman"/>
                <w:color w:val="000000" w:themeColor="text1"/>
                <w:kern w:val="24"/>
                <w:sz w:val="18"/>
                <w:szCs w:val="18"/>
              </w:rPr>
              <w:t>60</w:t>
            </w:r>
          </w:p>
        </w:tc>
      </w:tr>
      <w:tr w:rsidR="002930FA" w:rsidRPr="006E2270" w14:paraId="19433BFD" w14:textId="77777777" w:rsidTr="0062169A">
        <w:trPr>
          <w:trHeight w:val="1231"/>
          <w:jc w:val="center"/>
        </w:trPr>
        <w:tc>
          <w:tcPr>
            <w:tcW w:w="6800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AA8F2B" w14:textId="77777777" w:rsidR="002930FA" w:rsidRPr="006E2270" w:rsidRDefault="00D54597" w:rsidP="00D54597">
            <w:pPr>
              <w:spacing w:after="0" w:line="240" w:lineRule="auto"/>
              <w:jc w:val="both"/>
              <w:textAlignment w:val="bottom"/>
              <w:rPr>
                <w:rFonts w:ascii="Verdana" w:eastAsia="Times New Roman" w:hAnsi="Verdana" w:cs="Arial"/>
                <w:sz w:val="18"/>
                <w:szCs w:val="36"/>
              </w:rPr>
            </w:pPr>
            <w:r w:rsidRPr="006E2270">
              <w:rPr>
                <w:rFonts w:ascii="Verdana" w:hAnsi="Verdana"/>
                <w:sz w:val="18"/>
              </w:rPr>
              <w:t xml:space="preserve">Contains raw (i.e. non-transformed data) based on which % change of postprandial concentrations was calculated. Values represent mean ± SEM. * indicates P&lt;0.05 and ‡ indicates P&lt;0.06 versus fasting state for each protein with two-tailed Student’s t-, Wilcoxon or Mann Whitney tests.  </w:t>
            </w:r>
            <w:r w:rsidRPr="006E2270">
              <w:rPr>
                <w:rFonts w:ascii="Verdana" w:hAnsi="Verdana"/>
                <w:i/>
                <w:sz w:val="18"/>
              </w:rPr>
              <w:t>BMI = Body Mass Index, GLP-1 = Glucagon-like peptide 1, LCN2 = Lipocalin-2, IU=International Units.</w:t>
            </w:r>
          </w:p>
        </w:tc>
      </w:tr>
    </w:tbl>
    <w:p w14:paraId="43612ACF" w14:textId="77777777" w:rsidR="002930FA" w:rsidRDefault="002930FA"/>
    <w:p w14:paraId="01B40F22" w14:textId="77777777" w:rsidR="00AD27E4" w:rsidRPr="0062169A" w:rsidRDefault="002930FA" w:rsidP="00595EA5">
      <w:r>
        <w:br w:type="page"/>
      </w:r>
    </w:p>
    <w:tbl>
      <w:tblPr>
        <w:tblW w:w="1002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20"/>
        <w:gridCol w:w="1760"/>
        <w:gridCol w:w="1880"/>
        <w:gridCol w:w="3268"/>
      </w:tblGrid>
      <w:tr w:rsidR="0089546C" w:rsidRPr="0089546C" w14:paraId="62E57BC2" w14:textId="77777777" w:rsidTr="006E2270">
        <w:trPr>
          <w:trHeight w:val="216"/>
          <w:jc w:val="center"/>
        </w:trPr>
        <w:tc>
          <w:tcPr>
            <w:tcW w:w="10028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6CD2F2" w14:textId="4D9180D6" w:rsidR="008221F6" w:rsidRPr="006E2270" w:rsidRDefault="008221F6" w:rsidP="0062169A">
            <w:pPr>
              <w:spacing w:after="0"/>
              <w:rPr>
                <w:rFonts w:ascii="Verdana" w:hAnsi="Verdana"/>
                <w:b/>
                <w:sz w:val="24"/>
              </w:rPr>
            </w:pPr>
            <w:r w:rsidRPr="006E2270">
              <w:rPr>
                <w:rFonts w:ascii="Verdana" w:hAnsi="Verdana"/>
                <w:b/>
                <w:sz w:val="18"/>
              </w:rPr>
              <w:lastRenderedPageBreak/>
              <w:t>Supplementa</w:t>
            </w:r>
            <w:r w:rsidR="00942C7F">
              <w:rPr>
                <w:rFonts w:ascii="Verdana" w:hAnsi="Verdana"/>
                <w:b/>
                <w:sz w:val="18"/>
              </w:rPr>
              <w:t>ry</w:t>
            </w:r>
            <w:r w:rsidRPr="006E2270">
              <w:rPr>
                <w:rFonts w:ascii="Verdana" w:hAnsi="Verdana"/>
                <w:b/>
                <w:sz w:val="18"/>
              </w:rPr>
              <w:t xml:space="preserve"> </w:t>
            </w:r>
            <w:r w:rsidR="0038671B">
              <w:rPr>
                <w:rFonts w:ascii="Verdana" w:hAnsi="Verdana"/>
                <w:b/>
                <w:sz w:val="18"/>
              </w:rPr>
              <w:t>file</w:t>
            </w:r>
            <w:r w:rsidRPr="006E2270">
              <w:rPr>
                <w:rFonts w:ascii="Verdana" w:hAnsi="Verdana"/>
                <w:b/>
                <w:sz w:val="18"/>
              </w:rPr>
              <w:t xml:space="preserve"> </w:t>
            </w:r>
            <w:r w:rsidR="0038671B">
              <w:rPr>
                <w:rFonts w:ascii="Verdana" w:hAnsi="Verdana"/>
                <w:b/>
                <w:sz w:val="18"/>
              </w:rPr>
              <w:t>1B</w:t>
            </w:r>
            <w:r w:rsidR="0062169A" w:rsidRPr="006E2270">
              <w:rPr>
                <w:rFonts w:ascii="Verdana" w:hAnsi="Verdana"/>
                <w:b/>
                <w:sz w:val="18"/>
              </w:rPr>
              <w:t xml:space="preserve">. </w:t>
            </w:r>
            <w:r w:rsidR="0062169A" w:rsidRPr="006E2270">
              <w:rPr>
                <w:rFonts w:ascii="Verdana" w:hAnsi="Verdana"/>
                <w:b/>
                <w:bCs/>
                <w:sz w:val="18"/>
              </w:rPr>
              <w:t>Characteristics of study participants of the 3</w:t>
            </w:r>
            <w:r w:rsidR="0062169A" w:rsidRPr="006E2270">
              <w:rPr>
                <w:rFonts w:ascii="Verdana" w:hAnsi="Verdana"/>
                <w:b/>
                <w:bCs/>
                <w:sz w:val="18"/>
                <w:vertAlign w:val="superscript"/>
              </w:rPr>
              <w:t>rd</w:t>
            </w:r>
            <w:r w:rsidR="0062169A" w:rsidRPr="006E2270">
              <w:rPr>
                <w:rFonts w:ascii="Verdana" w:hAnsi="Verdana"/>
                <w:b/>
                <w:bCs/>
                <w:sz w:val="18"/>
              </w:rPr>
              <w:t xml:space="preserve"> study.</w:t>
            </w:r>
          </w:p>
        </w:tc>
      </w:tr>
      <w:tr w:rsidR="0089546C" w:rsidRPr="0089546C" w14:paraId="04BD49CA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C9A642" w14:textId="77777777" w:rsidR="0089546C" w:rsidRPr="006E2270" w:rsidRDefault="0089546C" w:rsidP="0089546C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6908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FBF138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Study 3</w:t>
            </w:r>
          </w:p>
          <w:p w14:paraId="7E61B081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(Rutgers)</w:t>
            </w:r>
          </w:p>
        </w:tc>
      </w:tr>
      <w:tr w:rsidR="0089546C" w:rsidRPr="0089546C" w14:paraId="3CD45B5E" w14:textId="77777777" w:rsidTr="006E2270">
        <w:trPr>
          <w:trHeight w:val="204"/>
          <w:jc w:val="center"/>
        </w:trPr>
        <w:tc>
          <w:tcPr>
            <w:tcW w:w="312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C486D9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 xml:space="preserve">Number </w:t>
            </w:r>
          </w:p>
        </w:tc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762313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47 (R:25, NR 22)</w:t>
            </w:r>
          </w:p>
        </w:tc>
        <w:tc>
          <w:tcPr>
            <w:tcW w:w="188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2C6DA4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28 (R: 15, NR: 13)</w:t>
            </w:r>
          </w:p>
        </w:tc>
        <w:tc>
          <w:tcPr>
            <w:tcW w:w="3268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76E8F9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19 (R: 10, NR:9)</w:t>
            </w:r>
          </w:p>
        </w:tc>
      </w:tr>
      <w:tr w:rsidR="0089546C" w:rsidRPr="0089546C" w14:paraId="23659BFF" w14:textId="77777777" w:rsidTr="006E2270">
        <w:trPr>
          <w:trHeight w:val="20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C206DB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 xml:space="preserve">Gender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8DD400" w14:textId="77777777" w:rsidR="0089546C" w:rsidRPr="006E2270" w:rsidRDefault="00E44E28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Mixed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0AF90A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Females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00C3D4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Males</w:t>
            </w:r>
          </w:p>
        </w:tc>
      </w:tr>
      <w:tr w:rsidR="0089546C" w:rsidRPr="0089546C" w14:paraId="41C369C5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1E4268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Age (years)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E64F2B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32.1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</w:t>
            </w:r>
            <w:r w:rsidR="008611EE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4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 </w:t>
            </w:r>
          </w:p>
          <w:p w14:paraId="41781816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32.8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2.6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40DA63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36.4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3.5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 </w:t>
            </w:r>
          </w:p>
          <w:p w14:paraId="4E06CC00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35.6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3.9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CCF323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25.7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2.0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 </w:t>
            </w:r>
          </w:p>
          <w:p w14:paraId="52988F6F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28.7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2.7</w:t>
            </w:r>
          </w:p>
        </w:tc>
      </w:tr>
      <w:tr w:rsidR="0089546C" w:rsidRPr="0089546C" w14:paraId="7F8CC54F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BD793F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BMI (kg/m</w:t>
            </w: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position w:val="5"/>
                <w:sz w:val="18"/>
                <w:szCs w:val="18"/>
                <w:vertAlign w:val="superscript"/>
              </w:rPr>
              <w:t>2</w:t>
            </w: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E10EB8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28.2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0.</w:t>
            </w:r>
            <w:r w:rsidR="008611EE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6</w:t>
            </w:r>
          </w:p>
          <w:p w14:paraId="77FEA8D2" w14:textId="77777777" w:rsidR="0089546C" w:rsidRPr="006E2270" w:rsidRDefault="0089546C" w:rsidP="008611EE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29.2 ± 0.</w:t>
            </w:r>
            <w:r w:rsidR="008611EE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7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9F6EF4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27.9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0.7</w:t>
            </w:r>
          </w:p>
          <w:p w14:paraId="227091C9" w14:textId="77777777" w:rsidR="0089546C" w:rsidRPr="006E2270" w:rsidRDefault="0089546C" w:rsidP="000D406E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30.0 ± 1.1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958B55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28.7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1.3</w:t>
            </w:r>
          </w:p>
          <w:p w14:paraId="2B0F2860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28.1 ± 0.9</w:t>
            </w:r>
          </w:p>
        </w:tc>
      </w:tr>
      <w:tr w:rsidR="0089546C" w:rsidRPr="0089546C" w14:paraId="313C925B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7A711E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% Body Fat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526AD5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26.4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1.</w:t>
            </w:r>
            <w:r w:rsidR="0081092F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4</w:t>
            </w:r>
          </w:p>
          <w:p w14:paraId="1ED94C8A" w14:textId="77777777" w:rsidR="0089546C" w:rsidRPr="006E2270" w:rsidRDefault="0089546C" w:rsidP="0081092F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28.2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1.</w:t>
            </w:r>
            <w:r w:rsidR="0081092F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5A17D6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29.4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1.7</w:t>
            </w:r>
          </w:p>
          <w:p w14:paraId="48512E14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32.1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1.6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619E16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22.1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2.0</w:t>
            </w:r>
          </w:p>
          <w:p w14:paraId="54FAB69D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22.6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1.8</w:t>
            </w:r>
          </w:p>
        </w:tc>
      </w:tr>
      <w:tr w:rsidR="0089546C" w:rsidRPr="0089546C" w14:paraId="32C8F562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C7876B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WC (cm)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A31653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94.6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</w:t>
            </w:r>
            <w:r w:rsidR="00D366DE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0</w:t>
            </w:r>
          </w:p>
          <w:p w14:paraId="7B9C2AC4" w14:textId="77777777" w:rsidR="0089546C" w:rsidRPr="006E2270" w:rsidRDefault="0089546C" w:rsidP="00D366DE">
            <w:pPr>
              <w:spacing w:after="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102.4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3.</w:t>
            </w:r>
            <w:bookmarkStart w:id="0" w:name="OLE_LINK2"/>
            <w:r w:rsidR="00D366DE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4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(†)</w:t>
            </w:r>
            <w:bookmarkEnd w:id="0"/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219F62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92.3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2.5</w:t>
            </w:r>
          </w:p>
          <w:p w14:paraId="71EC47F1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104.0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5.4(*)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90E47C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98.2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3.7</w:t>
            </w:r>
          </w:p>
          <w:p w14:paraId="219A2D4F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100.1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4.9</w:t>
            </w:r>
          </w:p>
        </w:tc>
      </w:tr>
      <w:tr w:rsidR="0089546C" w:rsidRPr="0089546C" w14:paraId="6BE2BC98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7A8797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SBP (mm Hg)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B0A7A4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110.0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 xml:space="preserve">± </w:t>
            </w:r>
            <w:r w:rsidR="0079329B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2.8</w:t>
            </w:r>
          </w:p>
          <w:p w14:paraId="411BF4C0" w14:textId="77777777" w:rsidR="0089546C" w:rsidRPr="006E2270" w:rsidRDefault="0089546C" w:rsidP="0079329B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107.9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 3.</w:t>
            </w:r>
            <w:r w:rsidR="0079329B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5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89501A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110.9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3.7</w:t>
            </w:r>
          </w:p>
          <w:p w14:paraId="76D2D3ED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105.0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 3.5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192D2D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108.6 </w:t>
            </w:r>
            <w:r w:rsidR="005129ED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5.2</w:t>
            </w:r>
          </w:p>
          <w:p w14:paraId="0DE6D76A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112.0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 7.9</w:t>
            </w:r>
          </w:p>
        </w:tc>
      </w:tr>
      <w:tr w:rsidR="0089546C" w:rsidRPr="0089546C" w14:paraId="1C46D8A3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6A112C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DBP (mm Hg)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21ABDD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81.8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</w:t>
            </w:r>
            <w:r w:rsidR="00CE2CCA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0</w:t>
            </w:r>
          </w:p>
          <w:p w14:paraId="3ACAFFE6" w14:textId="77777777" w:rsidR="0089546C" w:rsidRPr="006E2270" w:rsidRDefault="0089546C" w:rsidP="00CE2CCA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83.6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</w:t>
            </w:r>
            <w:r w:rsidR="00CE2CCA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C7E064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79.1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2.1</w:t>
            </w:r>
          </w:p>
          <w:p w14:paraId="46F81AE5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83.3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3.8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2C905E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86.0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4.1</w:t>
            </w:r>
          </w:p>
          <w:p w14:paraId="43AB436F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84.0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3.1</w:t>
            </w:r>
          </w:p>
        </w:tc>
      </w:tr>
      <w:tr w:rsidR="0089546C" w:rsidRPr="0089546C" w14:paraId="6E4B0160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F19A7D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Fasting Glucose (mg/dL)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C08CDF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92.2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1.</w:t>
            </w:r>
            <w:r w:rsidR="00971788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4</w:t>
            </w:r>
          </w:p>
          <w:p w14:paraId="2CE90A39" w14:textId="77777777" w:rsidR="0089546C" w:rsidRPr="006E2270" w:rsidRDefault="0089546C" w:rsidP="00971788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94.5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 xml:space="preserve">± </w:t>
            </w:r>
            <w:r w:rsidR="00971788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1.9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3A03ED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93.5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1.9</w:t>
            </w:r>
          </w:p>
          <w:p w14:paraId="63B55F0E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95.6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3.2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0C92A0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90.3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2.4</w:t>
            </w:r>
          </w:p>
          <w:p w14:paraId="3D61DC3E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92.8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2.4</w:t>
            </w:r>
          </w:p>
        </w:tc>
      </w:tr>
      <w:tr w:rsidR="0089546C" w:rsidRPr="0089546C" w14:paraId="042166FB" w14:textId="77777777" w:rsidTr="006E2270">
        <w:trPr>
          <w:trHeight w:val="537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80AB52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Fasting Lipocalin-2 (ng/mL)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3954E9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34.7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4.1</w:t>
            </w:r>
          </w:p>
          <w:p w14:paraId="677B4C9A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37.6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2.8</w:t>
            </w:r>
            <w:r w:rsidR="00587128"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(†)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36A79C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33.0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3.6</w:t>
            </w:r>
          </w:p>
          <w:p w14:paraId="4BC8C238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39.4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4.2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CFC12C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37.1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8.9</w:t>
            </w:r>
          </w:p>
          <w:p w14:paraId="1032B39E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35.1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3.1</w:t>
            </w:r>
          </w:p>
        </w:tc>
      </w:tr>
      <w:tr w:rsidR="0089546C" w:rsidRPr="0089546C" w14:paraId="5283A2ED" w14:textId="77777777" w:rsidTr="006E2270">
        <w:trPr>
          <w:trHeight w:val="537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784F9A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Peak Lipocalin-2 (ng/mL)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92850F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38.8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4.</w:t>
            </w:r>
            <w:r w:rsidR="007E6735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9</w:t>
            </w:r>
          </w:p>
          <w:p w14:paraId="7A07808A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30.5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2.2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DB2426" w14:textId="77777777" w:rsidR="0089546C" w:rsidRPr="006E2270" w:rsidRDefault="0089546C" w:rsidP="0089546C">
            <w:pPr>
              <w:spacing w:after="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36.3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4.</w:t>
            </w:r>
            <w:r w:rsidR="00D13B73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2</w:t>
            </w:r>
          </w:p>
          <w:p w14:paraId="4E067C94" w14:textId="77777777" w:rsidR="0089546C" w:rsidRPr="006E2270" w:rsidRDefault="0089546C" w:rsidP="00D13B73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30.</w:t>
            </w:r>
            <w:r w:rsidR="00D13B73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7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3.5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E60B23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42.7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10.4</w:t>
            </w:r>
          </w:p>
          <w:p w14:paraId="39462198" w14:textId="77777777" w:rsidR="0089546C" w:rsidRPr="006E2270" w:rsidRDefault="0089546C" w:rsidP="00D13B73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</w:t>
            </w:r>
            <w:r w:rsidR="00D13B73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29.7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 xml:space="preserve">± </w:t>
            </w:r>
            <w:r w:rsidR="00D13B73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3.0</w:t>
            </w:r>
          </w:p>
        </w:tc>
      </w:tr>
      <w:tr w:rsidR="0089546C" w:rsidRPr="0089546C" w14:paraId="487F5AF8" w14:textId="77777777" w:rsidTr="006E2270">
        <w:trPr>
          <w:trHeight w:val="537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0E4EB8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Change from baseline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EE9C8C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R: +12%</w:t>
            </w:r>
          </w:p>
          <w:p w14:paraId="16F86713" w14:textId="7CEC7FA6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NR: -1</w:t>
            </w:r>
            <w:r w:rsidR="00E239B5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9</w:t>
            </w: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%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9710EE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 xml:space="preserve">R: +10% </w:t>
            </w:r>
          </w:p>
          <w:p w14:paraId="087160D1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NR: -22%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9BEA0D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R: +15%</w:t>
            </w:r>
          </w:p>
          <w:p w14:paraId="786EAA12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NR: -16%</w:t>
            </w:r>
          </w:p>
        </w:tc>
      </w:tr>
      <w:tr w:rsidR="0089546C" w:rsidRPr="0089546C" w14:paraId="419813B2" w14:textId="77777777" w:rsidTr="006E2270">
        <w:trPr>
          <w:trHeight w:val="632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D1A6CC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Major LCN2 change at (min)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F8BD9E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R: 60</w:t>
            </w:r>
          </w:p>
          <w:p w14:paraId="4A8F4A9D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 xml:space="preserve">NR: 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60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2E3862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>R: 60</w:t>
            </w:r>
          </w:p>
          <w:p w14:paraId="6635EF27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 xml:space="preserve">NR: 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60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248635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 xml:space="preserve">R: 60 </w:t>
            </w:r>
          </w:p>
          <w:p w14:paraId="1A3D6D55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color w:val="000000"/>
                <w:kern w:val="24"/>
                <w:sz w:val="18"/>
                <w:szCs w:val="18"/>
              </w:rPr>
              <w:t xml:space="preserve">NR: 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90 </w:t>
            </w:r>
          </w:p>
        </w:tc>
      </w:tr>
      <w:tr w:rsidR="0089546C" w:rsidRPr="0089546C" w14:paraId="51269509" w14:textId="77777777" w:rsidTr="006E2270">
        <w:trPr>
          <w:trHeight w:val="537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3867E3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Fasting GLP-1 (ng/mL)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F6293C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81.3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6.1</w:t>
            </w:r>
          </w:p>
          <w:p w14:paraId="2698BE5D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75.1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7.1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CBBEEA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73.</w:t>
            </w:r>
            <w:r w:rsidR="00014091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8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7.4</w:t>
            </w:r>
          </w:p>
          <w:p w14:paraId="3F67FBA3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69.0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8.6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2D73E2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93.3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9.9</w:t>
            </w:r>
          </w:p>
          <w:p w14:paraId="51C36C82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81.7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11.6</w:t>
            </w:r>
          </w:p>
        </w:tc>
      </w:tr>
      <w:tr w:rsidR="0089546C" w:rsidRPr="0089546C" w14:paraId="1177C2C6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3063FE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Peak GLP-1 (ng/mL)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78EC6D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11</w:t>
            </w:r>
            <w:r w:rsidR="00014091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5.0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7.</w:t>
            </w:r>
            <w:r w:rsidR="00014091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1</w:t>
            </w:r>
          </w:p>
          <w:p w14:paraId="1912F3AE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97.0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7.6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1B2B36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113.0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8.5</w:t>
            </w:r>
          </w:p>
          <w:p w14:paraId="385577A8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104.2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13.2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DC34FC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114.7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12.3</w:t>
            </w:r>
          </w:p>
          <w:p w14:paraId="37E96FEE" w14:textId="77777777" w:rsidR="0089546C" w:rsidRPr="006E2270" w:rsidRDefault="0089546C" w:rsidP="00014091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96.</w:t>
            </w:r>
            <w:r w:rsidR="00014091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3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11.6</w:t>
            </w:r>
          </w:p>
        </w:tc>
      </w:tr>
      <w:tr w:rsidR="0089546C" w:rsidRPr="0089546C" w14:paraId="216C0F1E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77DA15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Change from baseline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F61B4B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+4</w:t>
            </w:r>
            <w:r w:rsidR="00014091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1</w:t>
            </w: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%</w:t>
            </w:r>
          </w:p>
          <w:p w14:paraId="5681C08C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gramStart"/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NR:+</w:t>
            </w:r>
            <w:proofErr w:type="gramEnd"/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29%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C48C75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+53%</w:t>
            </w:r>
          </w:p>
          <w:p w14:paraId="714D36EC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+51%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40F472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+23%</w:t>
            </w:r>
          </w:p>
          <w:p w14:paraId="68EE84DD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+18%</w:t>
            </w:r>
          </w:p>
        </w:tc>
      </w:tr>
      <w:tr w:rsidR="0089546C" w:rsidRPr="0089546C" w14:paraId="730CE4C0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8CBCE7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Major GLP-1 change at (min)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37BCF0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90</w:t>
            </w:r>
          </w:p>
          <w:p w14:paraId="705826EA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120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D9D626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90</w:t>
            </w:r>
          </w:p>
          <w:p w14:paraId="3FF91C16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90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B75F3E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90</w:t>
            </w:r>
          </w:p>
          <w:p w14:paraId="5FCDBE5D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120</w:t>
            </w:r>
          </w:p>
        </w:tc>
      </w:tr>
      <w:tr w:rsidR="0089546C" w:rsidRPr="0089546C" w14:paraId="7D3D7B09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B09A54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i/>
                <w:iCs/>
                <w:color w:val="000000"/>
                <w:kern w:val="24"/>
                <w:sz w:val="18"/>
                <w:szCs w:val="18"/>
              </w:rPr>
              <w:t>Fasting insulin (mIU/mL)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1D56AB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17.2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1.</w:t>
            </w:r>
            <w:r w:rsidR="00014091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3</w:t>
            </w:r>
          </w:p>
          <w:p w14:paraId="5A92A2E7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15.9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1.4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806E61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17.9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2.0</w:t>
            </w:r>
          </w:p>
          <w:p w14:paraId="48175FBF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16.3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2.0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C0FA6D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16.1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1.4</w:t>
            </w:r>
          </w:p>
          <w:p w14:paraId="5D5411D8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15.3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2.1</w:t>
            </w:r>
          </w:p>
        </w:tc>
      </w:tr>
      <w:tr w:rsidR="0089546C" w:rsidRPr="0089546C" w14:paraId="61D5747A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A5F3DE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Peak insulin (mIU/mL)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895F32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81.7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7.5</w:t>
            </w:r>
          </w:p>
          <w:p w14:paraId="3015C8F2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96.1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14.6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CAC634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86.6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10.8</w:t>
            </w:r>
          </w:p>
          <w:p w14:paraId="54228E02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107.2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16.1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AEC9C1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R: 74.4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9.9</w:t>
            </w:r>
          </w:p>
          <w:p w14:paraId="687EC196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 xml:space="preserve">NR: 83.9 </w:t>
            </w:r>
            <w:r w:rsidRPr="006E2270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</w:rPr>
              <w:t>± 25.5</w:t>
            </w:r>
          </w:p>
        </w:tc>
      </w:tr>
      <w:tr w:rsidR="0089546C" w:rsidRPr="0089546C" w14:paraId="40FDC6AB" w14:textId="77777777" w:rsidTr="006E2270">
        <w:trPr>
          <w:trHeight w:val="216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E2561E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Change from baseline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0EA906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+375%</w:t>
            </w:r>
          </w:p>
          <w:p w14:paraId="6F7702C6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gramStart"/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NR:+</w:t>
            </w:r>
            <w:proofErr w:type="gramEnd"/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505%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B25D97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+384%</w:t>
            </w:r>
          </w:p>
          <w:p w14:paraId="2CBD46D8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+556%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538FE7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+362%</w:t>
            </w:r>
          </w:p>
          <w:p w14:paraId="44C47D0A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+447%</w:t>
            </w:r>
          </w:p>
        </w:tc>
      </w:tr>
      <w:tr w:rsidR="0089546C" w:rsidRPr="0089546C" w14:paraId="011B6F34" w14:textId="77777777" w:rsidTr="006E2270">
        <w:trPr>
          <w:trHeight w:val="118"/>
          <w:jc w:val="center"/>
        </w:trPr>
        <w:tc>
          <w:tcPr>
            <w:tcW w:w="31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BB6663" w14:textId="77777777" w:rsidR="0089546C" w:rsidRPr="006E2270" w:rsidRDefault="0089546C" w:rsidP="0089546C">
            <w:pPr>
              <w:spacing w:after="0" w:line="276" w:lineRule="auto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Times New Roman"/>
                <w:i/>
                <w:iCs/>
                <w:color w:val="000000" w:themeColor="text1"/>
                <w:kern w:val="24"/>
                <w:sz w:val="18"/>
                <w:szCs w:val="18"/>
              </w:rPr>
              <w:t>Major insulin change at (min)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53BCC1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30</w:t>
            </w:r>
          </w:p>
          <w:p w14:paraId="097D1B52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30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8DDF26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30</w:t>
            </w:r>
          </w:p>
          <w:p w14:paraId="20B67DC9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30</w:t>
            </w:r>
          </w:p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045EB7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R: 30</w:t>
            </w:r>
          </w:p>
          <w:p w14:paraId="06B24C07" w14:textId="77777777" w:rsidR="0089546C" w:rsidRPr="006E2270" w:rsidRDefault="0089546C" w:rsidP="0089546C">
            <w:pPr>
              <w:spacing w:after="0" w:line="276" w:lineRule="auto"/>
              <w:jc w:val="center"/>
              <w:textAlignment w:val="bottom"/>
              <w:rPr>
                <w:rFonts w:ascii="Verdana" w:eastAsia="Times New Roman" w:hAnsi="Verdana" w:cs="Arial"/>
                <w:sz w:val="18"/>
                <w:szCs w:val="18"/>
              </w:rPr>
            </w:pPr>
            <w:r w:rsidRPr="006E2270">
              <w:rPr>
                <w:rFonts w:ascii="Verdana" w:eastAsia="Verdana" w:hAnsi="Verdana" w:cs="Calibri"/>
                <w:color w:val="000000"/>
                <w:kern w:val="24"/>
                <w:sz w:val="18"/>
                <w:szCs w:val="18"/>
              </w:rPr>
              <w:t>NR: 30</w:t>
            </w:r>
          </w:p>
        </w:tc>
      </w:tr>
      <w:tr w:rsidR="0089546C" w:rsidRPr="0089546C" w14:paraId="6E6461CF" w14:textId="77777777" w:rsidTr="006E2270">
        <w:trPr>
          <w:trHeight w:val="385"/>
          <w:jc w:val="center"/>
        </w:trPr>
        <w:tc>
          <w:tcPr>
            <w:tcW w:w="10028" w:type="dxa"/>
            <w:gridSpan w:val="4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85DC62" w14:textId="77777777" w:rsidR="0089546C" w:rsidRPr="0089546C" w:rsidRDefault="0062169A" w:rsidP="006E2270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6E2270">
              <w:rPr>
                <w:rFonts w:ascii="Verdana" w:hAnsi="Verdana"/>
                <w:sz w:val="18"/>
              </w:rPr>
              <w:t>Contains raw (i.e. non-transformed data) based on which % change of postprandial concentration from baseline was calculated. Values represent mean ± SEM. * indicates P&lt;0.05, and † indicates p&lt;0.1 of R versus NR in each cohort with two-tailed unpaired Student’s t- or Mann-Whitney tests</w:t>
            </w:r>
            <w:r w:rsidRPr="00FB5D8C">
              <w:rPr>
                <w:rFonts w:ascii="Verdana" w:hAnsi="Verdana"/>
                <w:i/>
                <w:iCs/>
                <w:sz w:val="18"/>
              </w:rPr>
              <w:t>. R = responders (elevated LCN2 levels in multiple timepoints after the meal), NR = non-responders (reduced LCN2 levels after the meal challenge), BMI = Body Mass Index, WC = waist circumference, SBP = systolic blood pressure, DBP = diastolic blood pressure, LCN2 = Lipocalin-2, GLP-1 = Glucagon-like peptide 1, IU=international units.</w:t>
            </w:r>
          </w:p>
        </w:tc>
      </w:tr>
    </w:tbl>
    <w:p w14:paraId="7CD87C5F" w14:textId="0C5AB330" w:rsidR="0062169A" w:rsidRPr="0062169A" w:rsidRDefault="0062169A" w:rsidP="000277CD"/>
    <w:tbl>
      <w:tblPr>
        <w:tblW w:w="932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80"/>
        <w:gridCol w:w="3120"/>
        <w:gridCol w:w="3120"/>
      </w:tblGrid>
      <w:tr w:rsidR="00CA3986" w:rsidRPr="006B6BF6" w14:paraId="59050E0F" w14:textId="77777777" w:rsidTr="00D57919">
        <w:trPr>
          <w:trHeight w:val="260"/>
          <w:jc w:val="center"/>
        </w:trPr>
        <w:tc>
          <w:tcPr>
            <w:tcW w:w="9320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82831A4" w14:textId="2149E4DE" w:rsidR="00493F44" w:rsidRPr="006B6BF6" w:rsidRDefault="00493F44" w:rsidP="00D57919">
            <w:pPr>
              <w:rPr>
                <w:rFonts w:ascii="Verdana" w:hAnsi="Verdana"/>
                <w:b/>
                <w:sz w:val="18"/>
                <w:szCs w:val="18"/>
              </w:rPr>
            </w:pPr>
            <w:r w:rsidRPr="006B6BF6">
              <w:rPr>
                <w:rFonts w:ascii="Verdana" w:hAnsi="Verdana"/>
                <w:b/>
                <w:sz w:val="18"/>
                <w:szCs w:val="18"/>
              </w:rPr>
              <w:lastRenderedPageBreak/>
              <w:t>Supplementa</w:t>
            </w:r>
            <w:r w:rsidR="00942C7F">
              <w:rPr>
                <w:rFonts w:ascii="Verdana" w:hAnsi="Verdana"/>
                <w:b/>
                <w:sz w:val="18"/>
                <w:szCs w:val="18"/>
              </w:rPr>
              <w:t>ry</w:t>
            </w:r>
            <w:r w:rsidRPr="006B6BF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8671B">
              <w:rPr>
                <w:rFonts w:ascii="Verdana" w:hAnsi="Verdana"/>
                <w:b/>
                <w:sz w:val="18"/>
                <w:szCs w:val="18"/>
              </w:rPr>
              <w:t>file</w:t>
            </w:r>
            <w:r w:rsidRPr="006B6BF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8671B">
              <w:rPr>
                <w:rFonts w:ascii="Verdana" w:hAnsi="Verdana"/>
                <w:b/>
                <w:sz w:val="18"/>
                <w:szCs w:val="18"/>
              </w:rPr>
              <w:t>1C</w:t>
            </w:r>
            <w:r w:rsidR="00D57919" w:rsidRPr="006B6BF6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D57919" w:rsidRPr="006B6BF6">
              <w:rPr>
                <w:rFonts w:ascii="Verdana" w:hAnsi="Verdana"/>
                <w:b/>
                <w:bCs/>
                <w:sz w:val="18"/>
                <w:szCs w:val="18"/>
              </w:rPr>
              <w:t>Characteristics of participants of the 4</w:t>
            </w:r>
            <w:r w:rsidR="00D57919" w:rsidRPr="006B6BF6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D57919" w:rsidRPr="006B6BF6">
              <w:rPr>
                <w:rFonts w:ascii="Verdana" w:hAnsi="Verdana"/>
                <w:b/>
                <w:bCs/>
                <w:sz w:val="18"/>
                <w:szCs w:val="18"/>
              </w:rPr>
              <w:t xml:space="preserve"> study</w:t>
            </w:r>
            <w:r w:rsidR="00E979A6" w:rsidRPr="006B6BF6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</w:tr>
      <w:tr w:rsidR="00CA3986" w:rsidRPr="006B6BF6" w14:paraId="1F08029C" w14:textId="77777777" w:rsidTr="00D57919">
        <w:trPr>
          <w:trHeight w:val="642"/>
          <w:jc w:val="center"/>
        </w:trPr>
        <w:tc>
          <w:tcPr>
            <w:tcW w:w="308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1F9391B" w14:textId="77777777" w:rsidR="00CA3986" w:rsidRPr="006B6BF6" w:rsidRDefault="00CA3986" w:rsidP="00CA398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624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1108A9D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Study 4</w:t>
            </w:r>
          </w:p>
          <w:p w14:paraId="32A27FA7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(CUMC 2)</w:t>
            </w:r>
          </w:p>
        </w:tc>
      </w:tr>
      <w:tr w:rsidR="00CA3986" w:rsidRPr="006B6BF6" w14:paraId="40FE6167" w14:textId="77777777" w:rsidTr="00D57919">
        <w:trPr>
          <w:trHeight w:val="329"/>
          <w:jc w:val="center"/>
        </w:trPr>
        <w:tc>
          <w:tcPr>
            <w:tcW w:w="308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58E574" w14:textId="77777777" w:rsidR="00CA3986" w:rsidRPr="006B6BF6" w:rsidRDefault="00CA3986" w:rsidP="00CA398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675142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Pre-RYGB</w:t>
            </w:r>
          </w:p>
        </w:tc>
        <w:tc>
          <w:tcPr>
            <w:tcW w:w="31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A51AB6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Post-RYGB</w:t>
            </w:r>
          </w:p>
        </w:tc>
      </w:tr>
      <w:tr w:rsidR="00CA3986" w:rsidRPr="006B6BF6" w14:paraId="06E4C37C" w14:textId="77777777" w:rsidTr="00D57919">
        <w:trPr>
          <w:trHeight w:val="260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EB897A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Number of subjects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05FE16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F17A11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12</w:t>
            </w:r>
          </w:p>
        </w:tc>
      </w:tr>
      <w:tr w:rsidR="00CA3986" w:rsidRPr="006B6BF6" w14:paraId="1FB8DD6C" w14:textId="77777777" w:rsidTr="00D57919">
        <w:trPr>
          <w:trHeight w:val="260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2C0F57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Gender of subjects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554549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11 Females – 1 Male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4FE2B3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11 Females – 1 Male</w:t>
            </w:r>
          </w:p>
        </w:tc>
      </w:tr>
      <w:tr w:rsidR="00CA3986" w:rsidRPr="006B6BF6" w14:paraId="440F3602" w14:textId="77777777" w:rsidTr="00D57919">
        <w:trPr>
          <w:trHeight w:val="260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133D65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Age (years)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271846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35.3 ± 3.0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DADAF9" w14:textId="77777777" w:rsidR="00CA3986" w:rsidRPr="006B6BF6" w:rsidRDefault="00CA3986" w:rsidP="00001CEC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36.4 ±</w:t>
            </w:r>
            <w:r w:rsidR="00001CEC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 xml:space="preserve"> 3.0</w:t>
            </w:r>
          </w:p>
        </w:tc>
      </w:tr>
      <w:tr w:rsidR="00CA3986" w:rsidRPr="006B6BF6" w14:paraId="31E4539F" w14:textId="77777777" w:rsidTr="00D57919">
        <w:trPr>
          <w:trHeight w:val="286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97C35F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weight (kg)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572ED96B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128.9 ± 6.5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3B57C9C5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80.4 ± 5.2 (*)</w:t>
            </w:r>
          </w:p>
        </w:tc>
      </w:tr>
      <w:tr w:rsidR="00CA3986" w:rsidRPr="006B6BF6" w14:paraId="7473ACF2" w14:textId="77777777" w:rsidTr="00D57919">
        <w:trPr>
          <w:trHeight w:val="286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68D86D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BMI (kg/m</w:t>
            </w: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position w:val="5"/>
                <w:sz w:val="18"/>
                <w:szCs w:val="18"/>
                <w:vertAlign w:val="superscript"/>
              </w:rPr>
              <w:t>2</w:t>
            </w: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14438306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47.4 ± 1.9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7D064435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29.6 ± 1.8 (*)</w:t>
            </w:r>
          </w:p>
        </w:tc>
      </w:tr>
      <w:tr w:rsidR="00CA3986" w:rsidRPr="006B6BF6" w14:paraId="23D7515D" w14:textId="77777777" w:rsidTr="00D57919">
        <w:trPr>
          <w:trHeight w:val="289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BEBE52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Fasting Glucose (mg/dL)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749813BF" w14:textId="77777777" w:rsidR="00CA3986" w:rsidRPr="006B6BF6" w:rsidRDefault="00CA3986" w:rsidP="000E13D1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98.</w:t>
            </w:r>
            <w:r w:rsidR="000E13D1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2</w:t>
            </w: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 xml:space="preserve"> ± 3.8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093A7CED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86.2 ± 2.7 (*)</w:t>
            </w:r>
          </w:p>
        </w:tc>
      </w:tr>
      <w:tr w:rsidR="00CA3986" w:rsidRPr="006B6BF6" w14:paraId="46BD6A9B" w14:textId="77777777" w:rsidTr="00D57919">
        <w:trPr>
          <w:trHeight w:val="284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591848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Fasting LCN2 (ng/mL)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053E2C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61.4 ± 8.0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2F0AC8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47.1 ± 4.8 (†)</w:t>
            </w:r>
          </w:p>
        </w:tc>
      </w:tr>
      <w:tr w:rsidR="00CA3986" w:rsidRPr="006B6BF6" w14:paraId="6753568B" w14:textId="77777777" w:rsidTr="00D57919">
        <w:trPr>
          <w:trHeight w:val="322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AF8EE1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Peak LCN2 (ng/mL)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092E05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49.5 ± 6.6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375F65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75.0± 20.1 (*)</w:t>
            </w:r>
          </w:p>
        </w:tc>
      </w:tr>
      <w:tr w:rsidR="00CA3986" w:rsidRPr="006B6BF6" w14:paraId="13F277E7" w14:textId="77777777" w:rsidTr="00D57919">
        <w:trPr>
          <w:trHeight w:val="284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2BFCD3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LCN2 Change from baseline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8EE2D9" w14:textId="77777777" w:rsidR="00CA3986" w:rsidRPr="006B6BF6" w:rsidRDefault="00CA3986" w:rsidP="0024449A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-1</w:t>
            </w:r>
            <w:r w:rsidR="0024449A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6</w:t>
            </w: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%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A18185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+59%</w:t>
            </w:r>
          </w:p>
        </w:tc>
      </w:tr>
      <w:tr w:rsidR="00CA3986" w:rsidRPr="006B6BF6" w14:paraId="5F64197B" w14:textId="77777777" w:rsidTr="00D57919">
        <w:trPr>
          <w:trHeight w:val="284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EE8F51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Major LCN2 change at (min)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FCEB51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90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DC7AEA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90</w:t>
            </w:r>
          </w:p>
        </w:tc>
      </w:tr>
      <w:tr w:rsidR="00CA3986" w:rsidRPr="006B6BF6" w14:paraId="3B293120" w14:textId="77777777" w:rsidTr="00D57919">
        <w:trPr>
          <w:trHeight w:val="286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325F8D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Fasting GLP-1 (ng/mL)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0D8862DE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7.4 ± 0.9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44458C6E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9.0 ± 1.3</w:t>
            </w:r>
          </w:p>
        </w:tc>
      </w:tr>
      <w:tr w:rsidR="00CA3986" w:rsidRPr="006B6BF6" w14:paraId="1C77DFD1" w14:textId="77777777" w:rsidTr="00D57919">
        <w:trPr>
          <w:trHeight w:val="286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4E784F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Peak GLP-1 (ng/mL)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7B6A46D0" w14:textId="77777777" w:rsidR="00CA3986" w:rsidRPr="00C80A4C" w:rsidRDefault="00CA3986" w:rsidP="00C80A4C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80A4C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16.</w:t>
            </w:r>
            <w:r w:rsidR="00C80A4C" w:rsidRPr="00C80A4C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8</w:t>
            </w:r>
            <w:r w:rsidRPr="00C80A4C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 xml:space="preserve"> ± 2.</w:t>
            </w:r>
            <w:r w:rsidR="00C80A4C" w:rsidRPr="00C80A4C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372B8AC8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92.2 ± 18.6 (*)</w:t>
            </w:r>
          </w:p>
        </w:tc>
      </w:tr>
      <w:tr w:rsidR="00CA3986" w:rsidRPr="006B6BF6" w14:paraId="3399D18A" w14:textId="77777777" w:rsidTr="00D57919">
        <w:trPr>
          <w:trHeight w:val="286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D22181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GLP-1 Change from baseline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415C1DC4" w14:textId="77777777" w:rsidR="00CA3986" w:rsidRPr="00C80A4C" w:rsidRDefault="00CA3986" w:rsidP="00C80A4C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80A4C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1</w:t>
            </w:r>
            <w:r w:rsidR="00C80A4C" w:rsidRPr="00C80A4C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4</w:t>
            </w:r>
            <w:r w:rsidRPr="00C80A4C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0%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05EEC21F" w14:textId="77777777" w:rsidR="00CA3986" w:rsidRPr="006B6BF6" w:rsidRDefault="00C80A4C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1176</w:t>
            </w:r>
            <w:r w:rsidR="00CA3986"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%</w:t>
            </w:r>
          </w:p>
        </w:tc>
      </w:tr>
      <w:tr w:rsidR="00CA3986" w:rsidRPr="006B6BF6" w14:paraId="28C5F019" w14:textId="77777777" w:rsidTr="00D57919">
        <w:trPr>
          <w:trHeight w:val="286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087067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Major GLP-1 change at (min)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71CCEE04" w14:textId="77777777" w:rsidR="00CA3986" w:rsidRPr="006B6BF6" w:rsidRDefault="00C80A4C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  <w:hideMark/>
          </w:tcPr>
          <w:p w14:paraId="5DD3FE0C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45</w:t>
            </w:r>
          </w:p>
        </w:tc>
      </w:tr>
      <w:tr w:rsidR="00CA3986" w:rsidRPr="006B6BF6" w14:paraId="4C7E6886" w14:textId="77777777" w:rsidTr="00D57919">
        <w:trPr>
          <w:trHeight w:val="260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98AB79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Fasting insulin (</w:t>
            </w:r>
            <w:proofErr w:type="spellStart"/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uIU</w:t>
            </w:r>
            <w:proofErr w:type="spellEnd"/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/mL)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F72A3C" w14:textId="77777777" w:rsidR="00CA3986" w:rsidRPr="006B6BF6" w:rsidRDefault="00CA3986" w:rsidP="00C80A4C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 xml:space="preserve">22.4 ± </w:t>
            </w:r>
            <w:r w:rsidR="00C80A4C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1.9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1BFB25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5.7 ± 0.9(*)</w:t>
            </w:r>
          </w:p>
        </w:tc>
      </w:tr>
      <w:tr w:rsidR="00CA3986" w:rsidRPr="006B6BF6" w14:paraId="043870FF" w14:textId="77777777" w:rsidTr="00D57919">
        <w:trPr>
          <w:trHeight w:val="420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7CAB5C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Peak insulin (</w:t>
            </w:r>
            <w:proofErr w:type="spellStart"/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uIU</w:t>
            </w:r>
            <w:proofErr w:type="spellEnd"/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/mL)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C69FA5" w14:textId="77777777" w:rsidR="00CA3986" w:rsidRPr="006B6BF6" w:rsidRDefault="00CA3986" w:rsidP="00C80A4C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147.</w:t>
            </w:r>
            <w:r w:rsidR="00C80A4C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0</w:t>
            </w: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 xml:space="preserve"> ± 3</w:t>
            </w:r>
            <w:r w:rsidR="00C80A4C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0.7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E751C3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267.8 ± 61.6(‡)</w:t>
            </w:r>
          </w:p>
        </w:tc>
      </w:tr>
      <w:tr w:rsidR="00CA3986" w:rsidRPr="006B6BF6" w14:paraId="576EA96E" w14:textId="77777777" w:rsidTr="00D57919">
        <w:trPr>
          <w:trHeight w:val="260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53A13C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Insulin Change from baseline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5D2FED" w14:textId="77777777" w:rsidR="00CA3986" w:rsidRPr="006B6BF6" w:rsidRDefault="00CA3986" w:rsidP="00C80A4C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+5</w:t>
            </w:r>
            <w:r w:rsidR="00C80A4C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47</w:t>
            </w: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%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044241" w14:textId="77777777" w:rsidR="00CA3986" w:rsidRPr="006B6BF6" w:rsidRDefault="00CA3986" w:rsidP="00C80A4C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+</w:t>
            </w:r>
            <w:r w:rsidR="00C80A4C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5935</w:t>
            </w: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%</w:t>
            </w:r>
          </w:p>
        </w:tc>
      </w:tr>
      <w:tr w:rsidR="00CA3986" w:rsidRPr="006B6BF6" w14:paraId="12F840AF" w14:textId="77777777" w:rsidTr="00D57919">
        <w:trPr>
          <w:trHeight w:val="260"/>
          <w:jc w:val="center"/>
        </w:trPr>
        <w:tc>
          <w:tcPr>
            <w:tcW w:w="308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66B781" w14:textId="77777777" w:rsidR="00CA3986" w:rsidRPr="006B6BF6" w:rsidRDefault="00CA3986" w:rsidP="00CA3986">
            <w:pPr>
              <w:spacing w:after="120" w:line="276" w:lineRule="auto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i/>
                <w:iCs/>
                <w:color w:val="000000"/>
                <w:kern w:val="24"/>
                <w:sz w:val="18"/>
                <w:szCs w:val="18"/>
              </w:rPr>
              <w:t>Major insulin change at (min)</w:t>
            </w:r>
          </w:p>
        </w:tc>
        <w:tc>
          <w:tcPr>
            <w:tcW w:w="312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9AA1D6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3F5DA4" w14:textId="77777777" w:rsidR="00CA3986" w:rsidRPr="006B6BF6" w:rsidRDefault="00CA3986" w:rsidP="00CA3986">
            <w:pPr>
              <w:spacing w:after="120"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6B6BF6">
              <w:rPr>
                <w:rFonts w:ascii="Verdana" w:eastAsia="Calibri" w:hAnsi="Verdana" w:cs="Times New Roman"/>
                <w:color w:val="000000"/>
                <w:kern w:val="24"/>
                <w:sz w:val="18"/>
                <w:szCs w:val="18"/>
              </w:rPr>
              <w:t>60</w:t>
            </w:r>
          </w:p>
        </w:tc>
      </w:tr>
    </w:tbl>
    <w:p w14:paraId="2F67F0E8" w14:textId="28247214" w:rsidR="009513AD" w:rsidRPr="004B1190" w:rsidRDefault="004B1190" w:rsidP="004B1190">
      <w:pPr>
        <w:pStyle w:val="Caption"/>
        <w:ind w:left="709" w:right="594"/>
        <w:jc w:val="both"/>
        <w:rPr>
          <w:i w:val="0"/>
          <w:color w:val="auto"/>
        </w:rPr>
      </w:pPr>
      <w:r w:rsidRPr="004B1190">
        <w:rPr>
          <w:rFonts w:ascii="Verdana" w:hAnsi="Verdana"/>
          <w:color w:val="auto"/>
        </w:rPr>
        <w:t>Contains raw (i.e. non-transformed data) based on which % change of postprandial LCN2 concentration was calculated. LCN2 Values represent mean ± SEM. * indicates P&lt;0.05, ‡ indicates P&lt;0.06, † indicates P&lt;0.1 of Post-RYGB versus Pre-RYGB with two-tailed paired Student’s t-tests or Wilcoxon tests. RYGB = Roux-en-Y Gastric Bypass, BMI = Body Mass Index, LCN2 = Lipocalin-2, GLP-1 = Glucagon-like peptide 1, IU = International Units.</w:t>
      </w:r>
    </w:p>
    <w:p w14:paraId="73D11449" w14:textId="26AB1506" w:rsidR="00373C55" w:rsidRDefault="00373C55" w:rsidP="00A41445"/>
    <w:sectPr w:rsidR="00373C55" w:rsidSect="00621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19B41" w14:textId="77777777" w:rsidR="001F7C9E" w:rsidRDefault="001F7C9E" w:rsidP="00DF14E4">
      <w:pPr>
        <w:spacing w:after="0" w:line="240" w:lineRule="auto"/>
      </w:pPr>
      <w:r>
        <w:separator/>
      </w:r>
    </w:p>
  </w:endnote>
  <w:endnote w:type="continuationSeparator" w:id="0">
    <w:p w14:paraId="3211D358" w14:textId="77777777" w:rsidR="001F7C9E" w:rsidRDefault="001F7C9E" w:rsidP="00DF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05BD8" w14:textId="77777777" w:rsidR="001F7C9E" w:rsidRDefault="001F7C9E" w:rsidP="00DF14E4">
      <w:pPr>
        <w:spacing w:after="0" w:line="240" w:lineRule="auto"/>
      </w:pPr>
      <w:r>
        <w:separator/>
      </w:r>
    </w:p>
  </w:footnote>
  <w:footnote w:type="continuationSeparator" w:id="0">
    <w:p w14:paraId="5DAD3A8B" w14:textId="77777777" w:rsidR="001F7C9E" w:rsidRDefault="001F7C9E" w:rsidP="00DF1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3A"/>
    <w:rsid w:val="00001CEC"/>
    <w:rsid w:val="000122F3"/>
    <w:rsid w:val="00014091"/>
    <w:rsid w:val="000277CD"/>
    <w:rsid w:val="0003687E"/>
    <w:rsid w:val="00042D5A"/>
    <w:rsid w:val="00080469"/>
    <w:rsid w:val="000B036D"/>
    <w:rsid w:val="000D406E"/>
    <w:rsid w:val="000E0633"/>
    <w:rsid w:val="000E13D1"/>
    <w:rsid w:val="001419B9"/>
    <w:rsid w:val="001A0AAE"/>
    <w:rsid w:val="001A1B77"/>
    <w:rsid w:val="001A75C7"/>
    <w:rsid w:val="001B3925"/>
    <w:rsid w:val="001C7412"/>
    <w:rsid w:val="001E0313"/>
    <w:rsid w:val="001F6364"/>
    <w:rsid w:val="001F7C9E"/>
    <w:rsid w:val="002061F4"/>
    <w:rsid w:val="00206F24"/>
    <w:rsid w:val="00220067"/>
    <w:rsid w:val="002216BB"/>
    <w:rsid w:val="0022335F"/>
    <w:rsid w:val="00225BB7"/>
    <w:rsid w:val="0024065C"/>
    <w:rsid w:val="0024449A"/>
    <w:rsid w:val="00250C0B"/>
    <w:rsid w:val="00252AA2"/>
    <w:rsid w:val="002866B8"/>
    <w:rsid w:val="002930FA"/>
    <w:rsid w:val="002C3556"/>
    <w:rsid w:val="00310F9A"/>
    <w:rsid w:val="0032119F"/>
    <w:rsid w:val="003333D4"/>
    <w:rsid w:val="00373C55"/>
    <w:rsid w:val="00385B01"/>
    <w:rsid w:val="0038671B"/>
    <w:rsid w:val="003E0976"/>
    <w:rsid w:val="003F75EE"/>
    <w:rsid w:val="0042585D"/>
    <w:rsid w:val="00444A7D"/>
    <w:rsid w:val="00493F44"/>
    <w:rsid w:val="00494CA5"/>
    <w:rsid w:val="004A3B26"/>
    <w:rsid w:val="004B1190"/>
    <w:rsid w:val="004C5256"/>
    <w:rsid w:val="004E30C6"/>
    <w:rsid w:val="00501B3A"/>
    <w:rsid w:val="005129ED"/>
    <w:rsid w:val="00512E57"/>
    <w:rsid w:val="00530840"/>
    <w:rsid w:val="00554786"/>
    <w:rsid w:val="0056163E"/>
    <w:rsid w:val="00561AF7"/>
    <w:rsid w:val="0058093F"/>
    <w:rsid w:val="00587128"/>
    <w:rsid w:val="00595EA5"/>
    <w:rsid w:val="005A2DB5"/>
    <w:rsid w:val="005D44F3"/>
    <w:rsid w:val="005E1E81"/>
    <w:rsid w:val="006015A0"/>
    <w:rsid w:val="0062169A"/>
    <w:rsid w:val="00651145"/>
    <w:rsid w:val="00670590"/>
    <w:rsid w:val="006732AA"/>
    <w:rsid w:val="006929A8"/>
    <w:rsid w:val="0069560E"/>
    <w:rsid w:val="006B6BF6"/>
    <w:rsid w:val="006B6E94"/>
    <w:rsid w:val="006D6041"/>
    <w:rsid w:val="006E2270"/>
    <w:rsid w:val="006E31FE"/>
    <w:rsid w:val="006F73A9"/>
    <w:rsid w:val="00713C19"/>
    <w:rsid w:val="007347E1"/>
    <w:rsid w:val="00740C3A"/>
    <w:rsid w:val="00750FDC"/>
    <w:rsid w:val="0079329B"/>
    <w:rsid w:val="007A2E0C"/>
    <w:rsid w:val="007D76E6"/>
    <w:rsid w:val="007E6735"/>
    <w:rsid w:val="007E6801"/>
    <w:rsid w:val="007F4E5F"/>
    <w:rsid w:val="0081092F"/>
    <w:rsid w:val="008221F6"/>
    <w:rsid w:val="0082500B"/>
    <w:rsid w:val="00826070"/>
    <w:rsid w:val="00840601"/>
    <w:rsid w:val="0084377E"/>
    <w:rsid w:val="008569E1"/>
    <w:rsid w:val="00857DAD"/>
    <w:rsid w:val="008611EE"/>
    <w:rsid w:val="0089546C"/>
    <w:rsid w:val="00895D3A"/>
    <w:rsid w:val="008D48AD"/>
    <w:rsid w:val="00932EE8"/>
    <w:rsid w:val="00942C7F"/>
    <w:rsid w:val="009513AD"/>
    <w:rsid w:val="009529F9"/>
    <w:rsid w:val="0096107E"/>
    <w:rsid w:val="00971788"/>
    <w:rsid w:val="0098023E"/>
    <w:rsid w:val="00A12F55"/>
    <w:rsid w:val="00A41445"/>
    <w:rsid w:val="00A506AD"/>
    <w:rsid w:val="00A64B12"/>
    <w:rsid w:val="00A84EC4"/>
    <w:rsid w:val="00A9197A"/>
    <w:rsid w:val="00AD27E4"/>
    <w:rsid w:val="00B01986"/>
    <w:rsid w:val="00B442F5"/>
    <w:rsid w:val="00B7394D"/>
    <w:rsid w:val="00BA1933"/>
    <w:rsid w:val="00C007B8"/>
    <w:rsid w:val="00C01E58"/>
    <w:rsid w:val="00C11856"/>
    <w:rsid w:val="00C16B01"/>
    <w:rsid w:val="00C37669"/>
    <w:rsid w:val="00C600D9"/>
    <w:rsid w:val="00C671F5"/>
    <w:rsid w:val="00C80A4C"/>
    <w:rsid w:val="00CA3986"/>
    <w:rsid w:val="00CE2CCA"/>
    <w:rsid w:val="00D07CCB"/>
    <w:rsid w:val="00D13B73"/>
    <w:rsid w:val="00D30542"/>
    <w:rsid w:val="00D366DE"/>
    <w:rsid w:val="00D431D9"/>
    <w:rsid w:val="00D54597"/>
    <w:rsid w:val="00D57919"/>
    <w:rsid w:val="00DA6A87"/>
    <w:rsid w:val="00DD3364"/>
    <w:rsid w:val="00DF14E4"/>
    <w:rsid w:val="00E239B5"/>
    <w:rsid w:val="00E44E28"/>
    <w:rsid w:val="00E979A6"/>
    <w:rsid w:val="00EA6294"/>
    <w:rsid w:val="00EB14F5"/>
    <w:rsid w:val="00EB3149"/>
    <w:rsid w:val="00EC4799"/>
    <w:rsid w:val="00ED2E43"/>
    <w:rsid w:val="00EE27BE"/>
    <w:rsid w:val="00EF6C1E"/>
    <w:rsid w:val="00F86531"/>
    <w:rsid w:val="00FB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FE0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930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6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4"/>
  </w:style>
  <w:style w:type="paragraph" w:styleId="Footer">
    <w:name w:val="footer"/>
    <w:basedOn w:val="Normal"/>
    <w:link w:val="FooterChar"/>
    <w:uiPriority w:val="99"/>
    <w:unhideWhenUsed/>
    <w:rsid w:val="00DF1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2020-10-21T21:58:00Z</dcterms:created>
  <dcterms:modified xsi:type="dcterms:W3CDTF">2020-11-13T15:42:00Z</dcterms:modified>
</cp:coreProperties>
</file>