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 transparent reporting form</w:t>
      </w:r>
    </w:p>
    <w:p w:rsidR="00000000" w:rsidDel="00000000" w:rsidP="00000000" w:rsidRDefault="00000000" w:rsidRPr="00000000" w14:paraId="0000000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 Authors can upload supporting documentation to indicate the use of appropriate reporting guidelines for health-related research (see </w:t>
      </w:r>
      <w:hyperlink r:id="rId7">
        <w:r w:rsidDel="00000000" w:rsidR="00000000" w:rsidRPr="00000000">
          <w:rPr>
            <w:rFonts w:ascii="Calibri" w:cs="Calibri" w:eastAsia="Calibri" w:hAnsi="Calibri"/>
            <w:color w:val="0000ff"/>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8">
        <w:r w:rsidDel="00000000" w:rsidR="00000000" w:rsidRPr="00000000">
          <w:rPr>
            <w:rFonts w:ascii="Calibri" w:cs="Calibri" w:eastAsia="Calibri" w:hAnsi="Calibri"/>
            <w:color w:val="0000ff"/>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9">
        <w:r w:rsidDel="00000000" w:rsidR="00000000" w:rsidRPr="00000000">
          <w:rPr>
            <w:rFonts w:ascii="Calibri" w:cs="Calibri" w:eastAsia="Calibri" w:hAnsi="Calibri"/>
            <w:color w:val="0000ff"/>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 Where applicable, authors should refer to any relevant reporting standards documents in this form.</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 and/or contact us:</w:t>
      </w:r>
      <w:r w:rsidDel="00000000" w:rsidR="00000000" w:rsidRPr="00000000">
        <w:rPr>
          <w:rFonts w:ascii="Calibri" w:cs="Calibri" w:eastAsia="Calibri" w:hAnsi="Calibri"/>
          <w:color w:val="ff0000"/>
          <w:sz w:val="22"/>
          <w:szCs w:val="22"/>
          <w:rtl w:val="0"/>
        </w:rPr>
        <w:t xml:space="preserve"> </w:t>
      </w:r>
      <w:hyperlink r:id="rId10">
        <w:r w:rsidDel="00000000" w:rsidR="00000000" w:rsidRPr="00000000">
          <w:rPr>
            <w:rFonts w:ascii="Calibri" w:cs="Calibri" w:eastAsia="Calibri" w:hAnsi="Calibri"/>
            <w:color w:val="0000ff"/>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6">
      <w:pPr>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8">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You should state whether an appropriate sample size was computed when the study was being designed </w:t>
      </w:r>
    </w:p>
    <w:p w:rsidR="00000000" w:rsidDel="00000000" w:rsidP="00000000" w:rsidRDefault="00000000" w:rsidRPr="00000000" w14:paraId="00000009">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You should state the statistical method of sample size computation and any required assumptions</w:t>
      </w:r>
    </w:p>
    <w:p w:rsidR="00000000" w:rsidDel="00000000" w:rsidP="00000000" w:rsidRDefault="00000000" w:rsidRPr="00000000" w14:paraId="0000000A">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no explicit power analysis was used, you should describe how you decided what sample (replicate) size (number) to use</w:t>
      </w:r>
    </w:p>
    <w:p w:rsidR="00000000" w:rsidDel="00000000" w:rsidP="00000000" w:rsidRDefault="00000000" w:rsidRPr="00000000" w14:paraId="0000000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D">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Sample-size estimations were not used in this manuscript. We used the number of replicates commonly used in these types of analyses. For Parental RNA-seq and ATAC-seq studies we increased the number of replicates to 4 biological replicates. </w:t>
      </w:r>
    </w:p>
    <w:p w:rsidR="00000000" w:rsidDel="00000000" w:rsidP="00000000" w:rsidRDefault="00000000" w:rsidRPr="00000000" w14:paraId="0000000E">
      <w:pPr>
        <w:rPr>
          <w:rFonts w:ascii="Calibri" w:cs="Calibri" w:eastAsia="Calibri" w:hAnsi="Calibri"/>
          <w:sz w:val="22"/>
          <w:szCs w:val="22"/>
        </w:rPr>
      </w:pPr>
      <w:r w:rsidDel="00000000" w:rsidR="00000000" w:rsidRPr="00000000">
        <w:br w:type="column"/>
      </w:r>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You should report how often each experiment was performed</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You should include a definition of biological versus technical replication</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you encountered any outliers, you should describe how these were handled</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Criteria for exclusion/inclusion of data should be clearly stated</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5">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7">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Biological replicate defined as: Distinct, separate experiments performed by different passages of cells with experiments performed on different days.  </w:t>
      </w:r>
    </w:p>
    <w:p w:rsidR="00000000" w:rsidDel="00000000" w:rsidP="00000000" w:rsidRDefault="00000000" w:rsidRPr="00000000" w14:paraId="00000018">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Technical replicate defined as: Additional assay performed with the same set of samples. </w:t>
      </w:r>
    </w:p>
    <w:p w:rsidR="00000000" w:rsidDel="00000000" w:rsidP="00000000" w:rsidRDefault="00000000" w:rsidRPr="00000000" w14:paraId="00000019">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tl w:val="0"/>
        </w:rPr>
      </w:r>
    </w:p>
    <w:p w:rsidR="00000000" w:rsidDel="00000000" w:rsidP="00000000" w:rsidRDefault="00000000" w:rsidRPr="00000000" w14:paraId="0000001A">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Parental BIN67 RNA-seq, ATAC-seq = 4 biological replicates per condition</w:t>
      </w:r>
    </w:p>
    <w:p w:rsidR="00000000" w:rsidDel="00000000" w:rsidP="00000000" w:rsidRDefault="00000000" w:rsidRPr="00000000" w14:paraId="0000001B">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A427, COV434, and SCCOHT-1 RNA-seq = 3 biological replicates per condition</w:t>
      </w:r>
    </w:p>
    <w:p w:rsidR="00000000" w:rsidDel="00000000" w:rsidP="00000000" w:rsidRDefault="00000000" w:rsidRPr="00000000" w14:paraId="0000001C">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Proteomics = 3 biological replicates per condition </w:t>
      </w:r>
    </w:p>
    <w:p w:rsidR="00000000" w:rsidDel="00000000" w:rsidP="00000000" w:rsidRDefault="00000000" w:rsidRPr="00000000" w14:paraId="0000001D">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CUT&amp;RUN = 2 biological replicates per condition</w:t>
      </w:r>
    </w:p>
    <w:p w:rsidR="00000000" w:rsidDel="00000000" w:rsidP="00000000" w:rsidRDefault="00000000" w:rsidRPr="00000000" w14:paraId="0000001E">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AFOS RNA-seq = 2 biological replicates per condition</w:t>
      </w:r>
    </w:p>
    <w:p w:rsidR="00000000" w:rsidDel="00000000" w:rsidP="00000000" w:rsidRDefault="00000000" w:rsidRPr="00000000" w14:paraId="0000001F">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WB on Figure 6 = representative western blot (from at least 3+ biological replicates) as a technical replicate of samples to show all proteins that migrate at similar molecular weights. </w:t>
      </w:r>
    </w:p>
    <w:p w:rsidR="00000000" w:rsidDel="00000000" w:rsidP="00000000" w:rsidRDefault="00000000" w:rsidRPr="00000000" w14:paraId="00000020">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WB in Fig1_S1: Two biological replicates of transfected samples in each cell line with the western blot performed in technical duplicates. One of the technical replicates is shown in the figure.</w:t>
      </w:r>
    </w:p>
    <w:p w:rsidR="00000000" w:rsidDel="00000000" w:rsidP="00000000" w:rsidRDefault="00000000" w:rsidRPr="00000000" w14:paraId="00000021">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Replicates are additionally indicated in the material and methods and within figure legends. </w:t>
      </w:r>
    </w:p>
    <w:p w:rsidR="00000000" w:rsidDel="00000000" w:rsidP="00000000" w:rsidRDefault="00000000" w:rsidRPr="00000000" w14:paraId="00000022">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tl w:val="0"/>
        </w:rPr>
      </w:r>
    </w:p>
    <w:p w:rsidR="00000000" w:rsidDel="00000000" w:rsidP="00000000" w:rsidRDefault="00000000" w:rsidRPr="00000000" w14:paraId="00000023">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Raw fastq files and processed data for ATAC-seq, RNA-seq, and CUT&amp;RUN-seq studies have been deposited in Gene Expression Omnibus (GEO) database with the accession number: GSE151026.</w:t>
      </w:r>
    </w:p>
    <w:p w:rsidR="00000000" w:rsidDel="00000000" w:rsidP="00000000" w:rsidRDefault="00000000" w:rsidRPr="00000000" w14:paraId="00000024">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tl w:val="0"/>
        </w:rPr>
      </w:r>
    </w:p>
    <w:p w:rsidR="00000000" w:rsidDel="00000000" w:rsidP="00000000" w:rsidRDefault="00000000" w:rsidRPr="00000000" w14:paraId="00000025">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Proteomics data was deposited in PRIDE database (accession #PXD014134).</w:t>
      </w:r>
    </w:p>
    <w:p w:rsidR="00000000" w:rsidDel="00000000" w:rsidP="00000000" w:rsidRDefault="00000000" w:rsidRPr="00000000" w14:paraId="00000026">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tl w:val="0"/>
        </w:rPr>
      </w:r>
    </w:p>
    <w:p w:rsidR="00000000" w:rsidDel="00000000" w:rsidP="00000000" w:rsidRDefault="00000000" w:rsidRPr="00000000" w14:paraId="00000027">
      <w:pPr>
        <w:pBdr>
          <w:top w:color="000000" w:space="1" w:sz="6" w:val="single"/>
          <w:left w:color="000000" w:space="1" w:sz="6" w:val="single"/>
          <w:bottom w:color="000000" w:space="1" w:sz="6" w:val="single"/>
          <w:right w:color="000000" w:space="1" w:sz="6" w:val="single"/>
        </w:pBdr>
        <w:rPr>
          <w:rFonts w:ascii="Calibri" w:cs="Calibri" w:eastAsia="Calibri" w:hAnsi="Calibri"/>
        </w:rPr>
      </w:pPr>
      <w:r w:rsidDel="00000000" w:rsidR="00000000" w:rsidRPr="00000000">
        <w:rPr>
          <w:rFonts w:ascii="Calibri" w:cs="Calibri" w:eastAsia="Calibri" w:hAnsi="Calibri"/>
          <w:rtl w:val="0"/>
        </w:rPr>
        <w:t xml:space="preserve">For all data deposited, a reviewer access link has been provided to the editors to distribute to reviewers. </w:t>
      </w:r>
    </w:p>
    <w:p w:rsidR="00000000" w:rsidDel="00000000" w:rsidP="00000000" w:rsidRDefault="00000000" w:rsidRPr="00000000" w14:paraId="00000028">
      <w:pP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29">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2A">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Statistical analysis methods should be described and justified</w:t>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Raw data should be presented in figures whenever informative to do so (typically when N per group is less than 10)</w:t>
      </w:r>
    </w:p>
    <w:p w:rsidR="00000000" w:rsidDel="00000000" w:rsidP="00000000" w:rsidRDefault="00000000" w:rsidRPr="00000000" w14:paraId="0000002C">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2D">
      <w:pPr>
        <w:numPr>
          <w:ilvl w:val="0"/>
          <w:numId w:val="2"/>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2E">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30">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Statistical reporting is indicated in the figure legend, main text, and stated in material and methods. P-values are indicated within the main text, in figure legends, and within figures. </w:t>
      </w:r>
    </w:p>
    <w:p w:rsidR="00000000" w:rsidDel="00000000" w:rsidP="00000000" w:rsidRDefault="00000000" w:rsidRPr="00000000" w14:paraId="00000031">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rPr>
          <w:rFonts w:ascii="Calibri" w:cs="Calibri" w:eastAsia="Calibri" w:hAnsi="Calibri"/>
          <w:b w:val="1"/>
        </w:rPr>
      </w:pPr>
      <w:bookmarkStart w:colFirst="0" w:colLast="0" w:name="_heading=h.gjdgxs" w:id="0"/>
      <w:bookmarkEnd w:id="0"/>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33">
      <w:pPr>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35">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Indicate how samples were allocated into experimental groups (in the case of clinical studies, please specify allocation to treatment method); if randomization was used, please also state if restricted randomization was applied</w:t>
      </w:r>
    </w:p>
    <w:p w:rsidR="00000000" w:rsidDel="00000000" w:rsidP="00000000" w:rsidRDefault="00000000" w:rsidRPr="00000000" w14:paraId="00000036">
      <w:pPr>
        <w:numPr>
          <w:ilvl w:val="0"/>
          <w:numId w:val="3"/>
        </w:numPr>
        <w:pBdr>
          <w:top w:space="0" w:sz="0" w:val="nil"/>
          <w:left w:space="0" w:sz="0" w:val="nil"/>
          <w:bottom w:space="0" w:sz="0" w:val="nil"/>
          <w:right w:space="0" w:sz="0" w:val="nil"/>
          <w:between w:space="0" w:sz="0" w:val="nil"/>
        </w:pBdr>
        <w:ind w:left="720" w:hanging="360"/>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37">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3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39">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sample size (n = # of genes or peaks) is indicated within each figure, in the figure legends, and in the main text. </w:t>
      </w:r>
    </w:p>
    <w:p w:rsidR="00000000" w:rsidDel="00000000" w:rsidP="00000000" w:rsidRDefault="00000000" w:rsidRPr="00000000" w14:paraId="0000003A">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Randomization was not applicable to the design of these experiments, parental cell lines were split into two and transfected with various constructs in each biological replicate independently. </w:t>
      </w:r>
    </w:p>
    <w:p w:rsidR="00000000" w:rsidDel="00000000" w:rsidP="00000000" w:rsidRDefault="00000000" w:rsidRPr="00000000" w14:paraId="0000003B">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rPr>
      </w:pPr>
      <w:r w:rsidDel="00000000" w:rsidR="00000000" w:rsidRPr="00000000">
        <w:br w:type="column"/>
      </w:r>
      <w:r w:rsidDel="00000000" w:rsidR="00000000" w:rsidRPr="00000000">
        <w:rPr>
          <w:rtl w:val="0"/>
        </w:rPr>
      </w:r>
    </w:p>
    <w:p w:rsidR="00000000" w:rsidDel="00000000" w:rsidP="00000000" w:rsidRDefault="00000000" w:rsidRPr="00000000" w14:paraId="0000003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3E">
      <w:pPr>
        <w:numPr>
          <w:ilvl w:val="0"/>
          <w:numId w:val="5"/>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3F">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40">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Include model definition files including the full list of parameters used</w:t>
      </w:r>
    </w:p>
    <w:p w:rsidR="00000000" w:rsidDel="00000000" w:rsidP="00000000" w:rsidRDefault="00000000" w:rsidRPr="00000000" w14:paraId="00000041">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Include code used for data analysis (e.g., R, MatLab)</w:t>
      </w:r>
    </w:p>
    <w:p w:rsidR="00000000" w:rsidDel="00000000" w:rsidP="00000000" w:rsidRDefault="00000000" w:rsidRPr="00000000" w14:paraId="00000042">
      <w:pPr>
        <w:numPr>
          <w:ilvl w:val="0"/>
          <w:numId w:val="4"/>
        </w:numPr>
        <w:pBdr>
          <w:top w:space="0" w:sz="0" w:val="nil"/>
          <w:left w:space="0" w:sz="0" w:val="nil"/>
          <w:bottom w:space="0" w:sz="0" w:val="nil"/>
          <w:right w:space="0" w:sz="0" w:val="nil"/>
          <w:between w:space="0" w:sz="0" w:val="nil"/>
        </w:pBdr>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Avoid stating that data files are “available upon request”</w:t>
      </w:r>
    </w:p>
    <w:p w:rsidR="00000000" w:rsidDel="00000000" w:rsidP="00000000" w:rsidRDefault="00000000" w:rsidRPr="00000000" w14:paraId="00000043">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4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45">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 files have been included as supplemental tables that have the complete RNA-seq and proteomics results for all datasets. Data underlying the scatterplots for Transcription Factor Motif analysis are provided as supplemental table 2 and supplemental table 7. Location of ATAC-seq peaks used for plotting are found Supplemental Table 5. All CUT&amp;RUN peaks from each condition are found in Supplemental Figure 6</w:t>
      </w:r>
    </w:p>
    <w:p w:rsidR="00000000" w:rsidDel="00000000" w:rsidP="00000000" w:rsidRDefault="00000000" w:rsidRPr="00000000" w14:paraId="00000046">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7">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Parameters used for data analysis, including program and version numbers, have been indicated in the material and methods. </w:t>
      </w:r>
    </w:p>
    <w:p w:rsidR="00000000" w:rsidDel="00000000" w:rsidP="00000000" w:rsidRDefault="00000000" w:rsidRPr="00000000" w14:paraId="00000048">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9">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Processed data (bigwig files, peak calls, and raw gene counts) have been deposited in GEO. </w:t>
      </w:r>
    </w:p>
    <w:p w:rsidR="00000000" w:rsidDel="00000000" w:rsidP="00000000" w:rsidRDefault="00000000" w:rsidRPr="00000000" w14:paraId="0000004A">
      <w:pPr>
        <w:rPr>
          <w:rFonts w:ascii="Calibri" w:cs="Calibri" w:eastAsia="Calibri" w:hAnsi="Calibri"/>
          <w:sz w:val="22"/>
          <w:szCs w:val="22"/>
        </w:rPr>
      </w:pPr>
      <w:r w:rsidDel="00000000" w:rsidR="00000000" w:rsidRPr="00000000">
        <w:rPr>
          <w:rtl w:val="0"/>
        </w:rPr>
      </w:r>
    </w:p>
    <w:sectPr>
      <w:headerReference r:id="rId11" w:type="default"/>
      <w:footerReference r:id="rId12" w:type="default"/>
      <w:footerReference r:id="rId13" w:type="even"/>
      <w:pgSz w:h="16840" w:w="11900" w:orient="portrait"/>
      <w:pgMar w:bottom="993" w:top="1440" w:left="1843" w:right="179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center" w:pos="4320"/>
        <w:tab w:val="right" w:pos="8640"/>
      </w:tabs>
      <w:ind w:right="360"/>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Fonts w:ascii="Calibri" w:cs="Calibri" w:eastAsia="Calibri" w:hAnsi="Calibri"/>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center" w:pos="4320"/>
        <w:tab w:val="right" w:pos="8640"/>
        <w:tab w:val="right" w:pos="9214"/>
      </w:tabs>
      <w:ind w:left="-709" w:right="360"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pos="4320"/>
        <w:tab w:val="right" w:pos="8640"/>
      </w:tabs>
      <w:ind w:left="-1134" w:firstLine="0"/>
      <w:rPr>
        <w:color w:val="000000"/>
      </w:rPr>
    </w:pPr>
    <w:r w:rsidDel="00000000" w:rsidR="00000000" w:rsidRPr="00000000">
      <w:rPr>
        <w:color w:val="000000"/>
      </w:rPr>
      <w:drawing>
        <wp:inline distB="0" distT="0" distL="0" distR="0">
          <wp:extent cx="4325620" cy="803275"/>
          <wp:effectExtent b="0" l="0" r="0" t="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325620" cy="8032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D0F2C"/>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BalloonText">
    <w:name w:val="Balloon Text"/>
    <w:basedOn w:val="Normal"/>
    <w:link w:val="BalloonTextChar"/>
    <w:uiPriority w:val="99"/>
    <w:semiHidden w:val="1"/>
    <w:rsid w:val="004215F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locked w:val="1"/>
    <w:rsid w:val="004215FE"/>
    <w:rPr>
      <w:rFonts w:ascii="Lucida Grande" w:cs="Lucida Grande" w:hAnsi="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styleId="HeaderChar" w:customStyle="1">
    <w:name w:val="Header Char"/>
    <w:basedOn w:val="DefaultParagraphFont"/>
    <w:link w:val="Header"/>
    <w:uiPriority w:val="99"/>
    <w:locked w:val="1"/>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styleId="FooterChar" w:customStyle="1">
    <w:name w:val="Footer Char"/>
    <w:basedOn w:val="DefaultParagraphFont"/>
    <w:link w:val="Footer"/>
    <w:uiPriority w:val="99"/>
    <w:locked w:val="1"/>
    <w:rsid w:val="004215FE"/>
    <w:rPr>
      <w:rFonts w:cs="Times New Roman"/>
    </w:rPr>
  </w:style>
  <w:style w:type="character" w:styleId="PageNumber">
    <w:name w:val="page number"/>
    <w:basedOn w:val="DefaultParagraphFont"/>
    <w:uiPriority w:val="99"/>
    <w:semiHidden w:val="1"/>
    <w:unhideWhenUsed w:val="1"/>
    <w:rsid w:val="0009520A"/>
  </w:style>
  <w:style w:type="character" w:styleId="CommentReference">
    <w:name w:val="annotation reference"/>
    <w:basedOn w:val="DefaultParagraphFont"/>
    <w:uiPriority w:val="99"/>
    <w:semiHidden w:val="1"/>
    <w:unhideWhenUsed w:val="1"/>
    <w:rsid w:val="00FE362B"/>
    <w:rPr>
      <w:sz w:val="18"/>
      <w:szCs w:val="18"/>
    </w:rPr>
  </w:style>
  <w:style w:type="paragraph" w:styleId="CommentText">
    <w:name w:val="annotation text"/>
    <w:basedOn w:val="Normal"/>
    <w:link w:val="CommentTextChar"/>
    <w:uiPriority w:val="99"/>
    <w:semiHidden w:val="1"/>
    <w:unhideWhenUsed w:val="1"/>
    <w:rsid w:val="00FE362B"/>
  </w:style>
  <w:style w:type="character" w:styleId="CommentTextChar" w:customStyle="1">
    <w:name w:val="Comment Text Char"/>
    <w:basedOn w:val="DefaultParagraphFont"/>
    <w:link w:val="CommentText"/>
    <w:uiPriority w:val="99"/>
    <w:semiHidden w:val="1"/>
    <w:rsid w:val="00FE362B"/>
    <w:rPr>
      <w:sz w:val="24"/>
      <w:szCs w:val="24"/>
    </w:rPr>
  </w:style>
  <w:style w:type="paragraph" w:styleId="CommentSubject">
    <w:name w:val="annotation subject"/>
    <w:basedOn w:val="CommentText"/>
    <w:next w:val="CommentText"/>
    <w:link w:val="CommentSubjectChar"/>
    <w:uiPriority w:val="99"/>
    <w:semiHidden w:val="1"/>
    <w:unhideWhenUsed w:val="1"/>
    <w:rsid w:val="00FE362B"/>
    <w:rPr>
      <w:b w:val="1"/>
      <w:bCs w:val="1"/>
      <w:sz w:val="20"/>
      <w:szCs w:val="20"/>
    </w:rPr>
  </w:style>
  <w:style w:type="character" w:styleId="CommentSubjectChar" w:customStyle="1">
    <w:name w:val="Comment Subject Char"/>
    <w:basedOn w:val="CommentTextChar"/>
    <w:link w:val="CommentSubject"/>
    <w:uiPriority w:val="99"/>
    <w:semiHidden w:val="1"/>
    <w:rsid w:val="00FE362B"/>
    <w:rPr>
      <w:b w:val="1"/>
      <w:bCs w:val="1"/>
      <w:sz w:val="20"/>
      <w:szCs w:val="20"/>
    </w:rPr>
  </w:style>
  <w:style w:type="character" w:styleId="Hyperlink">
    <w:name w:val="Hyperlink"/>
    <w:basedOn w:val="DefaultParagraphFont"/>
    <w:uiPriority w:val="99"/>
    <w:unhideWhenUsed w:val="1"/>
    <w:rsid w:val="007B6D8A"/>
    <w:rPr>
      <w:color w:val="0000ff" w:themeColor="hyperlink"/>
      <w:u w:val="single"/>
    </w:rPr>
  </w:style>
  <w:style w:type="character" w:styleId="FollowedHyperlink">
    <w:name w:val="FollowedHyperlink"/>
    <w:basedOn w:val="DefaultParagraphFont"/>
    <w:uiPriority w:val="99"/>
    <w:semiHidden w:val="1"/>
    <w:unhideWhenUsed w:val="1"/>
    <w:rsid w:val="004D5E59"/>
    <w:rPr>
      <w:color w:val="800080" w:themeColor="followedHyperlink"/>
      <w:u w:val="single"/>
    </w:rPr>
  </w:style>
  <w:style w:type="paragraph" w:styleId="ListParagraph">
    <w:name w:val="List Paragraph"/>
    <w:basedOn w:val="Normal"/>
    <w:uiPriority w:val="34"/>
    <w:qFormat w:val="1"/>
    <w:rsid w:val="00E007B4"/>
    <w:pPr>
      <w:ind w:left="720"/>
      <w:contextualSpacing w:val="1"/>
    </w:p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mailto:editorial@elifesciences.org" TargetMode="Externa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losbiology.org/article/info:doi/10.1371/journal.pbio.100041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quator-network.org/%20" TargetMode="External"/><Relationship Id="rId8" Type="http://schemas.openxmlformats.org/officeDocument/2006/relationships/hyperlink" Target="https://bioshar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pHpDqk/ctBmaewwi8yu2Wn9Vfg==">AMUW2mVU2bpPtNR1vMeaSG8drrjspmghtNsstB+INIrgHWVABMaVXmbAZ7f2pbbZKHCamDSrSDXpE+PB+A/8x7n4sK3DmpnruP53k4dapM/UeIqsV6TaxNKO+AK1JbkLvwCRE9muLazB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2020-05-22T21:38:00Z</dcterms:created>
  <dc:creator>Andy Collings</dc:creator>
</cp:coreProperties>
</file>