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whether an appropriate sample size was computed when the study was being designed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the statistical method of sample size computation and any required assumptions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Sample-size estimations were not used in this manuscript. We used the number of replicates commonly used in these types of analyses. For Parental RNA-seq and ATAC-seq studies we increased the number of replicates to 4 biological replicates. </w:t>
      </w:r>
    </w:p>
    <w:p w:rsidR="00000000" w:rsidDel="00000000" w:rsidP="00000000" w:rsidRDefault="00000000" w:rsidRPr="00000000" w14:paraId="0000000E">
      <w:pPr>
        <w:rPr>
          <w:rFonts w:ascii="Calibri" w:cs="Calibri" w:eastAsia="Calibri" w:hAnsi="Calibri"/>
          <w:sz w:val="22"/>
          <w:szCs w:val="22"/>
        </w:rPr>
      </w:pPr>
      <w:r w:rsidDel="00000000" w:rsidR="00000000" w:rsidRPr="00000000">
        <w:br w:type="column"/>
      </w: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report how often each experiment was performed</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include a definition of biological versus technical replication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encountered any outliers, you should describe how these were handled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Criteria for exclusion/inclusion of data should be clearly stated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7">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Biological replicate defined as: Distinct, separate experiments performed by different passages of cells with experiments performed on different days.  </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Technical replicate defined as: Additional assay performed with the same set of samples. </w:t>
      </w:r>
    </w:p>
    <w:p w:rsidR="00000000" w:rsidDel="00000000" w:rsidP="00000000" w:rsidRDefault="00000000" w:rsidRPr="00000000" w14:paraId="00000019">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Parental BIN67 RNA-seq, ATAC-seq = 4 biological replicates per condition</w:t>
      </w:r>
    </w:p>
    <w:p w:rsidR="00000000" w:rsidDel="00000000" w:rsidP="00000000" w:rsidRDefault="00000000" w:rsidRPr="00000000" w14:paraId="0000001B">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A427, COV434, and SCCOHT-1 RNA-seq = 3 biological replicates per condition</w:t>
      </w:r>
    </w:p>
    <w:p w:rsidR="00000000" w:rsidDel="00000000" w:rsidP="00000000" w:rsidRDefault="00000000" w:rsidRPr="00000000" w14:paraId="0000001C">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Proteomics = 3 biological replicates per condition </w:t>
      </w:r>
    </w:p>
    <w:p w:rsidR="00000000" w:rsidDel="00000000" w:rsidP="00000000" w:rsidRDefault="00000000" w:rsidRPr="00000000" w14:paraId="0000001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CUT&amp;RUN = 2 biological replicates per condition</w:t>
      </w:r>
    </w:p>
    <w:p w:rsidR="00000000" w:rsidDel="00000000" w:rsidP="00000000" w:rsidRDefault="00000000" w:rsidRPr="00000000" w14:paraId="0000001E">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AFOS RNA-seq = 2 biological replicates per condition</w:t>
      </w:r>
    </w:p>
    <w:p w:rsidR="00000000" w:rsidDel="00000000" w:rsidP="00000000" w:rsidRDefault="00000000" w:rsidRPr="00000000" w14:paraId="0000001F">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WB on Figure 6 = representative western blot (from at least 3+ biological replicates) as a technical replicate of samples to show all proteins that migrate at similar molecular weights. </w:t>
      </w:r>
    </w:p>
    <w:p w:rsidR="00000000" w:rsidDel="00000000" w:rsidP="00000000" w:rsidRDefault="00000000" w:rsidRPr="00000000" w14:paraId="00000020">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WB in Fig1_S1: Two biological replicates of transfected samples in each cell line with the western blot performed in technical duplicates. One of the technical replicates is shown in the figure.</w:t>
      </w:r>
    </w:p>
    <w:p w:rsidR="00000000" w:rsidDel="00000000" w:rsidP="00000000" w:rsidRDefault="00000000" w:rsidRPr="00000000" w14:paraId="00000021">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Replicates are additionally indicated in the material and methods and within figure legends. </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Raw fastq files and processed data for ATAC-seq, RNA-seq, and CUT&amp;RUN-seq studies have been deposited in Gene Expression Omnibus (GEO) database with the accession number: GSE151026.</w:t>
      </w:r>
    </w:p>
    <w:p w:rsidR="00000000" w:rsidDel="00000000" w:rsidP="00000000" w:rsidRDefault="00000000" w:rsidRPr="00000000" w14:paraId="00000024">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Proteomics data was deposited in PRIDE database (accession #PXD014134).</w:t>
      </w:r>
    </w:p>
    <w:p w:rsidR="00000000" w:rsidDel="00000000" w:rsidP="00000000" w:rsidRDefault="00000000" w:rsidRPr="00000000" w14:paraId="00000026">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7">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For all data deposited, a reviewer access link has been provided to the editors to distribute to reviewers. </w:t>
      </w:r>
    </w:p>
    <w:p w:rsidR="00000000" w:rsidDel="00000000" w:rsidP="00000000" w:rsidRDefault="00000000" w:rsidRPr="00000000" w14:paraId="0000002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Statistical analysis methods should be described and justified</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Raw data should be presented in figures whenever informative to do so (typically when N per group is less than 10)</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30">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Statistical reporting is indicated in the figure legend, main text, and stated in material and methods. P-values are indicated within the main text, in figure legends, and within figures. </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37">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39">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sample size (n = # of genes or peaks) is indicated within each figure, in the figure legends, and in the main text. </w:t>
      </w:r>
    </w:p>
    <w:p w:rsidR="00000000" w:rsidDel="00000000" w:rsidP="00000000" w:rsidRDefault="00000000" w:rsidRPr="00000000" w14:paraId="0000003A">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Randomization was not applicable to the design of these experiments, parental cell lines were split into two and transfected with various constructs in each biological replicate independently. </w:t>
      </w:r>
    </w:p>
    <w:p w:rsidR="00000000" w:rsidDel="00000000" w:rsidP="00000000" w:rsidRDefault="00000000" w:rsidRPr="00000000" w14:paraId="0000003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br w:type="column"/>
      </w: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model definition files including the full list of parameters used</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code used for data analysis (e.g., R, MatLab)</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stating that data files are “available upon request”</w:t>
      </w:r>
    </w:p>
    <w:p w:rsidR="00000000" w:rsidDel="00000000" w:rsidP="00000000" w:rsidRDefault="00000000" w:rsidRPr="00000000" w14:paraId="0000004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4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files have been included as supplemental tables that have the complete RNA-seq and proteomics results for all datasets. Data underlying the scatterplots for Transcription Factor Motif analysis are provided as supplemental table 2 and supplemental table 7. Location of ATAC-seq peaks used for plotting are found Supplemental Table 5. All CUT&amp;RUN peaks from each condition are found in Supplemental Figure 6</w:t>
      </w:r>
    </w:p>
    <w:p w:rsidR="00000000" w:rsidDel="00000000" w:rsidP="00000000" w:rsidRDefault="00000000" w:rsidRPr="00000000" w14:paraId="00000046">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Parameters used for data analysis, including program and version numbers, have been indicated in the material and methods. </w:t>
      </w:r>
    </w:p>
    <w:p w:rsidR="00000000" w:rsidDel="00000000" w:rsidP="00000000" w:rsidRDefault="00000000" w:rsidRPr="00000000" w14:paraId="00000048">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Processed data (bigwig files, peak calls, and raw gene counts) have been deposited in GEO.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320"/>
        <w:tab w:val="right" w:pos="8640"/>
        <w:tab w:val="right" w:pos="9214"/>
      </w:tabs>
      <w:ind w:left="-709" w:right="36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320"/>
        <w:tab w:val="right" w:pos="8640"/>
      </w:tabs>
      <w:ind w:left="-1134" w:firstLine="0"/>
      <w:rPr>
        <w:color w:val="000000"/>
      </w:rPr>
    </w:pPr>
    <w:r w:rsidDel="00000000" w:rsidR="00000000" w:rsidRPr="00000000">
      <w:rPr>
        <w:color w:val="000000"/>
      </w:rPr>
      <w:drawing>
        <wp:inline distB="0" distT="0" distL="0" distR="0">
          <wp:extent cx="4325620" cy="8032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F2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HpDqk/ctBmaewwi8yu2Wn9Vfg==">AMUW2mVU2bpPtNR1vMeaSG8drrjspmghtNsstB+INIrgHWVABMaVXmbAZ7f2pbbZKHCamDSrSDXpE+PB+A/8x7n4sK3DmpnruP53k4dapM/UeIqsV6TaxNKO+AK1JbkLvwCRE9muLazB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2020-05-22T21:38:00Z</dcterms:created>
  <dc:creator>Andy Collings</dc:creator>
</cp:coreProperties>
</file>