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ABDE7E" w14:textId="77777777" w:rsidR="00CB3B8D" w:rsidRDefault="00CB3B8D" w:rsidP="00CB3B8D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 w:hint="eastAsia"/>
          <w:b/>
          <w:bCs/>
          <w:sz w:val="24"/>
          <w:szCs w:val="28"/>
        </w:rPr>
        <w:t>S</w:t>
      </w:r>
      <w:r>
        <w:rPr>
          <w:rFonts w:ascii="Times New Roman" w:hAnsi="Times New Roman" w:cs="Times New Roman"/>
          <w:b/>
          <w:bCs/>
          <w:sz w:val="24"/>
          <w:szCs w:val="28"/>
        </w:rPr>
        <w:t>upplementary figure</w:t>
      </w:r>
    </w:p>
    <w:p w14:paraId="058365AA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noProof/>
        </w:rPr>
        <w:drawing>
          <wp:inline distT="0" distB="0" distL="114300" distR="114300" wp14:anchorId="6024448B" wp14:editId="6A666841">
            <wp:extent cx="5268595" cy="1157605"/>
            <wp:effectExtent l="0" t="0" r="4445" b="635"/>
            <wp:docPr id="5" name="图片 5" descr="Supplement Fig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Supplement Fig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1157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FCEBA" w14:textId="77777777" w:rsidR="00CB3B8D" w:rsidRPr="00C8486A" w:rsidRDefault="00CB3B8D" w:rsidP="00CB3B8D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Hlk30153031"/>
      <w:r w:rsidRPr="00C8486A">
        <w:rPr>
          <w:rFonts w:ascii="Times New Roman" w:hAnsi="Times New Roman" w:cs="Times New Roman" w:hint="eastAsia"/>
          <w:sz w:val="24"/>
          <w:szCs w:val="24"/>
        </w:rPr>
        <w:t>S</w:t>
      </w:r>
      <w:r w:rsidRPr="00C8486A">
        <w:rPr>
          <w:rFonts w:ascii="Times New Roman" w:hAnsi="Times New Roman" w:cs="Times New Roman"/>
          <w:sz w:val="24"/>
          <w:szCs w:val="24"/>
        </w:rPr>
        <w:t xml:space="preserve">upplementary figure 1. </w:t>
      </w:r>
      <w:r w:rsidRPr="00C8486A">
        <w:rPr>
          <w:rFonts w:ascii="Times New Roman" w:hAnsi="Times New Roman" w:cs="Times New Roman" w:hint="eastAsia"/>
          <w:sz w:val="24"/>
          <w:szCs w:val="24"/>
        </w:rPr>
        <w:t>(</w:t>
      </w:r>
      <w:r w:rsidRPr="00C8486A">
        <w:rPr>
          <w:rFonts w:ascii="Times New Roman" w:hAnsi="Times New Roman" w:cs="Times New Roman"/>
          <w:sz w:val="24"/>
          <w:szCs w:val="24"/>
        </w:rPr>
        <w:t xml:space="preserve">A) </w:t>
      </w:r>
      <w:bookmarkStart w:id="1" w:name="_Hlk30150749"/>
      <w:r w:rsidRPr="00C8486A">
        <w:rPr>
          <w:rFonts w:ascii="Times New Roman" w:hAnsi="Times New Roman" w:cs="Times New Roman"/>
          <w:sz w:val="24"/>
          <w:szCs w:val="24"/>
        </w:rPr>
        <w:t xml:space="preserve">Relative mRNA expression of GAS5, OCN, ALP, </w:t>
      </w:r>
      <w:r w:rsidRPr="00C8486A">
        <w:rPr>
          <w:rFonts w:ascii="Times New Roman" w:eastAsia="等线" w:hAnsi="Times New Roman" w:cs="Times New Roman"/>
          <w:sz w:val="24"/>
          <w:szCs w:val="24"/>
        </w:rPr>
        <w:t xml:space="preserve">and </w:t>
      </w:r>
      <w:r w:rsidRPr="00C8486A">
        <w:rPr>
          <w:rFonts w:ascii="Times New Roman" w:hAnsi="Times New Roman" w:cs="Times New Roman"/>
          <w:sz w:val="24"/>
          <w:szCs w:val="24"/>
        </w:rPr>
        <w:t xml:space="preserve">RUNX2 along with the day of osteogenic differentiation. (B) The correlation of GAS5 and ALP assay during osteogenic differentiation of MSCs </w:t>
      </w:r>
      <w:bookmarkEnd w:id="1"/>
      <w:r w:rsidRPr="00C8486A">
        <w:rPr>
          <w:rFonts w:ascii="Times New Roman" w:hAnsi="Times New Roman" w:cs="Times New Roman"/>
          <w:sz w:val="24"/>
          <w:szCs w:val="24"/>
        </w:rPr>
        <w:t xml:space="preserve">(n=15). (C, D, E) The correlation of GAS5 and </w:t>
      </w:r>
      <w:bookmarkStart w:id="2" w:name="_Hlk30150937"/>
      <w:r w:rsidRPr="00C8486A">
        <w:rPr>
          <w:rFonts w:ascii="Times New Roman" w:hAnsi="Times New Roman" w:cs="Times New Roman"/>
          <w:sz w:val="24"/>
          <w:szCs w:val="24"/>
        </w:rPr>
        <w:t xml:space="preserve">ALP, OCN, </w:t>
      </w:r>
      <w:r w:rsidRPr="00C8486A">
        <w:rPr>
          <w:rFonts w:ascii="Times New Roman" w:eastAsia="等线" w:hAnsi="Times New Roman" w:cs="Times New Roman"/>
          <w:sz w:val="24"/>
          <w:szCs w:val="24"/>
        </w:rPr>
        <w:t xml:space="preserve">and </w:t>
      </w:r>
      <w:r w:rsidRPr="00C8486A">
        <w:rPr>
          <w:rFonts w:ascii="Times New Roman" w:hAnsi="Times New Roman" w:cs="Times New Roman"/>
          <w:sz w:val="24"/>
          <w:szCs w:val="24"/>
        </w:rPr>
        <w:t xml:space="preserve">Runx2 </w:t>
      </w:r>
      <w:bookmarkEnd w:id="2"/>
      <w:r w:rsidRPr="00C8486A">
        <w:rPr>
          <w:rFonts w:ascii="Times New Roman" w:hAnsi="Times New Roman" w:cs="Times New Roman"/>
          <w:sz w:val="24"/>
          <w:szCs w:val="24"/>
        </w:rPr>
        <w:t>during osteogenic differentiation of MSCs (n=15).</w:t>
      </w:r>
    </w:p>
    <w:p w14:paraId="510A703D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</w:p>
    <w:p w14:paraId="1880B69E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75BA64B2" wp14:editId="0AB5EDC3">
            <wp:extent cx="5274310" cy="3838575"/>
            <wp:effectExtent l="0" t="0" r="254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EA98CD" w14:textId="77777777" w:rsidR="00CB3B8D" w:rsidRPr="00C8486A" w:rsidRDefault="00CB3B8D" w:rsidP="00CB3B8D">
      <w:pPr>
        <w:spacing w:line="480" w:lineRule="auto"/>
        <w:rPr>
          <w:rFonts w:ascii="Times New Roman" w:eastAsia="宋体" w:hAnsi="Times New Roman" w:cs="Times New Roman"/>
          <w:sz w:val="24"/>
          <w:szCs w:val="28"/>
        </w:rPr>
      </w:pPr>
      <w:r w:rsidRPr="00C8486A">
        <w:rPr>
          <w:rFonts w:ascii="Times New Roman" w:hAnsi="Times New Roman" w:cs="Times New Roman" w:hint="eastAsia"/>
          <w:sz w:val="24"/>
          <w:szCs w:val="28"/>
        </w:rPr>
        <w:t>S</w:t>
      </w:r>
      <w:r w:rsidRPr="00C8486A">
        <w:rPr>
          <w:rFonts w:ascii="Times New Roman" w:hAnsi="Times New Roman" w:cs="Times New Roman"/>
          <w:sz w:val="24"/>
          <w:szCs w:val="28"/>
        </w:rPr>
        <w:t>upplementary figure 2. (A, B)</w:t>
      </w:r>
      <w:r w:rsidRPr="00C8486A">
        <w:rPr>
          <w:rFonts w:ascii="Times New Roman" w:eastAsia="宋体" w:hAnsi="Times New Roman" w:cs="Times New Roman"/>
          <w:sz w:val="24"/>
          <w:szCs w:val="28"/>
        </w:rPr>
        <w:t xml:space="preserve"> </w:t>
      </w:r>
      <w:bookmarkStart w:id="3" w:name="_Hlk30150973"/>
      <w:r w:rsidRPr="00C8486A">
        <w:rPr>
          <w:rFonts w:ascii="Times New Roman" w:eastAsia="宋体" w:hAnsi="Times New Roman" w:cs="Times New Roman"/>
          <w:sz w:val="24"/>
          <w:szCs w:val="28"/>
        </w:rPr>
        <w:t>Western blot analy</w:t>
      </w:r>
      <w:r w:rsidRPr="00C8486A">
        <w:rPr>
          <w:rFonts w:ascii="Times New Roman" w:eastAsia="宋体" w:hAnsi="Times New Roman" w:cs="Times New Roman" w:hint="eastAsia"/>
          <w:sz w:val="24"/>
          <w:szCs w:val="28"/>
        </w:rPr>
        <w:t>sis</w:t>
      </w:r>
      <w:r w:rsidRPr="00C8486A">
        <w:rPr>
          <w:rFonts w:ascii="Times New Roman" w:eastAsia="宋体" w:hAnsi="Times New Roman" w:cs="Times New Roman"/>
          <w:sz w:val="24"/>
          <w:szCs w:val="28"/>
        </w:rPr>
        <w:t xml:space="preserve"> and quantification of osteogenesis markers (Col1a1, Runx2, OCN) in GAS5 knockdown or overexpression conditions.</w:t>
      </w:r>
      <w:bookmarkEnd w:id="3"/>
      <w:r w:rsidRPr="00C8486A">
        <w:rPr>
          <w:rFonts w:ascii="Times New Roman" w:eastAsia="宋体" w:hAnsi="Times New Roman" w:cs="Times New Roman"/>
          <w:sz w:val="24"/>
          <w:szCs w:val="28"/>
        </w:rPr>
        <w:t xml:space="preserve"> (</w:t>
      </w:r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 xml:space="preserve">C) </w:t>
      </w:r>
      <w:r w:rsidRPr="00C8486A">
        <w:rPr>
          <w:rFonts w:ascii="Times New Roman" w:hAnsi="Times New Roman" w:cs="Times New Roman"/>
          <w:color w:val="FF0000"/>
          <w:sz w:val="24"/>
          <w:szCs w:val="24"/>
        </w:rPr>
        <w:lastRenderedPageBreak/>
        <w:t>The quantification of OCN immunohistochemical staining of in vivo bone formation tests in GAS5 knockdown or overexpression treatment.</w:t>
      </w:r>
    </w:p>
    <w:p w14:paraId="6EF4BC4C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</w:p>
    <w:p w14:paraId="3DE8A8EB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006F174D" wp14:editId="40DDA70F">
            <wp:extent cx="5274310" cy="5451475"/>
            <wp:effectExtent l="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5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A51C36" w14:textId="77777777" w:rsidR="00CB3B8D" w:rsidRPr="00C8486A" w:rsidRDefault="00CB3B8D" w:rsidP="00CB3B8D">
      <w:pPr>
        <w:spacing w:line="480" w:lineRule="auto"/>
        <w:rPr>
          <w:rFonts w:ascii="Times New Roman" w:eastAsia="宋体" w:hAnsi="Times New Roman" w:cs="Times New Roman"/>
          <w:sz w:val="24"/>
          <w:szCs w:val="28"/>
        </w:rPr>
      </w:pPr>
      <w:r w:rsidRPr="00C8486A">
        <w:rPr>
          <w:rFonts w:ascii="Times New Roman" w:hAnsi="Times New Roman" w:cs="Times New Roman" w:hint="eastAsia"/>
          <w:sz w:val="24"/>
          <w:szCs w:val="28"/>
        </w:rPr>
        <w:t>S</w:t>
      </w:r>
      <w:r w:rsidRPr="00C8486A">
        <w:rPr>
          <w:rFonts w:ascii="Times New Roman" w:hAnsi="Times New Roman" w:cs="Times New Roman"/>
          <w:sz w:val="24"/>
          <w:szCs w:val="28"/>
        </w:rPr>
        <w:t xml:space="preserve">upplementary figure 3. </w:t>
      </w:r>
      <w:bookmarkStart w:id="4" w:name="_Hlk30151022"/>
      <w:r w:rsidRPr="00C8486A">
        <w:rPr>
          <w:rFonts w:ascii="Times New Roman" w:hAnsi="Times New Roman" w:cs="Times New Roman"/>
          <w:sz w:val="24"/>
          <w:szCs w:val="28"/>
        </w:rPr>
        <w:t xml:space="preserve">(A) </w:t>
      </w:r>
      <w:proofErr w:type="spellStart"/>
      <w:r w:rsidRPr="00C8486A">
        <w:rPr>
          <w:rFonts w:ascii="Times New Roman" w:hAnsi="Times New Roman" w:cs="Times New Roman"/>
          <w:sz w:val="24"/>
          <w:szCs w:val="28"/>
        </w:rPr>
        <w:t>qRT</w:t>
      </w:r>
      <w:proofErr w:type="spellEnd"/>
      <w:r w:rsidRPr="00C8486A">
        <w:rPr>
          <w:rFonts w:ascii="Times New Roman" w:hAnsi="Times New Roman" w:cs="Times New Roman"/>
          <w:sz w:val="24"/>
          <w:szCs w:val="28"/>
        </w:rPr>
        <w:t xml:space="preserve">-PCR </w:t>
      </w:r>
      <w:r w:rsidRPr="00C8486A">
        <w:rPr>
          <w:rFonts w:ascii="Times New Roman" w:eastAsia="等线" w:hAnsi="Times New Roman" w:cs="Times New Roman"/>
          <w:sz w:val="24"/>
          <w:szCs w:val="28"/>
        </w:rPr>
        <w:t>analysis</w:t>
      </w:r>
      <w:r w:rsidRPr="00C8486A">
        <w:rPr>
          <w:rFonts w:ascii="Times New Roman" w:hAnsi="Times New Roman" w:cs="Times New Roman"/>
          <w:sz w:val="24"/>
          <w:szCs w:val="28"/>
        </w:rPr>
        <w:t xml:space="preserve"> of the GAS5 adjacent genes in GAS5 </w:t>
      </w:r>
      <w:r w:rsidRPr="00C8486A">
        <w:rPr>
          <w:rFonts w:ascii="Times New Roman" w:eastAsia="等线" w:hAnsi="Times New Roman" w:cs="Times New Roman"/>
          <w:sz w:val="24"/>
          <w:szCs w:val="28"/>
        </w:rPr>
        <w:t>knockdown conditions</w:t>
      </w:r>
      <w:r w:rsidRPr="00C8486A">
        <w:rPr>
          <w:rFonts w:ascii="Times New Roman" w:hAnsi="Times New Roman" w:cs="Times New Roman"/>
          <w:sz w:val="24"/>
          <w:szCs w:val="28"/>
        </w:rPr>
        <w:t>.</w:t>
      </w:r>
      <w:bookmarkEnd w:id="4"/>
      <w:r w:rsidRPr="00C8486A">
        <w:rPr>
          <w:rFonts w:ascii="Times New Roman" w:hAnsi="Times New Roman" w:cs="Times New Roman"/>
          <w:sz w:val="24"/>
          <w:szCs w:val="28"/>
        </w:rPr>
        <w:t xml:space="preserve"> ZBTB37 (zinc finger and BTB domain containing 37), RC3H1 (ring finger and CCCH-type domains 1), SERPINC1 (serpin family C member 1), ZBTB37 (zinc finger and BTB domain containing 37), TNN (tenascin N), DARS2 (aspartyl-tRNA synthetase 2, mitochondrial), TNR (tenascin R), CACYBP (</w:t>
      </w:r>
      <w:proofErr w:type="spellStart"/>
      <w:r w:rsidRPr="00C8486A">
        <w:rPr>
          <w:rFonts w:ascii="Times New Roman" w:hAnsi="Times New Roman" w:cs="Times New Roman"/>
          <w:sz w:val="24"/>
          <w:szCs w:val="28"/>
        </w:rPr>
        <w:t>calcyclin</w:t>
      </w:r>
      <w:proofErr w:type="spellEnd"/>
      <w:r w:rsidRPr="00C8486A">
        <w:rPr>
          <w:rFonts w:ascii="Times New Roman" w:hAnsi="Times New Roman" w:cs="Times New Roman"/>
          <w:sz w:val="24"/>
          <w:szCs w:val="28"/>
        </w:rPr>
        <w:t xml:space="preserve"> </w:t>
      </w:r>
      <w:r w:rsidRPr="00C8486A">
        <w:rPr>
          <w:rFonts w:ascii="Times New Roman" w:hAnsi="Times New Roman" w:cs="Times New Roman"/>
          <w:sz w:val="24"/>
          <w:szCs w:val="28"/>
        </w:rPr>
        <w:lastRenderedPageBreak/>
        <w:t>binding protein), KIAA0040 (KIAA0040), SUCO (SUN domain containing ossification factor), DNM3 (dynamin 3), PIGC (phosphatidylinositol glycan anchor biosynthesis class C), FASLG (</w:t>
      </w:r>
      <w:proofErr w:type="spellStart"/>
      <w:r w:rsidRPr="00C8486A">
        <w:rPr>
          <w:rFonts w:ascii="Times New Roman" w:hAnsi="Times New Roman" w:cs="Times New Roman"/>
          <w:sz w:val="24"/>
          <w:szCs w:val="28"/>
        </w:rPr>
        <w:t>Fas</w:t>
      </w:r>
      <w:proofErr w:type="spellEnd"/>
      <w:r w:rsidRPr="00C8486A">
        <w:rPr>
          <w:rFonts w:ascii="Times New Roman" w:hAnsi="Times New Roman" w:cs="Times New Roman"/>
          <w:sz w:val="24"/>
          <w:szCs w:val="28"/>
        </w:rPr>
        <w:t xml:space="preserve"> ligand), TNFSF18 (TNF superfamily member 18), TNFSF4 (TNF superfamily member 4), PRDX6 (peroxiredoxin 6), ANKRD45 (ankyrin repeat domain 45), TEX50 (testis expressed 50), KLHL20 (</w:t>
      </w:r>
      <w:proofErr w:type="spellStart"/>
      <w:r w:rsidRPr="00C8486A">
        <w:rPr>
          <w:rFonts w:ascii="Times New Roman" w:hAnsi="Times New Roman" w:cs="Times New Roman"/>
          <w:sz w:val="24"/>
          <w:szCs w:val="28"/>
        </w:rPr>
        <w:t>kelch</w:t>
      </w:r>
      <w:proofErr w:type="spellEnd"/>
      <w:r w:rsidRPr="00C8486A">
        <w:rPr>
          <w:rFonts w:ascii="Times New Roman" w:hAnsi="Times New Roman" w:cs="Times New Roman"/>
          <w:sz w:val="24"/>
          <w:szCs w:val="28"/>
        </w:rPr>
        <w:t xml:space="preserve"> like family member 20), SLC9C2 (solute carrier family 9 member C2 (putative)), CENPL (centromere protein L). (</w:t>
      </w:r>
      <w:r w:rsidRPr="00C8486A">
        <w:rPr>
          <w:rFonts w:ascii="Times New Roman" w:hAnsi="Times New Roman" w:cs="Times New Roman"/>
          <w:color w:val="FF0000"/>
          <w:sz w:val="24"/>
          <w:szCs w:val="28"/>
        </w:rPr>
        <w:t xml:space="preserve">B, C) </w:t>
      </w:r>
      <w:bookmarkStart w:id="5" w:name="_Hlk30151037"/>
      <w:bookmarkStart w:id="6" w:name="_Hlk48488669"/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>Western blot analysis of the pathway (catenin, ERK, Smad2/3, Smurf1, Smurf2) in GAS5 knockdown or overexpression conditions</w:t>
      </w:r>
      <w:bookmarkEnd w:id="5"/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>.</w:t>
      </w:r>
      <w:bookmarkEnd w:id="6"/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 xml:space="preserve"> (D)</w:t>
      </w:r>
      <w:r w:rsidRPr="00C8486A">
        <w:rPr>
          <w:rFonts w:ascii="Times New Roman" w:eastAsia="宋体" w:hAnsi="Times New Roman" w:cs="Times New Roman"/>
          <w:sz w:val="24"/>
          <w:szCs w:val="28"/>
        </w:rPr>
        <w:t xml:space="preserve"> </w:t>
      </w:r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>Quantification for Western blot analysis of β-catenin, ERK, Smad2/3, Smurf1 and Smurf2. (E, F, G, H, I, J)</w:t>
      </w:r>
      <w:r w:rsidRPr="00C8486A">
        <w:rPr>
          <w:rFonts w:ascii="Times New Roman" w:eastAsia="宋体" w:hAnsi="Times New Roman" w:cs="Times New Roman"/>
          <w:sz w:val="24"/>
          <w:szCs w:val="28"/>
        </w:rPr>
        <w:t xml:space="preserve"> Western blot analysis of BMP2, BMP4, BMP7, and Smad6 in GAS5 knockdown or overexpression conditions. (</w:t>
      </w:r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>K)</w:t>
      </w:r>
      <w:r w:rsidRPr="00C8486A">
        <w:rPr>
          <w:rFonts w:ascii="Times New Roman" w:eastAsia="宋体" w:hAnsi="Times New Roman" w:cs="Times New Roman"/>
          <w:sz w:val="24"/>
          <w:szCs w:val="28"/>
        </w:rPr>
        <w:t xml:space="preserve"> RNA fold model of GAS5 predicted on the </w:t>
      </w:r>
      <w:proofErr w:type="spellStart"/>
      <w:r w:rsidRPr="00C8486A">
        <w:rPr>
          <w:rFonts w:ascii="Times New Roman" w:eastAsia="宋体" w:hAnsi="Times New Roman" w:cs="Times New Roman"/>
          <w:i/>
          <w:iCs/>
          <w:sz w:val="24"/>
          <w:szCs w:val="28"/>
        </w:rPr>
        <w:t>RNAfold</w:t>
      </w:r>
      <w:proofErr w:type="spellEnd"/>
      <w:r w:rsidRPr="00C8486A">
        <w:rPr>
          <w:rFonts w:ascii="Times New Roman" w:eastAsia="宋体" w:hAnsi="Times New Roman" w:cs="Times New Roman"/>
          <w:i/>
          <w:iCs/>
          <w:sz w:val="24"/>
          <w:szCs w:val="28"/>
        </w:rPr>
        <w:t xml:space="preserve"> web server </w:t>
      </w:r>
      <w:r w:rsidRPr="00C8486A">
        <w:rPr>
          <w:rFonts w:ascii="Times New Roman" w:eastAsia="宋体" w:hAnsi="Times New Roman" w:cs="Times New Roman"/>
          <w:sz w:val="24"/>
          <w:szCs w:val="28"/>
        </w:rPr>
        <w:t>website (</w:t>
      </w:r>
      <w:hyperlink r:id="rId9" w:history="1">
        <w:r w:rsidRPr="00C8486A">
          <w:rPr>
            <w:rStyle w:val="a7"/>
            <w:rFonts w:ascii="Times New Roman" w:eastAsia="宋体" w:hAnsi="Times New Roman" w:cs="Times New Roman"/>
            <w:sz w:val="24"/>
            <w:szCs w:val="28"/>
          </w:rPr>
          <w:t>http://rna.tbi.univie.ac.at//cgi-bin/RNAWebSuite/RNAfold.cgi</w:t>
        </w:r>
      </w:hyperlink>
      <w:r w:rsidRPr="00C8486A">
        <w:rPr>
          <w:rFonts w:ascii="Times New Roman" w:eastAsia="宋体" w:hAnsi="Times New Roman" w:cs="Times New Roman"/>
          <w:sz w:val="24"/>
          <w:szCs w:val="28"/>
        </w:rPr>
        <w:t xml:space="preserve">). </w:t>
      </w:r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 xml:space="preserve">The rainbow color means the base-pair probabilities of the predicted folded RNA. The area </w:t>
      </w:r>
      <w:r w:rsidRPr="00C8486A">
        <w:rPr>
          <w:rFonts w:ascii="Times New Roman" w:eastAsia="宋体" w:hAnsi="Times New Roman" w:cs="Times New Roman" w:hint="eastAsia"/>
          <w:color w:val="FF0000"/>
          <w:sz w:val="24"/>
          <w:szCs w:val="28"/>
        </w:rPr>
        <w:t>of</w:t>
      </w:r>
      <w:r w:rsidRPr="00C8486A">
        <w:rPr>
          <w:rFonts w:ascii="Times New Roman" w:eastAsia="宋体" w:hAnsi="Times New Roman" w:cs="Times New Roman"/>
          <w:color w:val="FF0000"/>
          <w:sz w:val="24"/>
          <w:szCs w:val="28"/>
        </w:rPr>
        <w:t xml:space="preserve"> GAS5 combined with UPF1 was painted with lavender. (L) RIP assay with anti-UPF1 showed the binding of UPF1 and Smad6 mRNA.</w:t>
      </w:r>
    </w:p>
    <w:p w14:paraId="5637F91D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</w:p>
    <w:p w14:paraId="3C5CC1E6" w14:textId="77777777" w:rsidR="00CB3B8D" w:rsidRDefault="00CB3B8D" w:rsidP="00CB3B8D">
      <w:pPr>
        <w:spacing w:line="480" w:lineRule="auto"/>
        <w:rPr>
          <w:rFonts w:ascii="Times New Roman" w:hAnsi="Times New Roman" w:cs="Times New Roman"/>
        </w:rPr>
      </w:pPr>
      <w:r>
        <w:rPr>
          <w:noProof/>
        </w:rPr>
        <w:lastRenderedPageBreak/>
        <w:drawing>
          <wp:inline distT="0" distB="0" distL="0" distR="0" wp14:anchorId="125ECC3C" wp14:editId="59CDDA4F">
            <wp:extent cx="5274310" cy="3993515"/>
            <wp:effectExtent l="0" t="0" r="2540" b="698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9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8771C4" w14:textId="77777777" w:rsidR="00CB3B8D" w:rsidRPr="00C8486A" w:rsidRDefault="00CB3B8D" w:rsidP="00CB3B8D">
      <w:pPr>
        <w:spacing w:line="480" w:lineRule="auto"/>
        <w:rPr>
          <w:rFonts w:ascii="Times New Roman" w:hAnsi="Times New Roman" w:cs="Times New Roman"/>
          <w:sz w:val="24"/>
          <w:szCs w:val="28"/>
        </w:rPr>
      </w:pPr>
      <w:r w:rsidRPr="00C8486A">
        <w:rPr>
          <w:rFonts w:ascii="Times New Roman" w:hAnsi="Times New Roman" w:cs="Times New Roman" w:hint="eastAsia"/>
          <w:sz w:val="24"/>
          <w:szCs w:val="28"/>
        </w:rPr>
        <w:t>S</w:t>
      </w:r>
      <w:r w:rsidRPr="00C8486A">
        <w:rPr>
          <w:rFonts w:ascii="Times New Roman" w:hAnsi="Times New Roman" w:cs="Times New Roman"/>
          <w:sz w:val="24"/>
          <w:szCs w:val="28"/>
        </w:rPr>
        <w:t xml:space="preserve">upplementary figure 4. (A, B) </w:t>
      </w:r>
      <w:bookmarkStart w:id="7" w:name="_Hlk30151079"/>
      <w:r w:rsidRPr="00C8486A">
        <w:rPr>
          <w:rFonts w:ascii="Times New Roman" w:hAnsi="Times New Roman" w:cs="Times New Roman"/>
          <w:sz w:val="24"/>
          <w:szCs w:val="28"/>
        </w:rPr>
        <w:t>Relative Gas5 expression in the tails of GAS5</w:t>
      </w:r>
      <w:r w:rsidRPr="00C8486A">
        <w:rPr>
          <w:rFonts w:ascii="Times New Roman" w:hAnsi="Times New Roman" w:cs="Times New Roman"/>
          <w:sz w:val="24"/>
          <w:szCs w:val="28"/>
          <w:vertAlign w:val="superscript"/>
        </w:rPr>
        <w:t>+/+</w:t>
      </w:r>
      <w:r w:rsidRPr="00C8486A">
        <w:rPr>
          <w:rFonts w:ascii="Times New Roman" w:hAnsi="Times New Roman" w:cs="Times New Roman"/>
          <w:sz w:val="24"/>
          <w:szCs w:val="28"/>
        </w:rPr>
        <w:t xml:space="preserve"> (n=6) and GAS5</w:t>
      </w:r>
      <w:r w:rsidRPr="00C8486A">
        <w:rPr>
          <w:rFonts w:ascii="Times New Roman" w:hAnsi="Times New Roman" w:cs="Times New Roman"/>
          <w:sz w:val="24"/>
          <w:szCs w:val="28"/>
          <w:vertAlign w:val="superscript"/>
        </w:rPr>
        <w:t>+/-</w:t>
      </w:r>
      <w:r w:rsidRPr="00C8486A">
        <w:rPr>
          <w:rFonts w:ascii="Times New Roman" w:hAnsi="Times New Roman" w:cs="Times New Roman"/>
          <w:sz w:val="24"/>
          <w:szCs w:val="28"/>
        </w:rPr>
        <w:t xml:space="preserve"> (n=6) </w:t>
      </w:r>
      <w:r w:rsidRPr="00C8486A">
        <w:rPr>
          <w:rFonts w:ascii="Times New Roman" w:eastAsia="等线" w:hAnsi="Times New Roman" w:cs="Times New Roman"/>
          <w:sz w:val="24"/>
          <w:szCs w:val="28"/>
        </w:rPr>
        <w:t>mice</w:t>
      </w:r>
      <w:bookmarkEnd w:id="7"/>
      <w:r w:rsidRPr="00C8486A">
        <w:rPr>
          <w:rFonts w:ascii="Times New Roman" w:hAnsi="Times New Roman" w:cs="Times New Roman"/>
          <w:sz w:val="24"/>
          <w:szCs w:val="28"/>
        </w:rPr>
        <w:t xml:space="preserve"> analyzed by </w:t>
      </w:r>
      <w:proofErr w:type="spellStart"/>
      <w:r w:rsidRPr="00C8486A">
        <w:rPr>
          <w:rFonts w:ascii="Times New Roman" w:hAnsi="Times New Roman" w:cs="Times New Roman"/>
          <w:sz w:val="24"/>
          <w:szCs w:val="28"/>
        </w:rPr>
        <w:t>qRT</w:t>
      </w:r>
      <w:proofErr w:type="spellEnd"/>
      <w:r w:rsidRPr="00C8486A">
        <w:rPr>
          <w:rFonts w:ascii="Times New Roman" w:hAnsi="Times New Roman" w:cs="Times New Roman"/>
          <w:sz w:val="24"/>
          <w:szCs w:val="28"/>
        </w:rPr>
        <w:t>-PCR and agarose gel electrophoresis. (C) Relative mRNA expression of GAS5, UPF1 and Smad7 in BMSC of GAS5</w:t>
      </w:r>
      <w:r w:rsidRPr="00C8486A">
        <w:rPr>
          <w:rFonts w:ascii="Times New Roman" w:hAnsi="Times New Roman" w:cs="Times New Roman"/>
          <w:sz w:val="24"/>
          <w:szCs w:val="28"/>
          <w:vertAlign w:val="superscript"/>
        </w:rPr>
        <w:t xml:space="preserve">+/- </w:t>
      </w:r>
      <w:r w:rsidRPr="00C8486A">
        <w:rPr>
          <w:rFonts w:ascii="Times New Roman" w:hAnsi="Times New Roman" w:cs="Times New Roman"/>
          <w:sz w:val="24"/>
          <w:szCs w:val="28"/>
        </w:rPr>
        <w:t>and WT mice (n=6). (</w:t>
      </w:r>
      <w:r w:rsidRPr="00C8486A">
        <w:rPr>
          <w:rFonts w:ascii="Times New Roman" w:hAnsi="Times New Roman" w:cs="Times New Roman"/>
          <w:color w:val="FF0000"/>
          <w:sz w:val="24"/>
          <w:szCs w:val="28"/>
        </w:rPr>
        <w:t xml:space="preserve">D) The mRNA level of </w:t>
      </w:r>
      <w:r w:rsidRPr="00C8486A">
        <w:rPr>
          <w:rFonts w:ascii="Times New Roman" w:hAnsi="Times New Roman" w:cs="Times New Roman"/>
          <w:color w:val="FF0000"/>
          <w:sz w:val="24"/>
          <w:szCs w:val="24"/>
        </w:rPr>
        <w:t xml:space="preserve">GAS5 in cancellous bone of </w:t>
      </w:r>
      <w:r w:rsidRPr="00C8486A">
        <w:rPr>
          <w:rFonts w:ascii="Times New Roman" w:eastAsia="宋体" w:hAnsi="Times New Roman" w:cs="Times New Roman"/>
          <w:color w:val="FF0000"/>
          <w:sz w:val="24"/>
          <w:szCs w:val="24"/>
        </w:rPr>
        <w:t>GAS5</w:t>
      </w:r>
      <w:r w:rsidRPr="00C8486A">
        <w:rPr>
          <w:rFonts w:ascii="Times New Roman" w:eastAsia="宋体" w:hAnsi="Times New Roman" w:cs="Times New Roman"/>
          <w:color w:val="FF0000"/>
          <w:sz w:val="24"/>
          <w:szCs w:val="24"/>
          <w:vertAlign w:val="superscript"/>
        </w:rPr>
        <w:t>+/-</w:t>
      </w:r>
      <w:r w:rsidRPr="00C8486A">
        <w:rPr>
          <w:rFonts w:ascii="Times New Roman" w:hAnsi="Times New Roman" w:cs="Times New Roman"/>
          <w:color w:val="FF0000"/>
          <w:sz w:val="24"/>
          <w:szCs w:val="24"/>
        </w:rPr>
        <w:t xml:space="preserve">mice and WT mice. (E) The quantification of OCN immunohistochemical staining of </w:t>
      </w:r>
      <w:r w:rsidRPr="00C8486A">
        <w:rPr>
          <w:rFonts w:ascii="Times New Roman" w:eastAsia="宋体" w:hAnsi="Times New Roman" w:cs="Times New Roman"/>
          <w:color w:val="FF0000"/>
          <w:sz w:val="24"/>
          <w:szCs w:val="24"/>
        </w:rPr>
        <w:t>GAS5</w:t>
      </w:r>
      <w:r w:rsidRPr="00C8486A">
        <w:rPr>
          <w:rFonts w:ascii="Times New Roman" w:eastAsia="宋体" w:hAnsi="Times New Roman" w:cs="Times New Roman"/>
          <w:color w:val="FF0000"/>
          <w:sz w:val="24"/>
          <w:szCs w:val="24"/>
          <w:vertAlign w:val="superscript"/>
        </w:rPr>
        <w:t>+/-</w:t>
      </w:r>
      <w:r w:rsidRPr="00C8486A">
        <w:rPr>
          <w:rFonts w:ascii="Times New Roman" w:hAnsi="Times New Roman" w:cs="Times New Roman"/>
          <w:color w:val="FF0000"/>
          <w:sz w:val="24"/>
          <w:szCs w:val="24"/>
        </w:rPr>
        <w:t xml:space="preserve">mice and WT mice. (F) The quantification of OCN immunohistochemical staining of the control mice (n=6), osteoporosis mouse model (n=6) or GAS5-overexpressing adenovirus-treated mice. (G) </w:t>
      </w:r>
      <w:r w:rsidRPr="00C8486A">
        <w:rPr>
          <w:rFonts w:ascii="Times New Roman" w:eastAsia="宋体" w:hAnsi="Times New Roman" w:cs="Times New Roman"/>
          <w:sz w:val="24"/>
          <w:szCs w:val="28"/>
        </w:rPr>
        <w:t xml:space="preserve">Western blot analysis of </w:t>
      </w:r>
      <w:bookmarkStart w:id="8" w:name="_Hlk30151096"/>
      <w:r w:rsidRPr="00C8486A">
        <w:rPr>
          <w:rFonts w:ascii="Times New Roman" w:eastAsia="宋体" w:hAnsi="Times New Roman" w:cs="Times New Roman"/>
          <w:sz w:val="24"/>
          <w:szCs w:val="28"/>
        </w:rPr>
        <w:t xml:space="preserve">the pathway (catenin, ERK) in </w:t>
      </w:r>
      <w:r w:rsidRPr="00C8486A">
        <w:rPr>
          <w:rFonts w:ascii="Times New Roman" w:hAnsi="Times New Roman" w:cs="Times New Roman"/>
          <w:sz w:val="24"/>
          <w:szCs w:val="28"/>
        </w:rPr>
        <w:t xml:space="preserve">the protein from </w:t>
      </w:r>
      <w:r w:rsidRPr="00C8486A">
        <w:rPr>
          <w:rFonts w:ascii="Times New Roman" w:eastAsia="等线" w:hAnsi="Times New Roman" w:cs="Times New Roman"/>
          <w:sz w:val="24"/>
          <w:szCs w:val="28"/>
        </w:rPr>
        <w:t xml:space="preserve">the </w:t>
      </w:r>
      <w:r w:rsidRPr="00C8486A">
        <w:rPr>
          <w:rFonts w:ascii="Times New Roman" w:hAnsi="Times New Roman" w:cs="Times New Roman"/>
          <w:sz w:val="24"/>
          <w:szCs w:val="28"/>
        </w:rPr>
        <w:t>tibia</w:t>
      </w:r>
      <w:bookmarkEnd w:id="8"/>
      <w:r w:rsidRPr="00C8486A">
        <w:rPr>
          <w:rFonts w:ascii="Times New Roman" w:hAnsi="Times New Roman" w:cs="Times New Roman"/>
          <w:sz w:val="24"/>
          <w:szCs w:val="28"/>
        </w:rPr>
        <w:t xml:space="preserve"> of GAS5</w:t>
      </w:r>
      <w:r w:rsidRPr="00C8486A">
        <w:rPr>
          <w:rFonts w:ascii="Times New Roman" w:hAnsi="Times New Roman" w:cs="Times New Roman"/>
          <w:sz w:val="24"/>
          <w:szCs w:val="28"/>
          <w:vertAlign w:val="superscript"/>
        </w:rPr>
        <w:t>+/+</w:t>
      </w:r>
      <w:r w:rsidRPr="00C8486A">
        <w:rPr>
          <w:rFonts w:ascii="Times New Roman" w:hAnsi="Times New Roman" w:cs="Times New Roman"/>
          <w:sz w:val="24"/>
          <w:szCs w:val="28"/>
        </w:rPr>
        <w:t xml:space="preserve"> (n=6) and GAS5</w:t>
      </w:r>
      <w:r w:rsidRPr="00C8486A">
        <w:rPr>
          <w:rFonts w:ascii="Times New Roman" w:hAnsi="Times New Roman" w:cs="Times New Roman"/>
          <w:sz w:val="24"/>
          <w:szCs w:val="28"/>
          <w:vertAlign w:val="superscript"/>
        </w:rPr>
        <w:t>+/-</w:t>
      </w:r>
      <w:r w:rsidRPr="00C8486A">
        <w:rPr>
          <w:rFonts w:ascii="Times New Roman" w:hAnsi="Times New Roman" w:cs="Times New Roman"/>
          <w:sz w:val="24"/>
          <w:szCs w:val="28"/>
        </w:rPr>
        <w:t xml:space="preserve"> </w:t>
      </w:r>
      <w:r w:rsidRPr="00C8486A">
        <w:rPr>
          <w:rFonts w:ascii="Times New Roman" w:eastAsia="等线" w:hAnsi="Times New Roman" w:cs="Times New Roman"/>
          <w:sz w:val="24"/>
          <w:szCs w:val="28"/>
        </w:rPr>
        <w:t>mice</w:t>
      </w:r>
      <w:r w:rsidRPr="00C8486A">
        <w:rPr>
          <w:rFonts w:ascii="Times New Roman" w:hAnsi="Times New Roman" w:cs="Times New Roman"/>
          <w:sz w:val="24"/>
          <w:szCs w:val="28"/>
        </w:rPr>
        <w:t xml:space="preserve"> (n=6).</w:t>
      </w:r>
    </w:p>
    <w:bookmarkEnd w:id="0"/>
    <w:p w14:paraId="41A0CFF4" w14:textId="77777777" w:rsidR="009329F0" w:rsidRPr="00CB3B8D" w:rsidRDefault="009329F0"/>
    <w:sectPr w:rsidR="009329F0" w:rsidRPr="00CB3B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CB147" w14:textId="77777777" w:rsidR="007531EC" w:rsidRDefault="007531EC" w:rsidP="00CB3B8D">
      <w:r>
        <w:separator/>
      </w:r>
    </w:p>
  </w:endnote>
  <w:endnote w:type="continuationSeparator" w:id="0">
    <w:p w14:paraId="429EA2E0" w14:textId="77777777" w:rsidR="007531EC" w:rsidRDefault="007531EC" w:rsidP="00CB3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36DE07" w14:textId="77777777" w:rsidR="007531EC" w:rsidRDefault="007531EC" w:rsidP="00CB3B8D">
      <w:r>
        <w:separator/>
      </w:r>
    </w:p>
  </w:footnote>
  <w:footnote w:type="continuationSeparator" w:id="0">
    <w:p w14:paraId="675CD9B5" w14:textId="77777777" w:rsidR="007531EC" w:rsidRDefault="007531EC" w:rsidP="00CB3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3CF"/>
    <w:rsid w:val="005603CF"/>
    <w:rsid w:val="007531EC"/>
    <w:rsid w:val="009329F0"/>
    <w:rsid w:val="00CB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6275C9-B49D-43BE-8402-8688D6F9A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3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B3B8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B3B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B3B8D"/>
    <w:rPr>
      <w:sz w:val="18"/>
      <w:szCs w:val="18"/>
    </w:rPr>
  </w:style>
  <w:style w:type="character" w:styleId="a7">
    <w:name w:val="Hyperlink"/>
    <w:basedOn w:val="a0"/>
    <w:uiPriority w:val="99"/>
    <w:unhideWhenUsed/>
    <w:rsid w:val="00CB3B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jpeg"/><Relationship Id="rId4" Type="http://schemas.openxmlformats.org/officeDocument/2006/relationships/footnotes" Target="footnotes.xml"/><Relationship Id="rId9" Type="http://schemas.openxmlformats.org/officeDocument/2006/relationships/hyperlink" Target="http://rna.tbi.univie.ac.at//cgi-bin/RNAWebSuite/RNAfold.cgi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449</Words>
  <Characters>2564</Characters>
  <Application>Microsoft Office Word</Application>
  <DocSecurity>0</DocSecurity>
  <Lines>21</Lines>
  <Paragraphs>6</Paragraphs>
  <ScaleCrop>false</ScaleCrop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Ming</dc:creator>
  <cp:keywords/>
  <dc:description/>
  <cp:lastModifiedBy>Li Ming</cp:lastModifiedBy>
  <cp:revision>2</cp:revision>
  <dcterms:created xsi:type="dcterms:W3CDTF">2020-08-23T10:44:00Z</dcterms:created>
  <dcterms:modified xsi:type="dcterms:W3CDTF">2020-08-23T10:44:00Z</dcterms:modified>
</cp:coreProperties>
</file>