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E54D" w14:textId="23FAF11C" w:rsidR="00E050EC" w:rsidRDefault="00E050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 1a</w:t>
      </w:r>
    </w:p>
    <w:p w14:paraId="7D3666F5" w14:textId="038FF947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4"/>
        <w:gridCol w:w="302"/>
        <w:gridCol w:w="402"/>
        <w:gridCol w:w="302"/>
        <w:gridCol w:w="302"/>
        <w:gridCol w:w="302"/>
        <w:gridCol w:w="342"/>
        <w:gridCol w:w="302"/>
        <w:gridCol w:w="302"/>
      </w:tblGrid>
      <w:tr w:rsidR="00E050EC" w:rsidRPr="00A03A8F" w14:paraId="2EEED90B" w14:textId="77777777" w:rsidTr="001170DA">
        <w:trPr>
          <w:trHeight w:val="390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8" w:space="0" w:color="595959"/>
              <w:right w:val="single" w:sz="4" w:space="0" w:color="80808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18CB0D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NfsA Variant</w:t>
            </w:r>
          </w:p>
        </w:tc>
        <w:tc>
          <w:tcPr>
            <w:tcW w:w="302" w:type="dxa"/>
            <w:tcBorders>
              <w:top w:val="single" w:sz="4" w:space="0" w:color="595959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713289E9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S41</w:t>
            </w:r>
          </w:p>
        </w:tc>
        <w:tc>
          <w:tcPr>
            <w:tcW w:w="402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3AE1A7D5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L43</w:t>
            </w:r>
          </w:p>
        </w:tc>
        <w:tc>
          <w:tcPr>
            <w:tcW w:w="302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7DF05757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H215</w:t>
            </w:r>
          </w:p>
        </w:tc>
        <w:tc>
          <w:tcPr>
            <w:tcW w:w="302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085390F5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T219</w:t>
            </w:r>
          </w:p>
        </w:tc>
        <w:tc>
          <w:tcPr>
            <w:tcW w:w="302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08ECAD4C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K222</w:t>
            </w:r>
          </w:p>
        </w:tc>
        <w:tc>
          <w:tcPr>
            <w:tcW w:w="342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7AC0E91D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S224</w:t>
            </w:r>
          </w:p>
        </w:tc>
        <w:tc>
          <w:tcPr>
            <w:tcW w:w="302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55BBF9B1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R225</w:t>
            </w:r>
          </w:p>
        </w:tc>
        <w:tc>
          <w:tcPr>
            <w:tcW w:w="302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14:paraId="2766D464" w14:textId="77777777" w:rsidR="00E050EC" w:rsidRPr="0055353A" w:rsidRDefault="00E050EC" w:rsidP="001170D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F227</w:t>
            </w:r>
          </w:p>
        </w:tc>
      </w:tr>
      <w:tr w:rsidR="00E050EC" w:rsidRPr="00A03A8F" w14:paraId="50376061" w14:textId="77777777" w:rsidTr="001170DA">
        <w:trPr>
          <w:trHeight w:val="204"/>
        </w:trPr>
        <w:tc>
          <w:tcPr>
            <w:tcW w:w="844" w:type="dxa"/>
            <w:tcBorders>
              <w:top w:val="single" w:sz="8" w:space="0" w:color="595959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09573C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36_37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64634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41636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8F1A4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EF973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89042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70361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D7CA8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80688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</w:tr>
      <w:tr w:rsidR="00E050EC" w:rsidRPr="00A03A8F" w14:paraId="4801974F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7958CE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20_39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50C27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3FEFE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E205C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05170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51896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1081F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57BDB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17256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</w:tr>
      <w:tr w:rsidR="00E050EC" w:rsidRPr="00A03A8F" w14:paraId="6E22EA4E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0169DD3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B15F3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9FEB8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1C447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7C0EC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50D2C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B3AD6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104BB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34A82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</w:tr>
      <w:tr w:rsidR="00E050EC" w:rsidRPr="00A03A8F" w14:paraId="0E2FB147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8396E4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19_22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4079A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88BB5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86C16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B6885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99A8F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F384B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362AE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19C1E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</w:tr>
      <w:tr w:rsidR="00E050EC" w:rsidRPr="00A03A8F" w14:paraId="1F6879B2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B0B0C8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37_4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7ADE2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A9041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0EA73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32DAE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04A08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8FB90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BB2FA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1F937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</w:tr>
      <w:tr w:rsidR="00E050EC" w:rsidRPr="00A03A8F" w14:paraId="6DB2F9F9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11701E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35_58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06E93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2CE2C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04CE4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6B29E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344DB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96B04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F6BB7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81916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</w:tr>
      <w:tr w:rsidR="00E050EC" w:rsidRPr="00A03A8F" w14:paraId="59455F81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2CA718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22_8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12EAE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CAA00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6AB73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037E1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0817E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8B09C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034C5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93B9A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</w:tr>
      <w:tr w:rsidR="00E050EC" w:rsidRPr="00A03A8F" w14:paraId="4A1F6E22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6DC808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36_51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9FB18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6A3A9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57B09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1F627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11F4C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E960C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33436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ADC9B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64734F2F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D0D84F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35_45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070CE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86578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D8A19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BB3B7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E57E4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2A442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858E9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BD264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</w:tr>
      <w:tr w:rsidR="00E050EC" w:rsidRPr="00A03A8F" w14:paraId="3597C3C3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B1978A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21_17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0F5E5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A2842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B4722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8C45E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62221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C33D6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1758D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B8AB7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571AC8BA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3DD227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B3F27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6A9AD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C25C5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5CEDE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1F028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B1699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2D5AB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FDFE8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1AF2CA8A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93642F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21_22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77260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FADB4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BAC22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B7351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7BEAC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E9A13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DA902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D9D5F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35D0AF1E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50C721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37_5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F4234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F9BF4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2C870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45B94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E2353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21011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345F7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405A2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</w:tr>
      <w:tr w:rsidR="00E050EC" w:rsidRPr="00A03A8F" w14:paraId="0CE234C0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DAD70F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19_49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79270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DB037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20065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9F9D2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5CDCC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8F731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3E682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2DBE1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</w:tr>
      <w:tr w:rsidR="00E050EC" w:rsidRPr="00A03A8F" w14:paraId="47F52D33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0E6CA9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22_4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6B881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150E32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2802C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FE4BA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A91F9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2D6FC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25ADD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F8AB95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</w:tr>
      <w:tr w:rsidR="00E050EC" w:rsidRPr="00A03A8F" w14:paraId="729DD64B" w14:textId="77777777" w:rsidTr="001170DA">
        <w:trPr>
          <w:trHeight w:val="21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D3DB44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8F7C1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988DF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8C2AF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59B3A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4CF62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8C787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F5FA1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89340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</w:tr>
      <w:tr w:rsidR="00E050EC" w:rsidRPr="00A03A8F" w14:paraId="4FE780F5" w14:textId="77777777" w:rsidTr="001170DA">
        <w:trPr>
          <w:trHeight w:val="204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32EEB6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37_18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FC928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8D6FA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00244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7C280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199BB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78AF2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E3361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9E030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</w:tr>
      <w:tr w:rsidR="00E050EC" w:rsidRPr="00A03A8F" w14:paraId="57DC349E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4B072C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5F30D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E0E2A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63C59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A0BA4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17100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CDEAE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B87E8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DAAAE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221929F9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DB682B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20_48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37FA2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83D34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4C237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F9E86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54515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C04AD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051A9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D8E01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</w:tr>
      <w:tr w:rsidR="00E050EC" w:rsidRPr="00A03A8F" w14:paraId="591A7694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6BEC9B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20_5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60C42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52282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DBDA3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4EDBF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59CC8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09290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78737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F1BE3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</w:tr>
      <w:tr w:rsidR="00E050EC" w:rsidRPr="00A03A8F" w14:paraId="7977192A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43F39D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36_42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E5C4C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BB9C2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61658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81715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E518E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F82B2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9C78F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D8A67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0E53B73B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0D5CB6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AAA71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D898D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6D0DA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B1C8D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73902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6E78D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1ECB4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69A10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</w:tr>
      <w:tr w:rsidR="00E050EC" w:rsidRPr="00A03A8F" w14:paraId="4DCF21E7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A9078F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35_38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93CA7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CB4F6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B2459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25630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5549A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F76F6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796CD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50D38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652F64E9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54888A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36_38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06E60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B2A65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A3C8E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5FC87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9B83E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2037F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0FF30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EADD0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</w:tr>
      <w:tr w:rsidR="00E050EC" w:rsidRPr="00A03A8F" w14:paraId="2B54E71E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3F1E2D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7594E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DDC1E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65656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F11FF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648CB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76381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52C9D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14E2FD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</w:tr>
      <w:tr w:rsidR="00E050EC" w:rsidRPr="00A03A8F" w14:paraId="5F0E75C5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333041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21_49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CF1CF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96B9D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64814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C1BED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C323C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409C3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B63E7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87AD4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</w:tr>
      <w:tr w:rsidR="00E050EC" w:rsidRPr="00A03A8F" w14:paraId="4289136A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C8FAA1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36_47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43DA3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164C4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78849A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83CEC1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9FA58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9E44D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C3142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E8797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</w:tr>
      <w:tr w:rsidR="00E050EC" w:rsidRPr="00A03A8F" w14:paraId="2F2A5359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BA9809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21_24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67528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D60D4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C7A5B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2D70A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47138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C4F49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E90B52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640BE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</w:tr>
      <w:tr w:rsidR="00E050EC" w:rsidRPr="00A03A8F" w14:paraId="1D50673A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CC456B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35_44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8FC34F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447256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E30F67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D2CB2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C90810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4726AE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A3A50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FE996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</w:t>
            </w:r>
          </w:p>
        </w:tc>
      </w:tr>
      <w:tr w:rsidR="00E050EC" w:rsidRPr="00A03A8F" w14:paraId="4581F969" w14:textId="77777777" w:rsidTr="001170DA">
        <w:trPr>
          <w:trHeight w:val="195"/>
        </w:trPr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94EF3E" w14:textId="77777777" w:rsidR="00E050EC" w:rsidRPr="0055353A" w:rsidRDefault="00E050EC" w:rsidP="001170D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36_41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AAE8D3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B2D58C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B72F1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96F114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AB7709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028E55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1B023B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3189D8" w14:textId="77777777" w:rsidR="00E050EC" w:rsidRPr="0055353A" w:rsidRDefault="00E050EC" w:rsidP="001170D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35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</w:t>
            </w:r>
          </w:p>
        </w:tc>
      </w:tr>
    </w:tbl>
    <w:p w14:paraId="264A1819" w14:textId="77777777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38B4097" w14:textId="77777777" w:rsidR="00E050EC" w:rsidRDefault="00E050EC" w:rsidP="00E050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S1: Summary of substitutions present in the top 30 chloramphenicol-detoxifying variants </w:t>
      </w:r>
      <w:r>
        <w:rPr>
          <w:rFonts w:ascii="Times New Roman" w:hAnsi="Times New Roman" w:cs="Times New Roman"/>
          <w:b/>
          <w:sz w:val="20"/>
        </w:rPr>
        <w:t>generated by multi-site saturation mutagenesis.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 w:type="page"/>
      </w:r>
    </w:p>
    <w:p w14:paraId="10399B9A" w14:textId="1AC455A9" w:rsidR="00E050EC" w:rsidRPr="00264A0E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5F1CDD">
        <w:rPr>
          <w:rFonts w:ascii="Times New Roman" w:hAnsi="Times New Roman" w:cs="Times New Roman"/>
          <w:b/>
          <w:bCs/>
        </w:rPr>
        <w:t>File 1b</w:t>
      </w:r>
    </w:p>
    <w:tbl>
      <w:tblPr>
        <w:tblW w:w="7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1380"/>
        <w:gridCol w:w="1260"/>
        <w:gridCol w:w="1260"/>
        <w:gridCol w:w="2140"/>
      </w:tblGrid>
      <w:tr w:rsidR="005F1CDD" w:rsidRPr="005F1CDD" w14:paraId="7F5E1EF8" w14:textId="77777777" w:rsidTr="001170DA">
        <w:tc>
          <w:tcPr>
            <w:tcW w:w="69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5F26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en-GB"/>
              </w:rPr>
              <w:t>A </w:t>
            </w:r>
          </w:p>
        </w:tc>
        <w:tc>
          <w:tcPr>
            <w:tcW w:w="69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</w:tcPr>
          <w:p w14:paraId="18A5220E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 </w:t>
            </w:r>
          </w:p>
        </w:tc>
        <w:tc>
          <w:tcPr>
            <w:tcW w:w="138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201F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cat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 (s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126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FF1B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M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 (µM)</w:t>
            </w:r>
          </w:p>
        </w:tc>
        <w:tc>
          <w:tcPr>
            <w:tcW w:w="126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9156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cat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/K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M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  <w:p w14:paraId="7BD38AF9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(s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/M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4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876086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Rate with 100 µM </w:t>
            </w:r>
          </w:p>
          <w:p w14:paraId="4D8EEE70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p-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benzoquinone (s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)</w:t>
            </w:r>
          </w:p>
        </w:tc>
      </w:tr>
      <w:tr w:rsidR="005F1CDD" w:rsidRPr="005F1CDD" w14:paraId="3B0F8A95" w14:textId="77777777" w:rsidTr="001170DA">
        <w:tc>
          <w:tcPr>
            <w:tcW w:w="1380" w:type="dxa"/>
            <w:gridSpan w:val="2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6F997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WT </w:t>
            </w:r>
            <w:proofErr w:type="spellStart"/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NfsA_Ec</w:t>
            </w:r>
            <w:proofErr w:type="spellEnd"/>
          </w:p>
        </w:tc>
        <w:tc>
          <w:tcPr>
            <w:tcW w:w="138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20C77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0.89 ± 0.03</w:t>
            </w:r>
          </w:p>
        </w:tc>
        <w:tc>
          <w:tcPr>
            <w:tcW w:w="126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51FA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1042 ± 100</w:t>
            </w:r>
          </w:p>
        </w:tc>
        <w:tc>
          <w:tcPr>
            <w:tcW w:w="126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CFFA6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857 ± 85</w:t>
            </w:r>
          </w:p>
        </w:tc>
        <w:tc>
          <w:tcPr>
            <w:tcW w:w="214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984804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9.0 ± 0.5</w:t>
            </w:r>
          </w:p>
        </w:tc>
      </w:tr>
      <w:tr w:rsidR="005F1CDD" w:rsidRPr="005F1CDD" w14:paraId="47B02A04" w14:textId="77777777" w:rsidTr="001170DA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445AC2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36_37_3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A9C24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0.96 ± 0.04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4FED9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690 ± 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1A8B7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1390 ± 170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2652D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1.0 ± 0.1</w:t>
            </w:r>
          </w:p>
        </w:tc>
      </w:tr>
      <w:tr w:rsidR="005F1CDD" w:rsidRPr="005F1CDD" w14:paraId="2BB8EDAE" w14:textId="77777777" w:rsidTr="001170DA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48BDE9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36_37_64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610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0.15 ± 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9D530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140 ± 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46563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1090 ± 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23D5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 ± 0.03</w:t>
            </w:r>
          </w:p>
        </w:tc>
      </w:tr>
      <w:tr w:rsidR="005F1CDD" w:rsidRPr="005F1CDD" w14:paraId="3E77DC79" w14:textId="77777777" w:rsidTr="001170DA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2FE68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36_37_80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6BF95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0.29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0B53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200 ± 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58D40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1430 ± 350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88A8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 ± 0.03</w:t>
            </w:r>
          </w:p>
        </w:tc>
      </w:tr>
      <w:tr w:rsidR="005F1CDD" w:rsidRPr="005F1CDD" w14:paraId="469EB989" w14:textId="77777777" w:rsidTr="001170DA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1EFF7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36_37_79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FA0AF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0.21 ± 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43E20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200 ± 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048B0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1040 ± 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71538A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 ± 0.03</w:t>
            </w:r>
          </w:p>
        </w:tc>
      </w:tr>
      <w:tr w:rsidR="005F1CDD" w:rsidRPr="005F1CDD" w14:paraId="1D47446B" w14:textId="77777777" w:rsidTr="001170DA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0A5E5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36_37_83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915F7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0.33 ± 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C5B0D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160 ± 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DF602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2020 ± 180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53A755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 ± 0.03</w:t>
            </w:r>
          </w:p>
        </w:tc>
      </w:tr>
      <w:tr w:rsidR="005F1CDD" w:rsidRPr="005F1CDD" w14:paraId="00B0F8EE" w14:textId="77777777" w:rsidTr="001170DA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87CDC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36_37_122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AE269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0.11 ± 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C8B7E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24 ±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04733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4520 ± 970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0854FB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-0.1 ± 0.01</w:t>
            </w:r>
          </w:p>
        </w:tc>
      </w:tr>
      <w:tr w:rsidR="005F1CDD" w:rsidRPr="005F1CDD" w14:paraId="480E096D" w14:textId="77777777" w:rsidTr="001170DA"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A6A7A" w14:textId="77777777" w:rsidR="005F1CDD" w:rsidRPr="005F1CDD" w:rsidRDefault="005F1CDD" w:rsidP="005F1CDD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36_37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37DA5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0.14 ± 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8188A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130 ±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25661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1100 ±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87E9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-0.1 ± 0.02</w:t>
            </w:r>
          </w:p>
        </w:tc>
      </w:tr>
    </w:tbl>
    <w:p w14:paraId="5D8C83DF" w14:textId="77777777" w:rsidR="005F1CDD" w:rsidRPr="005F1CDD" w:rsidRDefault="005F1CDD" w:rsidP="005F1C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2ABE3B7" w14:textId="77777777" w:rsidR="005F1CDD" w:rsidRPr="005F1CDD" w:rsidRDefault="005F1CDD" w:rsidP="005F1C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7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89"/>
        <w:gridCol w:w="1375"/>
        <w:gridCol w:w="1255"/>
        <w:gridCol w:w="1257"/>
        <w:gridCol w:w="2195"/>
      </w:tblGrid>
      <w:tr w:rsidR="005F1CDD" w:rsidRPr="005F1CDD" w14:paraId="16AC68B5" w14:textId="77777777" w:rsidTr="001170DA">
        <w:trPr>
          <w:trHeight w:val="575"/>
        </w:trPr>
        <w:tc>
          <w:tcPr>
            <w:tcW w:w="68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DE4A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en-GB"/>
              </w:rPr>
              <w:t>B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</w:tcPr>
          <w:p w14:paraId="449B8BA2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 </w:t>
            </w:r>
          </w:p>
        </w:tc>
        <w:tc>
          <w:tcPr>
            <w:tcW w:w="137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9C05" w14:textId="77777777" w:rsidR="005F1CDD" w:rsidRPr="005F1CDD" w:rsidRDefault="005F1CDD" w:rsidP="005F1CDD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cat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 (s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125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414F" w14:textId="77777777" w:rsidR="005F1CDD" w:rsidRPr="005F1CDD" w:rsidRDefault="005F1CDD" w:rsidP="005F1CDD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M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 (µM)</w:t>
            </w:r>
          </w:p>
        </w:tc>
        <w:tc>
          <w:tcPr>
            <w:tcW w:w="125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5734" w14:textId="77777777" w:rsidR="005F1CDD" w:rsidRPr="005F1CDD" w:rsidRDefault="005F1CDD" w:rsidP="005F1CDD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cat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/K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position w:val="-6"/>
                <w:vertAlign w:val="subscript"/>
                <w:lang w:eastAsia="en-GB"/>
              </w:rPr>
              <w:t>M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  <w:p w14:paraId="73A2481E" w14:textId="77777777" w:rsidR="005F1CDD" w:rsidRPr="005F1CDD" w:rsidRDefault="005F1CDD" w:rsidP="005F1CDD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(s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/M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9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5AC1F" w14:textId="77777777" w:rsidR="005F1CDD" w:rsidRPr="005F1CDD" w:rsidRDefault="005F1CDD" w:rsidP="005F1CDD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Rate with 100 µM</w:t>
            </w:r>
          </w:p>
          <w:p w14:paraId="5B98F99A" w14:textId="77777777" w:rsidR="005F1CDD" w:rsidRPr="005F1CDD" w:rsidRDefault="005F1CDD" w:rsidP="005F1CDD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 </w:t>
            </w:r>
            <w:r w:rsidRPr="005F1C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lang w:eastAsia="en-GB"/>
              </w:rPr>
              <w:t>p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-benzoquinone (s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en-GB"/>
              </w:rPr>
              <w:t>-1</w:t>
            </w: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)</w:t>
            </w:r>
          </w:p>
        </w:tc>
      </w:tr>
      <w:tr w:rsidR="005F1CDD" w:rsidRPr="005F1CDD" w14:paraId="6CC04A13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39A079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 xml:space="preserve">WT </w:t>
            </w:r>
            <w:proofErr w:type="spellStart"/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NfsA_Ec</w:t>
            </w:r>
            <w:proofErr w:type="spellEnd"/>
          </w:p>
        </w:tc>
        <w:tc>
          <w:tcPr>
            <w:tcW w:w="137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E2F0E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0.89 ± 0.03</w:t>
            </w:r>
          </w:p>
        </w:tc>
        <w:tc>
          <w:tcPr>
            <w:tcW w:w="125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FF18B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1042 ± 98</w:t>
            </w:r>
          </w:p>
        </w:tc>
        <w:tc>
          <w:tcPr>
            <w:tcW w:w="125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249F3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857 ± 85</w:t>
            </w:r>
          </w:p>
        </w:tc>
        <w:tc>
          <w:tcPr>
            <w:tcW w:w="219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ABAAB1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9.0 ± 0.5</w:t>
            </w:r>
          </w:p>
        </w:tc>
      </w:tr>
      <w:tr w:rsidR="005F1CDD" w:rsidRPr="005F1CDD" w14:paraId="1BDC8775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6ABD2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20_39_118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A66F0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0.71 ± 0.04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BE240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450 ± 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37BA8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1560 ± 260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FB9DAB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0.3 ± 0.06</w:t>
            </w:r>
          </w:p>
        </w:tc>
      </w:tr>
      <w:tr w:rsidR="005F1CDD" w:rsidRPr="005F1CDD" w14:paraId="7CBB0BBC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456147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20_39_85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1CF76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0.12 ± 0.006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0C6A5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140 ± 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18D8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840 ± 200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1FF305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-0.1 ± 0.03</w:t>
            </w:r>
          </w:p>
        </w:tc>
      </w:tr>
      <w:tr w:rsidR="005F1CDD" w:rsidRPr="005F1CDD" w14:paraId="52EC6EA5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E347E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20_39_84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08FBA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0.13 ± 0.004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6B721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320 ± 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C1753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420 ± 40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C796AF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0.0 ± 0.02</w:t>
            </w:r>
          </w:p>
        </w:tc>
      </w:tr>
      <w:tr w:rsidR="005F1CDD" w:rsidRPr="005F1CDD" w14:paraId="698913ED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D9D30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20_39_100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40DD5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0.27 ± 0.009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38497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180 ±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25106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1560 ± 180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B278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0.0 ± 0.04</w:t>
            </w:r>
          </w:p>
        </w:tc>
      </w:tr>
      <w:tr w:rsidR="005F1CDD" w:rsidRPr="005F1CDD" w14:paraId="7263EE5C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E64C8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20_39_74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D25E5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0.20 ± 0.006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A8D9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87 ± 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13A9C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2260 ± 350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827233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0.0 ± 0.01</w:t>
            </w:r>
          </w:p>
        </w:tc>
      </w:tr>
      <w:tr w:rsidR="005F1CDD" w:rsidRPr="005F1CDD" w14:paraId="2C4124B9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BC2579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20_39_124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67C16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0.19 ± 0.009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3057A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240 ± 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5D69D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790 ± 120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70ED8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0.0 ± 0.01</w:t>
            </w:r>
          </w:p>
        </w:tc>
      </w:tr>
      <w:tr w:rsidR="005F1CDD" w:rsidRPr="005F1CDD" w14:paraId="5AE2483D" w14:textId="77777777" w:rsidTr="001170DA">
        <w:trPr>
          <w:trHeight w:val="281"/>
        </w:trPr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2AA625" w14:textId="77777777" w:rsidR="005F1CDD" w:rsidRPr="005F1CDD" w:rsidRDefault="005F1CDD" w:rsidP="005F1CDD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20_39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4CA96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0.16 ± 0.004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C9A9B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82 ±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41C68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1920 ± 240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26B12" w14:textId="77777777" w:rsidR="005F1CDD" w:rsidRPr="005F1CDD" w:rsidRDefault="005F1CDD" w:rsidP="005F1CD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1CDD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0.0 ± 0.02</w:t>
            </w:r>
          </w:p>
        </w:tc>
      </w:tr>
    </w:tbl>
    <w:p w14:paraId="0D132602" w14:textId="152D27A0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0"/>
        </w:rPr>
      </w:pPr>
    </w:p>
    <w:p w14:paraId="32A5E402" w14:textId="77777777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Supplementary Table S2: Kinetic parameters of chloramphenicol reduction and turnover rate of 1,4-benzoquinone for intermediates from the most plausible hypothetical evolutionary trajectories for (A) 36_37 and (B) 20_39. </w:t>
      </w:r>
      <w:r>
        <w:rPr>
          <w:rFonts w:ascii="Times New Roman" w:hAnsi="Times New Roman" w:cs="Times New Roman"/>
          <w:sz w:val="20"/>
        </w:rPr>
        <w:t xml:space="preserve">Apparent </w:t>
      </w:r>
      <w:r w:rsidRPr="00CB620D">
        <w:rPr>
          <w:rFonts w:ascii="Times New Roman" w:hAnsi="Times New Roman" w:cs="Times New Roman"/>
          <w:i/>
          <w:sz w:val="20"/>
        </w:rPr>
        <w:t>K</w:t>
      </w:r>
      <w:r w:rsidRPr="00CB620D">
        <w:rPr>
          <w:rFonts w:ascii="Times New Roman" w:hAnsi="Times New Roman" w:cs="Times New Roman"/>
          <w:i/>
          <w:sz w:val="20"/>
          <w:vertAlign w:val="subscript"/>
        </w:rPr>
        <w:t>M</w:t>
      </w:r>
      <w:r w:rsidRPr="00CB620D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and </w:t>
      </w:r>
      <w:proofErr w:type="spellStart"/>
      <w:r w:rsidRPr="00CB620D">
        <w:rPr>
          <w:rFonts w:ascii="Times New Roman" w:hAnsi="Times New Roman" w:cs="Times New Roman"/>
          <w:i/>
          <w:sz w:val="20"/>
        </w:rPr>
        <w:t>k</w:t>
      </w:r>
      <w:r w:rsidRPr="00CB620D">
        <w:rPr>
          <w:rFonts w:ascii="Times New Roman" w:hAnsi="Times New Roman" w:cs="Times New Roman"/>
          <w:i/>
          <w:sz w:val="20"/>
          <w:vertAlign w:val="subscript"/>
        </w:rPr>
        <w:t>cat</w:t>
      </w:r>
      <w:proofErr w:type="spellEnd"/>
      <w:r w:rsidRPr="00CB620D">
        <w:rPr>
          <w:rFonts w:ascii="Times New Roman" w:hAnsi="Times New Roman" w:cs="Times New Roman"/>
          <w:i/>
          <w:sz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were calculated using </w:t>
      </w:r>
      <w:proofErr w:type="spellStart"/>
      <w:r>
        <w:rPr>
          <w:rFonts w:ascii="Times New Roman" w:hAnsi="Times New Roman" w:cs="Times New Roman"/>
          <w:sz w:val="20"/>
        </w:rPr>
        <w:t>Graphpad</w:t>
      </w:r>
      <w:proofErr w:type="spellEnd"/>
      <w:r>
        <w:rPr>
          <w:rFonts w:ascii="Times New Roman" w:hAnsi="Times New Roman" w:cs="Times New Roman"/>
          <w:sz w:val="20"/>
        </w:rPr>
        <w:t xml:space="preserve"> 8.0. Kinetic parameters could not be accurately determined for </w:t>
      </w:r>
      <w:r w:rsidRPr="001850E9">
        <w:rPr>
          <w:rFonts w:ascii="Times New Roman" w:hAnsi="Times New Roman" w:cs="Times New Roman"/>
          <w:sz w:val="20"/>
        </w:rPr>
        <w:t>1,4</w:t>
      </w:r>
      <w:r>
        <w:rPr>
          <w:rFonts w:ascii="Times New Roman" w:hAnsi="Times New Roman" w:cs="Times New Roman"/>
          <w:i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benzoquinone, therefore the catalytic rate of </w:t>
      </w:r>
      <w:r w:rsidRPr="001850E9">
        <w:rPr>
          <w:rFonts w:ascii="Times New Roman" w:hAnsi="Times New Roman" w:cs="Times New Roman"/>
          <w:sz w:val="20"/>
        </w:rPr>
        <w:t>1,4</w:t>
      </w:r>
      <w:r w:rsidRPr="001850E9">
        <w:rPr>
          <w:rFonts w:ascii="Times New Roman" w:hAnsi="Times New Roman" w:cs="Times New Roman"/>
          <w:sz w:val="20"/>
        </w:rPr>
        <w:softHyphen/>
        <w:t>-</w:t>
      </w:r>
      <w:r>
        <w:rPr>
          <w:rFonts w:ascii="Times New Roman" w:hAnsi="Times New Roman" w:cs="Times New Roman"/>
          <w:sz w:val="20"/>
        </w:rPr>
        <w:t xml:space="preserve">benzoquinone reduction was measured at a single high concentration of </w:t>
      </w:r>
      <w:r w:rsidRPr="001850E9">
        <w:rPr>
          <w:rFonts w:ascii="Times New Roman" w:hAnsi="Times New Roman" w:cs="Times New Roman"/>
          <w:sz w:val="20"/>
        </w:rPr>
        <w:t>1,4</w:t>
      </w:r>
      <w:r>
        <w:rPr>
          <w:rFonts w:ascii="Times New Roman" w:hAnsi="Times New Roman" w:cs="Times New Roman"/>
          <w:sz w:val="20"/>
        </w:rPr>
        <w:t xml:space="preserve">-benzoquinone (100 µM) with reactions initiated by addition of 250 µM NADPH. All reactions were measured in triplicate and errors are ± 1 S.D. In the left-most column, the terminology “+” refers to an enzyme variant that has the same amino acid sequence as the variant in the row above, plus the one additional substitution indicated. For example, “+R225V” describes a variant sharing an identical primary sequence to NfsA, with the additional substitution R225V. </w:t>
      </w:r>
      <w:r w:rsidRPr="000B55DA">
        <w:rPr>
          <w:rFonts w:ascii="Times New Roman" w:hAnsi="Times New Roman" w:cs="Times New Roman"/>
          <w:b/>
          <w:bCs/>
          <w:sz w:val="20"/>
        </w:rPr>
        <w:t>*</w:t>
      </w:r>
      <w:r w:rsidRPr="000B55DA">
        <w:rPr>
          <w:rFonts w:ascii="Times New Roman" w:hAnsi="Times New Roman" w:cs="Times New Roman"/>
          <w:sz w:val="20"/>
        </w:rPr>
        <w:t xml:space="preserve">Apparent </w:t>
      </w:r>
      <w:proofErr w:type="spellStart"/>
      <w:r w:rsidRPr="00A06F3E">
        <w:rPr>
          <w:rFonts w:ascii="Times New Roman" w:hAnsi="Times New Roman" w:cs="Times New Roman"/>
          <w:i/>
          <w:iCs/>
          <w:sz w:val="20"/>
        </w:rPr>
        <w:t>k</w:t>
      </w:r>
      <w:r w:rsidRPr="00A06F3E">
        <w:rPr>
          <w:rFonts w:ascii="Times New Roman" w:hAnsi="Times New Roman" w:cs="Times New Roman"/>
          <w:i/>
          <w:iCs/>
          <w:sz w:val="20"/>
          <w:vertAlign w:val="subscript"/>
        </w:rPr>
        <w:t>cat</w:t>
      </w:r>
      <w:proofErr w:type="spellEnd"/>
      <w:r w:rsidRPr="000B55DA">
        <w:rPr>
          <w:rFonts w:ascii="Times New Roman" w:hAnsi="Times New Roman" w:cs="Times New Roman"/>
          <w:sz w:val="20"/>
        </w:rPr>
        <w:t xml:space="preserve"> and </w:t>
      </w:r>
      <w:r w:rsidRPr="00A06F3E">
        <w:rPr>
          <w:rFonts w:ascii="Times New Roman" w:hAnsi="Times New Roman" w:cs="Times New Roman"/>
          <w:i/>
          <w:iCs/>
          <w:sz w:val="20"/>
        </w:rPr>
        <w:t>K</w:t>
      </w:r>
      <w:r w:rsidRPr="00A06F3E">
        <w:rPr>
          <w:rFonts w:ascii="Times New Roman" w:hAnsi="Times New Roman" w:cs="Times New Roman"/>
          <w:i/>
          <w:iCs/>
          <w:sz w:val="20"/>
          <w:vertAlign w:val="subscript"/>
        </w:rPr>
        <w:t>M</w:t>
      </w:r>
      <w:r w:rsidRPr="000B55DA">
        <w:rPr>
          <w:rFonts w:ascii="Times New Roman" w:hAnsi="Times New Roman" w:cs="Times New Roman"/>
          <w:sz w:val="20"/>
        </w:rPr>
        <w:t xml:space="preserve"> as determined at 250 µM NADPH. </w:t>
      </w:r>
      <w:r w:rsidRPr="000B55DA">
        <w:rPr>
          <w:rFonts w:ascii="Times New Roman" w:hAnsi="Times New Roman" w:cs="Times New Roman"/>
          <w:b/>
          <w:bCs/>
          <w:sz w:val="20"/>
        </w:rPr>
        <w:t>**</w:t>
      </w:r>
      <w:r w:rsidRPr="000B55DA">
        <w:rPr>
          <w:rFonts w:ascii="Times New Roman" w:hAnsi="Times New Roman" w:cs="Times New Roman"/>
          <w:sz w:val="20"/>
        </w:rPr>
        <w:t>Measured rates following addition of 250 µM NADPH.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***</w:t>
      </w:r>
      <w:r>
        <w:rPr>
          <w:rFonts w:ascii="Times New Roman" w:hAnsi="Times New Roman" w:cs="Times New Roman"/>
          <w:sz w:val="20"/>
        </w:rPr>
        <w:t>N.D. = not detectable (change in OD</w:t>
      </w:r>
      <w:r>
        <w:rPr>
          <w:rFonts w:ascii="Times New Roman" w:hAnsi="Times New Roman" w:cs="Times New Roman"/>
          <w:sz w:val="20"/>
          <w:vertAlign w:val="subscript"/>
        </w:rPr>
        <w:t>340</w:t>
      </w:r>
      <w:r>
        <w:rPr>
          <w:rFonts w:ascii="Times New Roman" w:hAnsi="Times New Roman" w:cs="Times New Roman"/>
          <w:sz w:val="20"/>
        </w:rPr>
        <w:t xml:space="preserve"> &lt;0.1 s</w:t>
      </w:r>
      <w:r>
        <w:rPr>
          <w:rFonts w:ascii="Times New Roman" w:hAnsi="Times New Roman" w:cs="Times New Roman"/>
          <w:sz w:val="20"/>
          <w:vertAlign w:val="superscript"/>
        </w:rPr>
        <w:t>-1</w:t>
      </w:r>
      <w:r>
        <w:rPr>
          <w:rFonts w:ascii="Times New Roman" w:hAnsi="Times New Roman" w:cs="Times New Roman"/>
          <w:sz w:val="20"/>
        </w:rPr>
        <w:t>).</w:t>
      </w:r>
    </w:p>
    <w:p w14:paraId="2128ECEE" w14:textId="77777777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0"/>
        </w:rPr>
      </w:pPr>
    </w:p>
    <w:p w14:paraId="3A1635E3" w14:textId="77777777" w:rsidR="00E050EC" w:rsidRDefault="00E050EC" w:rsidP="00E050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11E0DA0" w14:textId="7FEFC4D6" w:rsidR="00E050EC" w:rsidRPr="00264A0E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1170DA">
        <w:rPr>
          <w:rFonts w:ascii="Times New Roman" w:hAnsi="Times New Roman" w:cs="Times New Roman"/>
          <w:b/>
          <w:bCs/>
        </w:rPr>
        <w:t>File 1c</w:t>
      </w:r>
    </w:p>
    <w:p w14:paraId="78FD6387" w14:textId="77777777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1"/>
        <w:tblOverlap w:val="never"/>
        <w:tblW w:w="6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3593"/>
        <w:gridCol w:w="1648"/>
      </w:tblGrid>
      <w:tr w:rsidR="00E050EC" w:rsidRPr="005A36D0" w14:paraId="209CA75A" w14:textId="77777777" w:rsidTr="001170DA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018EC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E3E2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b/>
                <w:bCs/>
                <w:sz w:val="20"/>
              </w:rPr>
              <w:t>Average mean fold improvement of: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403F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b/>
                <w:bCs/>
                <w:sz w:val="20"/>
              </w:rPr>
              <w:t>Average ± SD</w:t>
            </w:r>
          </w:p>
        </w:tc>
      </w:tr>
      <w:tr w:rsidR="00E050EC" w:rsidRPr="005A36D0" w14:paraId="478015B5" w14:textId="77777777" w:rsidTr="001170DA"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E1EA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sz w:val="20"/>
              </w:rPr>
              <w:t>36_37 Intermediates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AD05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sz w:val="20"/>
              </w:rPr>
              <w:t>All variants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5895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sz w:val="20"/>
              </w:rPr>
              <w:t>2.8 ± 2.4</w:t>
            </w:r>
          </w:p>
        </w:tc>
      </w:tr>
      <w:tr w:rsidR="00E050EC" w:rsidRPr="005A36D0" w14:paraId="6BE38718" w14:textId="77777777" w:rsidTr="001170DA"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A8D5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B252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Variants retaining R225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BD71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1.1 ± 0.6</w:t>
            </w:r>
          </w:p>
        </w:tc>
      </w:tr>
      <w:tr w:rsidR="00E050EC" w:rsidRPr="005A36D0" w14:paraId="0F042590" w14:textId="77777777" w:rsidTr="001170DA"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2850E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71BC3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Variants containing R225V substitutions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F217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4.5 ± 2.2</w:t>
            </w:r>
          </w:p>
        </w:tc>
      </w:tr>
      <w:tr w:rsidR="00E050EC" w:rsidRPr="005A36D0" w14:paraId="6457E799" w14:textId="77777777" w:rsidTr="001170DA"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CA8C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sz w:val="20"/>
              </w:rPr>
              <w:t>20_39 Intermediates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3069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sz w:val="20"/>
              </w:rPr>
              <w:t>All variants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CD91" w14:textId="77777777" w:rsidR="00E050EC" w:rsidRPr="005A36D0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5A36D0">
              <w:rPr>
                <w:rFonts w:ascii="Calibri" w:hAnsi="Calibri" w:cs="Calibri"/>
                <w:sz w:val="20"/>
              </w:rPr>
              <w:t>2.2 ± 2.2</w:t>
            </w:r>
          </w:p>
        </w:tc>
      </w:tr>
      <w:tr w:rsidR="00E050EC" w:rsidRPr="005A36D0" w14:paraId="323DC2C1" w14:textId="77777777" w:rsidTr="001170DA"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CD411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50D7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Variants retaining R225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1894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0.9 ± 0.2</w:t>
            </w:r>
          </w:p>
        </w:tc>
      </w:tr>
      <w:tr w:rsidR="00E050EC" w:rsidRPr="005A36D0" w14:paraId="5C186EE3" w14:textId="77777777" w:rsidTr="001170DA"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5298D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CBFA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Variants containing R225D substitutions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3A25" w14:textId="77777777" w:rsidR="00E050EC" w:rsidRPr="001624A5" w:rsidRDefault="00E050EC" w:rsidP="001170DA">
            <w:pPr>
              <w:tabs>
                <w:tab w:val="left" w:pos="5880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624A5">
              <w:rPr>
                <w:rFonts w:ascii="Calibri" w:hAnsi="Calibri" w:cs="Calibri"/>
                <w:sz w:val="20"/>
              </w:rPr>
              <w:t>3.6 ± 2.4</w:t>
            </w:r>
          </w:p>
        </w:tc>
      </w:tr>
    </w:tbl>
    <w:p w14:paraId="3062E550" w14:textId="77777777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p w14:paraId="5D0408A6" w14:textId="77777777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0"/>
        </w:rPr>
      </w:pPr>
      <w:r w:rsidRPr="001624A5">
        <w:rPr>
          <w:rFonts w:ascii="Times New Roman" w:hAnsi="Times New Roman" w:cs="Times New Roman"/>
          <w:b/>
          <w:bCs/>
          <w:sz w:val="20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0"/>
        </w:rPr>
        <w:t>S3</w:t>
      </w:r>
      <w:r w:rsidRPr="001624A5">
        <w:rPr>
          <w:rFonts w:ascii="Times New Roman" w:hAnsi="Times New Roman" w:cs="Times New Roman"/>
          <w:b/>
          <w:bCs/>
          <w:sz w:val="20"/>
        </w:rPr>
        <w:t xml:space="preserve">: Average mean fold improvement </w:t>
      </w:r>
      <w:r>
        <w:rPr>
          <w:rFonts w:ascii="Times New Roman" w:hAnsi="Times New Roman" w:cs="Times New Roman"/>
          <w:b/>
          <w:bCs/>
          <w:sz w:val="20"/>
        </w:rPr>
        <w:t>for all</w:t>
      </w:r>
      <w:r w:rsidRPr="001624A5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1624A5">
        <w:rPr>
          <w:rFonts w:ascii="Times New Roman" w:hAnsi="Times New Roman" w:cs="Times New Roman"/>
          <w:b/>
          <w:bCs/>
          <w:sz w:val="20"/>
        </w:rPr>
        <w:t>NfsA_Ec</w:t>
      </w:r>
      <w:proofErr w:type="spellEnd"/>
      <w:r w:rsidRPr="001624A5">
        <w:rPr>
          <w:rFonts w:ascii="Times New Roman" w:hAnsi="Times New Roman" w:cs="Times New Roman"/>
          <w:b/>
          <w:bCs/>
          <w:sz w:val="20"/>
        </w:rPr>
        <w:t xml:space="preserve"> variants </w:t>
      </w:r>
      <w:r>
        <w:rPr>
          <w:rFonts w:ascii="Times New Roman" w:hAnsi="Times New Roman" w:cs="Times New Roman"/>
          <w:b/>
          <w:bCs/>
          <w:sz w:val="20"/>
        </w:rPr>
        <w:t>that either retained</w:t>
      </w:r>
      <w:r w:rsidRPr="001624A5">
        <w:rPr>
          <w:rFonts w:ascii="Times New Roman" w:hAnsi="Times New Roman" w:cs="Times New Roman"/>
          <w:b/>
          <w:bCs/>
          <w:sz w:val="20"/>
        </w:rPr>
        <w:t xml:space="preserve"> R225 or contain</w:t>
      </w:r>
      <w:r>
        <w:rPr>
          <w:rFonts w:ascii="Times New Roman" w:hAnsi="Times New Roman" w:cs="Times New Roman"/>
          <w:b/>
          <w:bCs/>
          <w:sz w:val="20"/>
        </w:rPr>
        <w:t xml:space="preserve">ed a </w:t>
      </w:r>
      <w:r w:rsidRPr="001624A5">
        <w:rPr>
          <w:rFonts w:ascii="Times New Roman" w:hAnsi="Times New Roman" w:cs="Times New Roman"/>
          <w:b/>
          <w:bCs/>
          <w:sz w:val="20"/>
        </w:rPr>
        <w:t>R225V/D substitution.</w:t>
      </w:r>
      <w:r>
        <w:rPr>
          <w:rFonts w:ascii="Times New Roman" w:hAnsi="Times New Roman" w:cs="Times New Roman"/>
          <w:sz w:val="20"/>
        </w:rPr>
        <w:t xml:space="preserve"> To calculate the average fold improvement of variants retaining R225, the fold improvement relative to wild type </w:t>
      </w:r>
      <w:proofErr w:type="spellStart"/>
      <w:r>
        <w:rPr>
          <w:rFonts w:ascii="Times New Roman" w:hAnsi="Times New Roman" w:cs="Times New Roman"/>
          <w:sz w:val="20"/>
        </w:rPr>
        <w:t>NfsA_Ec</w:t>
      </w:r>
      <w:proofErr w:type="spellEnd"/>
      <w:r>
        <w:rPr>
          <w:rFonts w:ascii="Times New Roman" w:hAnsi="Times New Roman" w:cs="Times New Roman"/>
          <w:sz w:val="20"/>
        </w:rPr>
        <w:t xml:space="preserve"> of all 64 variants retaining R225 was averaged. To calculate the average fold improvement of variants with the R225V or R225D substitutions, the fold improvement relative to wild type </w:t>
      </w:r>
      <w:proofErr w:type="spellStart"/>
      <w:r>
        <w:rPr>
          <w:rFonts w:ascii="Times New Roman" w:hAnsi="Times New Roman" w:cs="Times New Roman"/>
          <w:sz w:val="20"/>
        </w:rPr>
        <w:t>NfsA_Ec</w:t>
      </w:r>
      <w:proofErr w:type="spellEnd"/>
      <w:r>
        <w:rPr>
          <w:rFonts w:ascii="Times New Roman" w:hAnsi="Times New Roman" w:cs="Times New Roman"/>
          <w:sz w:val="20"/>
        </w:rPr>
        <w:t xml:space="preserve"> off all 64 variants containing either R225V (in 36_37 intermediates) or R225D (in 20_39 intermediates) was averaged.</w:t>
      </w:r>
    </w:p>
    <w:p w14:paraId="7ECCB94B" w14:textId="77777777" w:rsidR="00E050EC" w:rsidRPr="00A2507F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0"/>
        </w:rPr>
      </w:pPr>
    </w:p>
    <w:p w14:paraId="0EED6F28" w14:textId="77777777" w:rsidR="00E050EC" w:rsidRDefault="00E050EC" w:rsidP="00E050EC">
      <w:pPr>
        <w:spacing w:after="0" w:line="240" w:lineRule="auto"/>
      </w:pPr>
      <w:r>
        <w:br w:type="page"/>
      </w:r>
    </w:p>
    <w:p w14:paraId="45CDFD37" w14:textId="4D32D971" w:rsidR="00E050EC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1170DA">
        <w:rPr>
          <w:rFonts w:ascii="Times New Roman" w:hAnsi="Times New Roman" w:cs="Times New Roman"/>
          <w:b/>
          <w:bCs/>
        </w:rPr>
        <w:t>File 1d</w:t>
      </w:r>
    </w:p>
    <w:p w14:paraId="320BF0B1" w14:textId="77777777" w:rsidR="00D04F55" w:rsidRDefault="00D04F55" w:rsidP="00D04F55">
      <w:pPr>
        <w:spacing w:after="0" w:line="240" w:lineRule="auto"/>
      </w:pPr>
      <w:r>
        <w:object w:dxaOrig="11578" w:dyaOrig="5126" w14:anchorId="3CB71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74pt" o:ole="">
            <v:imagedata r:id="rId4" o:title=""/>
          </v:shape>
          <o:OLEObject Type="Embed" ProgID="Prism8.Document" ShapeID="_x0000_i1025" DrawAspect="Content" ObjectID="_1666180900" r:id="rId5"/>
        </w:object>
      </w:r>
      <w:r>
        <w:object w:dxaOrig="11578" w:dyaOrig="5126" w14:anchorId="57A62C5A">
          <v:shape id="_x0000_i1026" type="#_x0000_t75" style="width:390pt;height:174pt" o:ole="">
            <v:imagedata r:id="rId6" o:title=""/>
          </v:shape>
          <o:OLEObject Type="Embed" ProgID="Prism8.Document" ShapeID="_x0000_i1026" DrawAspect="Content" ObjectID="_1666180901" r:id="rId7"/>
        </w:object>
      </w:r>
      <w:r>
        <w:object w:dxaOrig="11578" w:dyaOrig="5126" w14:anchorId="1D005D67">
          <v:shape id="_x0000_i1027" type="#_x0000_t75" style="width:390pt;height:174pt" o:ole="">
            <v:imagedata r:id="rId8" o:title=""/>
          </v:shape>
          <o:OLEObject Type="Embed" ProgID="Prism8.Document" ShapeID="_x0000_i1027" DrawAspect="Content" ObjectID="_1666180902" r:id="rId9"/>
        </w:object>
      </w:r>
    </w:p>
    <w:p w14:paraId="2BE0B948" w14:textId="1D86CC0D" w:rsidR="00D04F55" w:rsidRDefault="00D04F55" w:rsidP="00D04F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Figure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: Relative levels of chloramphenicol growth inhibition experienced by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E. coli</w:t>
      </w:r>
      <w:r>
        <w:rPr>
          <w:rFonts w:ascii="Times New Roman" w:hAnsi="Times New Roman" w:cs="Times New Roman"/>
          <w:b/>
          <w:sz w:val="20"/>
          <w:szCs w:val="20"/>
        </w:rPr>
        <w:t xml:space="preserve"> 7NT strains expressing the 50 unique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nfsA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variants generated by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epPCR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Following transformation of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E. coli</w:t>
      </w:r>
      <w:r>
        <w:rPr>
          <w:rFonts w:ascii="Times New Roman" w:hAnsi="Times New Roman" w:cs="Times New Roman"/>
          <w:bCs/>
          <w:sz w:val="20"/>
          <w:szCs w:val="20"/>
        </w:rPr>
        <w:t xml:space="preserve"> 7NT cells with the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epPCR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library, plating on LB amended with 10 </w:t>
      </w:r>
      <w:r w:rsidRPr="000817B2">
        <w:rPr>
          <w:rFonts w:ascii="Times New Roman" w:hAnsi="Times New Roman" w:cs="Times New Roman"/>
          <w:bCs/>
          <w:sz w:val="20"/>
          <w:szCs w:val="20"/>
        </w:rPr>
        <w:t>µ</w:t>
      </w:r>
      <w:r>
        <w:rPr>
          <w:rFonts w:ascii="Times New Roman" w:hAnsi="Times New Roman" w:cs="Times New Roman"/>
          <w:bCs/>
          <w:sz w:val="20"/>
          <w:szCs w:val="20"/>
        </w:rPr>
        <w:t xml:space="preserve">M chloramphenicol, and random selection of 60 colonies, 50 unique variants (numbered from ep_1 to ep_50; ep for “error-prone PCR”) were identified by Sanger sequencing of the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pUCX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inserts. Fresh day cultures of each unique strain were</w:t>
      </w:r>
      <w:r w:rsidRPr="000817B2">
        <w:rPr>
          <w:rFonts w:ascii="Times New Roman" w:hAnsi="Times New Roman" w:cs="Times New Roman"/>
          <w:bCs/>
          <w:sz w:val="20"/>
          <w:szCs w:val="20"/>
        </w:rPr>
        <w:t xml:space="preserve"> incubated at 30 °C, 200 rpm for 4 hours</w:t>
      </w:r>
      <w:r>
        <w:rPr>
          <w:rFonts w:ascii="Times New Roman" w:hAnsi="Times New Roman" w:cs="Times New Roman"/>
          <w:bCs/>
          <w:sz w:val="20"/>
          <w:szCs w:val="20"/>
        </w:rPr>
        <w:t xml:space="preserve"> post-challenge with either a </w:t>
      </w:r>
      <w:r w:rsidRPr="002C0A8E">
        <w:rPr>
          <w:rFonts w:ascii="Times New Roman" w:hAnsi="Times New Roman" w:cs="Times New Roman"/>
          <w:bCs/>
          <w:sz w:val="20"/>
          <w:szCs w:val="20"/>
        </w:rPr>
        <w:t>low (7.5 µM), medium (15 µM) or high (30 µM) concentration of chloramphenicol</w:t>
      </w:r>
      <w:r>
        <w:rPr>
          <w:rFonts w:ascii="Times New Roman" w:hAnsi="Times New Roman" w:cs="Times New Roman"/>
          <w:bCs/>
          <w:sz w:val="20"/>
          <w:szCs w:val="20"/>
        </w:rPr>
        <w:t xml:space="preserve">, and </w:t>
      </w:r>
      <w:r w:rsidRPr="000817B2">
        <w:rPr>
          <w:rFonts w:ascii="Times New Roman" w:hAnsi="Times New Roman" w:cs="Times New Roman"/>
          <w:bCs/>
          <w:sz w:val="20"/>
          <w:szCs w:val="20"/>
        </w:rPr>
        <w:t>percentage growth inhibition was determined by calculating the relative increase in OD</w:t>
      </w:r>
      <w:r w:rsidRPr="000817B2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600 </w:t>
      </w:r>
      <w:r w:rsidRPr="000817B2">
        <w:rPr>
          <w:rFonts w:ascii="Times New Roman" w:hAnsi="Times New Roman" w:cs="Times New Roman"/>
          <w:bCs/>
          <w:sz w:val="20"/>
          <w:szCs w:val="20"/>
        </w:rPr>
        <w:t xml:space="preserve">for challenged </w:t>
      </w:r>
      <w:r>
        <w:rPr>
          <w:rFonts w:ascii="Times New Roman" w:hAnsi="Times New Roman" w:cs="Times New Roman"/>
          <w:bCs/>
          <w:sz w:val="20"/>
          <w:szCs w:val="20"/>
        </w:rPr>
        <w:t>cultures relative to unchallenged replicates</w:t>
      </w:r>
      <w:r w:rsidRPr="000817B2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</w:rPr>
        <w:br w:type="page"/>
      </w:r>
    </w:p>
    <w:p w14:paraId="32CC9CFE" w14:textId="57DF01DC" w:rsidR="00D04F55" w:rsidRPr="00264A0E" w:rsidRDefault="00D04F55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Supplementary File 1</w:t>
      </w:r>
      <w:r>
        <w:rPr>
          <w:rFonts w:ascii="Times New Roman" w:hAnsi="Times New Roman" w:cs="Times New Roman"/>
          <w:b/>
          <w:bCs/>
        </w:rPr>
        <w:t>e</w:t>
      </w:r>
    </w:p>
    <w:tbl>
      <w:tblPr>
        <w:tblW w:w="7202" w:type="dxa"/>
        <w:tblLook w:val="04A0" w:firstRow="1" w:lastRow="0" w:firstColumn="1" w:lastColumn="0" w:noHBand="0" w:noVBand="1"/>
      </w:tblPr>
      <w:tblGrid>
        <w:gridCol w:w="625"/>
        <w:gridCol w:w="648"/>
        <w:gridCol w:w="667"/>
        <w:gridCol w:w="653"/>
        <w:gridCol w:w="653"/>
        <w:gridCol w:w="646"/>
        <w:gridCol w:w="653"/>
        <w:gridCol w:w="653"/>
        <w:gridCol w:w="653"/>
        <w:gridCol w:w="653"/>
        <w:gridCol w:w="653"/>
        <w:gridCol w:w="639"/>
      </w:tblGrid>
      <w:tr w:rsidR="001170DA" w:rsidRPr="001F4223" w14:paraId="775BC9B1" w14:textId="77777777" w:rsidTr="001170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297E7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DA7E8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Protein mutations</w:t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3462B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DNA mutations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B3137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1170DA" w:rsidRPr="001F4223" w14:paraId="66EC3A78" w14:textId="77777777" w:rsidTr="001170DA">
        <w:trPr>
          <w:trHeight w:val="511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58CC8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6835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R225X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5A4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Additional amino acid changes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A109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C673X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674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 xml:space="preserve">Additional nucleotide changes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948D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# clones</w:t>
            </w:r>
          </w:p>
        </w:tc>
      </w:tr>
      <w:tr w:rsidR="001170DA" w:rsidRPr="001F4223" w14:paraId="71535830" w14:textId="77777777" w:rsidTr="001170DA">
        <w:trPr>
          <w:trHeight w:val="1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E9A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09B1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9EC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DED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266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91F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56B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BAE4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C71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87DE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2BCA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D97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</w:tr>
      <w:tr w:rsidR="001170DA" w:rsidRPr="001F4223" w14:paraId="3CA2FC81" w14:textId="77777777" w:rsidTr="001170DA">
        <w:trPr>
          <w:trHeight w:val="1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2A3E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494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81A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T64S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2175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A119V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54B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E194K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0E07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9D6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A190T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5B8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T318A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2EF9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C356T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272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G580A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400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C648T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565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1170DA" w:rsidRPr="001F4223" w14:paraId="3C688313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C3D8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0D4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D7ED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N134Y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8B9D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A190V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CAA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1E03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416A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G75A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72C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A400T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92F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C569T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D09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256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62C2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1170DA" w:rsidRPr="001F4223" w14:paraId="0297E828" w14:textId="77777777" w:rsidTr="001170DA">
        <w:trPr>
          <w:trHeight w:val="1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95582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21B6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A9E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G65D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4C2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09B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CA3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5740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G194A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E91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G219T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22E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T480A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610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DD9E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572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1170DA" w:rsidRPr="001F4223" w14:paraId="6BC4F2DD" w14:textId="77777777" w:rsidTr="001170DA">
        <w:trPr>
          <w:trHeight w:val="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20579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8BC9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B2B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E20G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14F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F7B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47F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1BA1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A59G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C365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178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610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CDC6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58F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1170DA" w:rsidRPr="001F4223" w14:paraId="4250AEB3" w14:textId="77777777" w:rsidTr="001170DA">
        <w:trPr>
          <w:trHeight w:val="1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014A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819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3AA7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445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7E9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6D0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4BD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G180T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5FD4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T609A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560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BD0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EDD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20B1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1170DA" w:rsidRPr="001F4223" w14:paraId="6264F867" w14:textId="77777777" w:rsidTr="001170DA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E32B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9AFC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A3AB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F17Y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C5AC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A197V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356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102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908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T50A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5FF4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A60G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593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G132A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C1CF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C590T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75E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87CB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1170DA" w:rsidRPr="001F4223" w14:paraId="3ED888DD" w14:textId="77777777" w:rsidTr="001170DA">
        <w:trPr>
          <w:trHeight w:val="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A80BA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3C5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C5DC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470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A8E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D6B0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F11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T471C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E6E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9071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4CB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59D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8073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78E70C6A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6A9E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1EB3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88EB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E20G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F8B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A112G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F505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L142Q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736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AD13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A59G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8A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C335G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72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T425A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D70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T459C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71B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C561T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763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27B535DC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43DC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1F6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10F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Q195L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54C9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I221T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F31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15FF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491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T15C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216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T276C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AC3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A584T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53A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T662C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65E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8ED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759B44D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0BA4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80C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F37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A74T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00E0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92E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DC37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89B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G220A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2E5C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A297G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FB4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G357T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BF0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A59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871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2B529221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C3FE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AED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E6C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A85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37B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05C5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343A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C612T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4E6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268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A8F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F3D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313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6BE0568F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CD2D5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FCD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68B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R50H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80B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T64S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65E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8FE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73F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G132A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F63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G149A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E79D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A190T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44A3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T270C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695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T498A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B84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6D4AA94A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59E11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DBE3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9EE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E178G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8942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B25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AE1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ADE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A533G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183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DBE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A482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5B2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CB7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2064A8F6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7A23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6D1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D56D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L63M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1CA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D214E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E74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K234*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092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C54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C187A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555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T642A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B47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1CD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A700T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D42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B24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4F7955B7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2A44E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6345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34FB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A25E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6E6F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I117N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763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K186R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E57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ED6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C74A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671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T350A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D012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A557G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EB3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T621C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8F3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17B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3E542DEB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3AF3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649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3559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Q195L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55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N206Y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D15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0D6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27B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C399T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AEF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A584T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DE0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A616T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57C4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591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F315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50233C0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785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B2D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9FC9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W77L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B4F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N134S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BF8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E198D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B565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24C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G230T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182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A401G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321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C468T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872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A594T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8A6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FC4E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16C5097F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8386C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ep_19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6D3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929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Q147R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8CE1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B9D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37DF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51E7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C156G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8C1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C255T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6E8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A440G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D449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67F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779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69B28742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14F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358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6736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I117N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61DD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CE3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E8E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D1B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T350A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281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C351T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9BF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BB0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D2A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AD2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05CAC2FD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E3F2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5CC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426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E48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B01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3FE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1B9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G213A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B632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575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767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410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0207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7C286D9E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0F25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D0D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80A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924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90E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D9B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EA0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C192T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D7F8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35E3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1AEC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09D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7F7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666D1AE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41BB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07C2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8AA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Q195H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633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D9D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1B6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C91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T24A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8165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A585T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E1C4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G705A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359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E5D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9E6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021ECEE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D362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21E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989C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Q26K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8C3C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D162E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AE8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FC3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97FA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C76A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3458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G87A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ED1F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G357T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9B19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T486A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DFC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C624A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8A5E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4971C895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4805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6AE5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A7D1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E24G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CE9F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T202A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6F9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F3A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2FB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A71G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5A9A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A604G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0BE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5077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689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77FE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22742AD9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E10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C9A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DC6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I31T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877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48C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AD9C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09B5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T92C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B3A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6BE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736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30C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DE76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42F78276" w14:textId="77777777" w:rsidTr="001170DA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C9009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E94D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DC3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E58G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31F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A81G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EB3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G131A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FF0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7D6C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A173G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7A9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C242G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A97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C243T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7971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G392C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460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G562T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0BD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25F7A2BE" w14:textId="77777777" w:rsidTr="009F2D9E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C1A9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2D3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2438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T64S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50E4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507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399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6D8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C191G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2CC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EEDB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A01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E88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554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14A26DEC" w14:textId="77777777" w:rsidTr="009F2D9E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B28F8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ep_29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F72A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6D1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S180C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796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1AF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7327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7F1C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G306A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3EE8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T507A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C5E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A538T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EBD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8642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61D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A58DBB4" w14:textId="77777777" w:rsidTr="009F2D9E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FBC45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6C2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BEE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R27C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3F8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V176A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BEB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T239R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2D7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6CB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C79T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984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T117C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CB5A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A174G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FF9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T527C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8278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C716G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BC7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076E0C50" w14:textId="77777777" w:rsidTr="009F2D9E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6F7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0C3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72D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B2A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262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7C1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5825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T523C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78E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322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E1E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666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6C4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0D1A68B2" w14:textId="77777777" w:rsidTr="009F2D9E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B050C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D68B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EA2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H16R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F60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K68N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F07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Q72L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C61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524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A47G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3E6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A204T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536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A215T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849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A534C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688B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A654G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6E77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34EB08F6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F2B70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391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D85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A29S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ED3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P168L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945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A0E4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1A8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G85T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96B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C309A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9C4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C503T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9AB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C579T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F542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09A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1CEE7635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38F2C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8619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29E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T64A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B43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K141R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930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P168Q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571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9035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A190G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30A3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C351T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840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A422G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9BD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C503A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A7F4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0FB1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168E0EC7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98D99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DED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3AD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H16Q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65A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BB2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31F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4C12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T48A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2D3E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G186A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728F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725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33D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CC5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33A9C31D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A97B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AE9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0FD8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K141R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838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B20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5B81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72F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A422G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A20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C019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6CA8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D63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E95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59D9C50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F09D4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8B8C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449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54BB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A24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B45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738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C285T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E9FD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0CB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732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52D0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568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0559EAD2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7B09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D72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70B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5CD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P226S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C89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378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41A7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A174G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896A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C561T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7964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C624T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DCC8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C676T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5EF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F06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0C08FF88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2407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ep_39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298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986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A74T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B931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7D9F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19A1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670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A72G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494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G213C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562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G220A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BC3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07C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A5F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710D34DB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FBA6E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E66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5D79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D09E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F6C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0C0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229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T279A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F86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T321C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7E8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G396A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E01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C448T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F5EF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G501A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312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0FE33DFC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1A787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A42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829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A25V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03C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9FF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9DA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DDE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C74T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8C0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9254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50A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655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8D0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EEC52BC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DB59B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B29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CC01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G123E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461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A7D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C79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B55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G368A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B1C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9FDF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1108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CC9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BDC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8896094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CF2A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421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96EC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E99D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B91A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607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F39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309A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A297C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454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871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65B9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5D3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D02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28E68686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E3A3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9DD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E85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93EE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2AA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597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CCE3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A18G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F353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T42A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A1B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FFE1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46D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C20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48A14EF9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7F73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D1E2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24B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A119V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CA38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2F1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206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F254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G78A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6F92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A210G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1228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C356T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D12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D62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58238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586D4DA2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7BDF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1CE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FD1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G10C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80F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L56F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67D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G66E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0701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DDE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G28T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902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A168T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3E2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G197A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108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C309A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AC0A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C387T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687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7E49D041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26E0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563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32C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A197V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E77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63E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59C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247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A201G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503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C590T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C17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AE59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DFA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C9C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14BFB4C9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74772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CC7B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78A1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L201F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1B1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754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437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E19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C601T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ED13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2A4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D73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5CCB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843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496F5E74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4555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ep_49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B9E3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FFF1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78C4D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584F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ED5F3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798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T144A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C4CD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B210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077A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389F2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FCC59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1170DA" w:rsidRPr="001F4223" w14:paraId="7243CEE9" w14:textId="77777777" w:rsidTr="004A1844">
        <w:trPr>
          <w:trHeight w:val="8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7662D" w14:textId="77777777" w:rsidR="001170DA" w:rsidRPr="001F4223" w:rsidRDefault="001170DA" w:rsidP="00117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ep_50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7A49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R225C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2F3D4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E59K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0C8E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4627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50B06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C673T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4E29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C63T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6573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G175A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C729B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G717C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582CC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78175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E4BEE" w14:textId="77777777" w:rsidR="001170DA" w:rsidRPr="001F4223" w:rsidRDefault="001170DA" w:rsidP="0011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F42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</w:tbl>
    <w:p w14:paraId="382BF0D1" w14:textId="77777777" w:rsidR="00E050EC" w:rsidRPr="00F8646C" w:rsidRDefault="00E050EC" w:rsidP="004A1844">
      <w:pPr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S4: Summary of all encoded amino acid and nucleotide substitutions identified in the 50 unique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nfsA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variants obtained from the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epPCR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library following chloramphenicol selection.</w:t>
      </w:r>
    </w:p>
    <w:p w14:paraId="2E38FBEB" w14:textId="77777777" w:rsidR="004A1844" w:rsidRDefault="004A18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8C24F8E" w14:textId="2A41EE26" w:rsidR="00E050EC" w:rsidRPr="00264A0E" w:rsidRDefault="00E050EC" w:rsidP="00E050EC">
      <w:pPr>
        <w:tabs>
          <w:tab w:val="left" w:pos="5880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4A1844">
        <w:rPr>
          <w:rFonts w:ascii="Times New Roman" w:hAnsi="Times New Roman" w:cs="Times New Roman"/>
          <w:b/>
          <w:bCs/>
        </w:rPr>
        <w:t>File 1</w:t>
      </w:r>
      <w:r w:rsidR="00D04F55">
        <w:rPr>
          <w:rFonts w:ascii="Times New Roman" w:hAnsi="Times New Roman" w:cs="Times New Roman"/>
          <w:b/>
          <w:bCs/>
        </w:rPr>
        <w:t>f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790"/>
        <w:gridCol w:w="688"/>
        <w:gridCol w:w="715"/>
        <w:gridCol w:w="706"/>
        <w:gridCol w:w="744"/>
        <w:gridCol w:w="679"/>
        <w:gridCol w:w="669"/>
        <w:gridCol w:w="752"/>
        <w:gridCol w:w="701"/>
        <w:gridCol w:w="701"/>
        <w:gridCol w:w="701"/>
        <w:gridCol w:w="701"/>
        <w:gridCol w:w="666"/>
        <w:gridCol w:w="678"/>
      </w:tblGrid>
      <w:tr w:rsidR="004A1844" w:rsidRPr="004A1844" w14:paraId="2EFBBE18" w14:textId="77777777" w:rsidTr="00CF60F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FDDE2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3FFC2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Amino acid changes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8F78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Nucleotide changes</w:t>
            </w:r>
          </w:p>
        </w:tc>
      </w:tr>
      <w:tr w:rsidR="004A1844" w:rsidRPr="004A1844" w14:paraId="3FD11E11" w14:textId="77777777" w:rsidTr="004A1844">
        <w:trPr>
          <w:trHeight w:val="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87B55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32D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N207S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161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Q182H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BE5E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651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40E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C3E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307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A620G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34B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A546C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5BB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F620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FECC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B400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D73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09E50A17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37C9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7EA0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A112T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818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E198G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840E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D45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1B3F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20AE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A449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G334A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757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A593G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740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1EE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BFE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43B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C40F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691A82EA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DD69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E2C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V105D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D49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L201H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C52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70D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6A64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4C8A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967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T314A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082F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G324T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091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T602A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209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F9F3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C57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340D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7914E53E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47EB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C4F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E75G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DBD6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D82N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7172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099C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9046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A761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998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A224G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DEB9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2DD4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G244A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270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T609C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70F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894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594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5A89236B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688C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816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FFC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2C3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194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4078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158C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8D8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G627T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651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E9A9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630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CEB0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0F2B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D00E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39277D7A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09703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317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A29V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B6B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T52I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24D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F83I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BBD0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W212C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E81D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E57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A21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C86T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2AF2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T126C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B16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C155T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944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T247A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1BD3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G636T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57A0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7CA4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02D15C79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84F1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E04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P146S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EC02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FA9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2968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34B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A26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2E2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G213T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5FF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C436T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35FB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C624T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3A5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973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F0D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776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70A13A6D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54E52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7AC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E6V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1C3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S13Y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95F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D107N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133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R209Q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2EE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P226T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FCE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379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A17T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267E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C38A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F10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T105A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DF5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G319A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6DE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G626A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8B4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C651T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780B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C676A</w:t>
            </w:r>
          </w:p>
        </w:tc>
      </w:tr>
      <w:tr w:rsidR="004A1844" w:rsidRPr="004A1844" w14:paraId="653C5C5A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B5AE9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B8B7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209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D17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98EA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CD7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BAF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C88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T126C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0C3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C156A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FECB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95A2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D4E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296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814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42FE4FB9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FE78C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2D38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A71T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C56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D92V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D47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N179Y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D7D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2C5B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703C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838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G211A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874E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A275T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13C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A535T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623F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B70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0BB3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B433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67C06FF7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555A2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F12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R50H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718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D162N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6240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N207D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4F4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Y207N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FAA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BF8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376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G149A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F203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T318G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C7D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G484A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E95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G570T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34F4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A619G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637D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T619A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A23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06E1ED96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45715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DA03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G10D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9154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A119V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46A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1FB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C39D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09A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70A4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G29A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1931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C356T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CE2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G372A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8022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8AD7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EF9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536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051AA9A3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4745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E94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052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9F4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64A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D43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771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3B7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83D9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6DA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F329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4597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B83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3AA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32C1CCA6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7AE6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9BB9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A74V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A1B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R85H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FC29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E194A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59D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I228V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8B3B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7F0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A04D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C221T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76E50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G254A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FC93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A354T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7B1E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A581C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B4A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A682G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D3A0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8B91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540F4258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CA9B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D6F0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P160H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4DC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A188E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131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771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21B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49F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8D2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C315A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BD0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A381G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B2E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C479A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F6F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C563A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967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B54E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5EA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1AA2C591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0D79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EC8A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P160H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858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A188E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2BA1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295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EE0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26812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591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C315A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F6E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A381G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238E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C479A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3A3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C563A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E994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486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685A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7C24DEA2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1A59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BDE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D3E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48D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61B6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4FF6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7D25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E047D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 ΔG198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0CE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879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154D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A3B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1EC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0DC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0524A9CA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E32A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094E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492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CDBF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BC9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0AA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BD3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E67BA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A654G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43B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92BD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6E7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584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3FD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DC9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26A3559B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5EAE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Rand_19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7312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P21L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63768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L116I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86321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R217H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B45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749A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346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5329C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C62T 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34B8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T346A 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925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C606T 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712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G650A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36A4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1ECC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2E6F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4A1844" w:rsidRPr="004A1844" w14:paraId="7F5EBC4A" w14:textId="77777777" w:rsidTr="004A184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7E9C2" w14:textId="77777777" w:rsidR="004A1844" w:rsidRPr="004A1844" w:rsidRDefault="004A1844" w:rsidP="004A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Rand_20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F982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A16R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C365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D19Y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D1685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H69Y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5DCA3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F83S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E1767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A118V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4C17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D165E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F6E36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A47G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40859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G55T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12C8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C205T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6FE7B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T248C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D85AE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C353T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E4B9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T495A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792FD" w14:textId="77777777" w:rsidR="004A1844" w:rsidRPr="004A1844" w:rsidRDefault="004A1844" w:rsidP="004A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4A1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</w:tbl>
    <w:p w14:paraId="4894E196" w14:textId="77777777" w:rsidR="00E050EC" w:rsidRPr="00F8646C" w:rsidRDefault="00E050EC" w:rsidP="004A1844">
      <w:pPr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S5: Summary of all encoded amino acid and nucleotide substitutions identified in 20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randomly-chosen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nfsA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variants obtained from the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epPCR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library in the absence of chloramphenicol selection.</w:t>
      </w:r>
    </w:p>
    <w:p w14:paraId="129F1561" w14:textId="77777777" w:rsidR="00E050EC" w:rsidRDefault="00E050EC" w:rsidP="00E050EC"/>
    <w:p w14:paraId="1579D03D" w14:textId="77777777" w:rsidR="00E050EC" w:rsidRPr="000D6E65" w:rsidRDefault="00E050E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50EC" w:rsidRPr="000D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65"/>
    <w:rsid w:val="000D6E65"/>
    <w:rsid w:val="001170DA"/>
    <w:rsid w:val="00440EBD"/>
    <w:rsid w:val="004A1844"/>
    <w:rsid w:val="005F1CDD"/>
    <w:rsid w:val="009F2D9E"/>
    <w:rsid w:val="00D00621"/>
    <w:rsid w:val="00D04F55"/>
    <w:rsid w:val="00E050EC"/>
    <w:rsid w:val="00E47885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7FA0"/>
  <w15:chartTrackingRefBased/>
  <w15:docId w15:val="{E9085AFF-A833-4B04-A263-4BA7C95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Ackerley</dc:creator>
  <cp:keywords/>
  <dc:description/>
  <cp:lastModifiedBy>David Ackerley</cp:lastModifiedBy>
  <cp:revision>7</cp:revision>
  <dcterms:created xsi:type="dcterms:W3CDTF">2020-11-06T01:33:00Z</dcterms:created>
  <dcterms:modified xsi:type="dcterms:W3CDTF">2020-11-06T02:15:00Z</dcterms:modified>
</cp:coreProperties>
</file>