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2939" w14:textId="10D13E2A" w:rsidR="008462A5" w:rsidRDefault="008462A5" w:rsidP="008462A5">
      <w:proofErr w:type="spellStart"/>
      <w:r>
        <w:t>VocalMat</w:t>
      </w:r>
      <w:proofErr w:type="spellEnd"/>
      <w:r>
        <w:t xml:space="preserve"> accuracy per class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701"/>
        <w:gridCol w:w="2208"/>
        <w:gridCol w:w="2523"/>
      </w:tblGrid>
      <w:tr w:rsidR="008462A5" w:rsidRPr="00744043" w14:paraId="731532D2" w14:textId="77777777" w:rsidTr="00210390">
        <w:trPr>
          <w:trHeight w:val="320"/>
          <w:jc w:val="center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1B2CB2" w14:textId="77777777" w:rsidR="008462A5" w:rsidRPr="00744043" w:rsidRDefault="008462A5" w:rsidP="00210390">
            <w:r w:rsidRPr="00744043">
              <w:t>Type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8EA352" w14:textId="77777777" w:rsidR="008462A5" w:rsidRPr="00744043" w:rsidRDefault="008462A5" w:rsidP="00210390">
            <w:r w:rsidRPr="00744043">
              <w:t xml:space="preserve">N 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1C67F7" w14:textId="77777777" w:rsidR="008462A5" w:rsidRPr="00744043" w:rsidRDefault="008462A5" w:rsidP="00210390">
            <w:r w:rsidRPr="00744043">
              <w:t>Mean</w:t>
            </w:r>
            <w:r>
              <w:t xml:space="preserve"> ±</w:t>
            </w:r>
            <w:r>
              <w:rPr>
                <w:rFonts w:ascii="math" w:hAnsi="math"/>
              </w:rPr>
              <w:t xml:space="preserve"> </w:t>
            </w:r>
            <w:r w:rsidRPr="00744043">
              <w:t xml:space="preserve">SEM (%)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CD4D24" w14:textId="77777777" w:rsidR="008462A5" w:rsidRPr="00744043" w:rsidRDefault="008462A5" w:rsidP="00210390">
            <w:r w:rsidRPr="00744043">
              <w:t>Median [95% CI] (%)</w:t>
            </w:r>
          </w:p>
        </w:tc>
      </w:tr>
      <w:tr w:rsidR="008462A5" w:rsidRPr="00744043" w14:paraId="753A2854" w14:textId="77777777" w:rsidTr="00210390">
        <w:trPr>
          <w:trHeight w:val="320"/>
          <w:jc w:val="center"/>
        </w:trPr>
        <w:tc>
          <w:tcPr>
            <w:tcW w:w="1681" w:type="dxa"/>
            <w:tcBorders>
              <w:top w:val="single" w:sz="4" w:space="0" w:color="auto"/>
            </w:tcBorders>
            <w:noWrap/>
            <w:hideMark/>
          </w:tcPr>
          <w:p w14:paraId="0F4B8CD7" w14:textId="77777777" w:rsidR="008462A5" w:rsidRPr="00744043" w:rsidRDefault="008462A5" w:rsidP="00210390">
            <w:r w:rsidRPr="00744043">
              <w:t xml:space="preserve">Step up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noWrap/>
            <w:hideMark/>
          </w:tcPr>
          <w:p w14:paraId="6066D2F8" w14:textId="77777777" w:rsidR="008462A5" w:rsidRPr="00744043" w:rsidRDefault="008462A5" w:rsidP="00210390">
            <w:r w:rsidRPr="00744043">
              <w:t>902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noWrap/>
            <w:hideMark/>
          </w:tcPr>
          <w:p w14:paraId="63B85D24" w14:textId="77777777" w:rsidR="008462A5" w:rsidRPr="00744043" w:rsidRDefault="008462A5" w:rsidP="00210390">
            <w:r w:rsidRPr="00744043">
              <w:t xml:space="preserve">83.58 </w:t>
            </w:r>
            <w:r>
              <w:t xml:space="preserve">± </w:t>
            </w:r>
            <w:r w:rsidRPr="00744043">
              <w:t xml:space="preserve">6.50 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noWrap/>
            <w:hideMark/>
          </w:tcPr>
          <w:p w14:paraId="32DA213E" w14:textId="77777777" w:rsidR="008462A5" w:rsidRPr="00744043" w:rsidRDefault="008462A5" w:rsidP="00210390">
            <w:r w:rsidRPr="00744043">
              <w:t xml:space="preserve">91.56 [66.85, 100.00] </w:t>
            </w:r>
          </w:p>
        </w:tc>
      </w:tr>
      <w:tr w:rsidR="008462A5" w:rsidRPr="00744043" w14:paraId="2F55C29B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532A126E" w14:textId="77777777" w:rsidR="008462A5" w:rsidRPr="00744043" w:rsidRDefault="008462A5" w:rsidP="00210390">
            <w:r w:rsidRPr="00744043">
              <w:t xml:space="preserve">Chevron </w:t>
            </w:r>
          </w:p>
        </w:tc>
        <w:tc>
          <w:tcPr>
            <w:tcW w:w="701" w:type="dxa"/>
            <w:noWrap/>
            <w:hideMark/>
          </w:tcPr>
          <w:p w14:paraId="1011DFCE" w14:textId="77777777" w:rsidR="008462A5" w:rsidRPr="00744043" w:rsidRDefault="008462A5" w:rsidP="00210390">
            <w:r w:rsidRPr="00744043">
              <w:t>758</w:t>
            </w:r>
          </w:p>
        </w:tc>
        <w:tc>
          <w:tcPr>
            <w:tcW w:w="2208" w:type="dxa"/>
            <w:noWrap/>
            <w:hideMark/>
          </w:tcPr>
          <w:p w14:paraId="18C38D26" w14:textId="77777777" w:rsidR="008462A5" w:rsidRPr="00744043" w:rsidRDefault="008462A5" w:rsidP="00210390">
            <w:r w:rsidRPr="00744043">
              <w:t xml:space="preserve">85.37 </w:t>
            </w:r>
            <w:r>
              <w:t xml:space="preserve">± </w:t>
            </w:r>
            <w:r w:rsidRPr="00744043">
              <w:t xml:space="preserve">3.93 </w:t>
            </w:r>
          </w:p>
        </w:tc>
        <w:tc>
          <w:tcPr>
            <w:tcW w:w="2523" w:type="dxa"/>
            <w:noWrap/>
            <w:hideMark/>
          </w:tcPr>
          <w:p w14:paraId="210A9DD5" w14:textId="77777777" w:rsidR="008462A5" w:rsidRPr="00744043" w:rsidRDefault="008462A5" w:rsidP="00210390">
            <w:r w:rsidRPr="00744043">
              <w:t xml:space="preserve">85.28 [75.25, 85.48] </w:t>
            </w:r>
          </w:p>
        </w:tc>
      </w:tr>
      <w:tr w:rsidR="008462A5" w:rsidRPr="00744043" w14:paraId="3F627C5A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08178011" w14:textId="77777777" w:rsidR="008462A5" w:rsidRPr="00744043" w:rsidRDefault="008462A5" w:rsidP="00210390">
            <w:r w:rsidRPr="00744043">
              <w:t xml:space="preserve">Two steps </w:t>
            </w:r>
          </w:p>
        </w:tc>
        <w:tc>
          <w:tcPr>
            <w:tcW w:w="701" w:type="dxa"/>
            <w:noWrap/>
            <w:hideMark/>
          </w:tcPr>
          <w:p w14:paraId="0898B1CB" w14:textId="77777777" w:rsidR="008462A5" w:rsidRPr="00744043" w:rsidRDefault="008462A5" w:rsidP="00210390">
            <w:r w:rsidRPr="00744043">
              <w:t>579</w:t>
            </w:r>
          </w:p>
        </w:tc>
        <w:tc>
          <w:tcPr>
            <w:tcW w:w="2208" w:type="dxa"/>
            <w:noWrap/>
            <w:hideMark/>
          </w:tcPr>
          <w:p w14:paraId="64E97343" w14:textId="77777777" w:rsidR="008462A5" w:rsidRPr="00744043" w:rsidRDefault="008462A5" w:rsidP="00210390">
            <w:r w:rsidRPr="00744043">
              <w:t xml:space="preserve">74.41 </w:t>
            </w:r>
            <w:r>
              <w:t xml:space="preserve">± </w:t>
            </w:r>
            <w:r w:rsidRPr="00744043">
              <w:t xml:space="preserve">4.16 </w:t>
            </w:r>
          </w:p>
        </w:tc>
        <w:tc>
          <w:tcPr>
            <w:tcW w:w="2523" w:type="dxa"/>
            <w:noWrap/>
            <w:hideMark/>
          </w:tcPr>
          <w:p w14:paraId="6AF7CC38" w14:textId="77777777" w:rsidR="008462A5" w:rsidRPr="00744043" w:rsidRDefault="008462A5" w:rsidP="00210390">
            <w:r w:rsidRPr="00744043">
              <w:t xml:space="preserve">70.47 [63.71, 85.11] </w:t>
            </w:r>
          </w:p>
        </w:tc>
      </w:tr>
      <w:tr w:rsidR="008462A5" w:rsidRPr="00744043" w14:paraId="7D5DFB38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404953D9" w14:textId="77777777" w:rsidR="008462A5" w:rsidRPr="00744043" w:rsidRDefault="008462A5" w:rsidP="00210390">
            <w:r w:rsidRPr="00744043">
              <w:t xml:space="preserve">Down-FM </w:t>
            </w:r>
          </w:p>
        </w:tc>
        <w:tc>
          <w:tcPr>
            <w:tcW w:w="701" w:type="dxa"/>
            <w:noWrap/>
            <w:hideMark/>
          </w:tcPr>
          <w:p w14:paraId="58228CCA" w14:textId="77777777" w:rsidR="008462A5" w:rsidRPr="00744043" w:rsidRDefault="008462A5" w:rsidP="00210390">
            <w:r w:rsidRPr="00744043">
              <w:t>557</w:t>
            </w:r>
          </w:p>
        </w:tc>
        <w:tc>
          <w:tcPr>
            <w:tcW w:w="2208" w:type="dxa"/>
            <w:noWrap/>
            <w:hideMark/>
          </w:tcPr>
          <w:p w14:paraId="407FFCDF" w14:textId="77777777" w:rsidR="008462A5" w:rsidRPr="00744043" w:rsidRDefault="008462A5" w:rsidP="00210390">
            <w:r w:rsidRPr="00744043">
              <w:t xml:space="preserve">90.74 </w:t>
            </w:r>
            <w:r>
              <w:t xml:space="preserve">± </w:t>
            </w:r>
            <w:r w:rsidRPr="00744043">
              <w:t xml:space="preserve">1.23 </w:t>
            </w:r>
          </w:p>
        </w:tc>
        <w:tc>
          <w:tcPr>
            <w:tcW w:w="2523" w:type="dxa"/>
            <w:noWrap/>
            <w:hideMark/>
          </w:tcPr>
          <w:p w14:paraId="0914C88A" w14:textId="77777777" w:rsidR="008462A5" w:rsidRPr="00744043" w:rsidRDefault="008462A5" w:rsidP="00210390">
            <w:r w:rsidRPr="00744043">
              <w:t xml:space="preserve">90.83 [87.56, 93.91] </w:t>
            </w:r>
          </w:p>
        </w:tc>
      </w:tr>
      <w:tr w:rsidR="008462A5" w:rsidRPr="00744043" w14:paraId="5A67DCCC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197B902D" w14:textId="77777777" w:rsidR="008462A5" w:rsidRPr="00744043" w:rsidRDefault="008462A5" w:rsidP="00210390">
            <w:r w:rsidRPr="00744043">
              <w:t xml:space="preserve">Up-FM </w:t>
            </w:r>
          </w:p>
        </w:tc>
        <w:tc>
          <w:tcPr>
            <w:tcW w:w="701" w:type="dxa"/>
            <w:noWrap/>
            <w:hideMark/>
          </w:tcPr>
          <w:p w14:paraId="3456D980" w14:textId="77777777" w:rsidR="008462A5" w:rsidRPr="00744043" w:rsidRDefault="008462A5" w:rsidP="00210390">
            <w:r w:rsidRPr="00744043">
              <w:t>485</w:t>
            </w:r>
          </w:p>
        </w:tc>
        <w:tc>
          <w:tcPr>
            <w:tcW w:w="2208" w:type="dxa"/>
            <w:noWrap/>
            <w:hideMark/>
          </w:tcPr>
          <w:p w14:paraId="02E2E476" w14:textId="77777777" w:rsidR="008462A5" w:rsidRPr="00744043" w:rsidRDefault="008462A5" w:rsidP="00210390">
            <w:r w:rsidRPr="00744043">
              <w:t xml:space="preserve">88.04 </w:t>
            </w:r>
            <w:r>
              <w:t xml:space="preserve">± </w:t>
            </w:r>
            <w:r w:rsidRPr="00744043">
              <w:t xml:space="preserve">2.38 </w:t>
            </w:r>
          </w:p>
        </w:tc>
        <w:tc>
          <w:tcPr>
            <w:tcW w:w="2523" w:type="dxa"/>
            <w:noWrap/>
            <w:hideMark/>
          </w:tcPr>
          <w:p w14:paraId="556337FE" w14:textId="77777777" w:rsidR="008462A5" w:rsidRPr="00744043" w:rsidRDefault="008462A5" w:rsidP="00210390">
            <w:r w:rsidRPr="00744043">
              <w:t xml:space="preserve">87.59 [81.90, 94.17] </w:t>
            </w:r>
          </w:p>
        </w:tc>
      </w:tr>
      <w:tr w:rsidR="008462A5" w:rsidRPr="00744043" w14:paraId="010DA086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5D8E6090" w14:textId="77777777" w:rsidR="008462A5" w:rsidRPr="00744043" w:rsidRDefault="008462A5" w:rsidP="00210390">
            <w:r w:rsidRPr="00744043">
              <w:t xml:space="preserve">Short </w:t>
            </w:r>
          </w:p>
        </w:tc>
        <w:tc>
          <w:tcPr>
            <w:tcW w:w="701" w:type="dxa"/>
            <w:noWrap/>
            <w:hideMark/>
          </w:tcPr>
          <w:p w14:paraId="3A1B6814" w14:textId="77777777" w:rsidR="008462A5" w:rsidRPr="00744043" w:rsidRDefault="008462A5" w:rsidP="00210390">
            <w:r w:rsidRPr="00744043">
              <w:t>358</w:t>
            </w:r>
          </w:p>
        </w:tc>
        <w:tc>
          <w:tcPr>
            <w:tcW w:w="2208" w:type="dxa"/>
            <w:noWrap/>
            <w:hideMark/>
          </w:tcPr>
          <w:p w14:paraId="48749318" w14:textId="77777777" w:rsidR="008462A5" w:rsidRPr="00744043" w:rsidRDefault="008462A5" w:rsidP="00210390">
            <w:r w:rsidRPr="00744043">
              <w:t xml:space="preserve">88.28 </w:t>
            </w:r>
            <w:r>
              <w:t xml:space="preserve">± </w:t>
            </w:r>
            <w:r w:rsidRPr="00744043">
              <w:t xml:space="preserve">1.88 </w:t>
            </w:r>
          </w:p>
        </w:tc>
        <w:tc>
          <w:tcPr>
            <w:tcW w:w="2523" w:type="dxa"/>
            <w:noWrap/>
            <w:hideMark/>
          </w:tcPr>
          <w:p w14:paraId="3B3BD2AA" w14:textId="77777777" w:rsidR="008462A5" w:rsidRPr="00744043" w:rsidRDefault="008462A5" w:rsidP="00210390">
            <w:r w:rsidRPr="00744043">
              <w:t xml:space="preserve">89.62 [83.45, 93.11] </w:t>
            </w:r>
          </w:p>
        </w:tc>
      </w:tr>
      <w:tr w:rsidR="008462A5" w:rsidRPr="00744043" w14:paraId="710B6EEB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02D3E337" w14:textId="77777777" w:rsidR="008462A5" w:rsidRPr="00744043" w:rsidRDefault="008462A5" w:rsidP="00210390">
            <w:r w:rsidRPr="00744043">
              <w:t xml:space="preserve">Complex </w:t>
            </w:r>
          </w:p>
        </w:tc>
        <w:tc>
          <w:tcPr>
            <w:tcW w:w="701" w:type="dxa"/>
            <w:noWrap/>
            <w:hideMark/>
          </w:tcPr>
          <w:p w14:paraId="15C060BE" w14:textId="77777777" w:rsidR="008462A5" w:rsidRPr="00744043" w:rsidRDefault="008462A5" w:rsidP="00210390">
            <w:r w:rsidRPr="00744043">
              <w:t>281</w:t>
            </w:r>
          </w:p>
        </w:tc>
        <w:tc>
          <w:tcPr>
            <w:tcW w:w="2208" w:type="dxa"/>
            <w:noWrap/>
            <w:hideMark/>
          </w:tcPr>
          <w:p w14:paraId="104C1B00" w14:textId="77777777" w:rsidR="008462A5" w:rsidRPr="00744043" w:rsidRDefault="008462A5" w:rsidP="00210390">
            <w:r w:rsidRPr="00744043">
              <w:t xml:space="preserve">76.64 </w:t>
            </w:r>
            <w:r>
              <w:t xml:space="preserve">± </w:t>
            </w:r>
            <w:r w:rsidRPr="00744043">
              <w:t xml:space="preserve">3.72 </w:t>
            </w:r>
          </w:p>
        </w:tc>
        <w:tc>
          <w:tcPr>
            <w:tcW w:w="2523" w:type="dxa"/>
            <w:noWrap/>
            <w:hideMark/>
          </w:tcPr>
          <w:p w14:paraId="52B47C25" w14:textId="77777777" w:rsidR="008462A5" w:rsidRPr="00744043" w:rsidRDefault="008462A5" w:rsidP="00210390">
            <w:r w:rsidRPr="00744043">
              <w:t xml:space="preserve">76.24 [67.07, 86.22] </w:t>
            </w:r>
          </w:p>
        </w:tc>
      </w:tr>
      <w:tr w:rsidR="008462A5" w:rsidRPr="00744043" w14:paraId="472F0D6C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5EAB1CDD" w14:textId="77777777" w:rsidR="008462A5" w:rsidRPr="00744043" w:rsidRDefault="008462A5" w:rsidP="00210390">
            <w:r w:rsidRPr="00744043">
              <w:t xml:space="preserve">Flat </w:t>
            </w:r>
          </w:p>
        </w:tc>
        <w:tc>
          <w:tcPr>
            <w:tcW w:w="701" w:type="dxa"/>
            <w:noWrap/>
            <w:hideMark/>
          </w:tcPr>
          <w:p w14:paraId="657F2EE9" w14:textId="77777777" w:rsidR="008462A5" w:rsidRPr="00744043" w:rsidRDefault="008462A5" w:rsidP="00210390">
            <w:r w:rsidRPr="00744043">
              <w:t>190</w:t>
            </w:r>
          </w:p>
        </w:tc>
        <w:tc>
          <w:tcPr>
            <w:tcW w:w="2208" w:type="dxa"/>
            <w:noWrap/>
            <w:hideMark/>
          </w:tcPr>
          <w:p w14:paraId="5B379EAC" w14:textId="77777777" w:rsidR="008462A5" w:rsidRPr="00744043" w:rsidRDefault="008462A5" w:rsidP="00210390">
            <w:r w:rsidRPr="00744043">
              <w:t xml:space="preserve">84.20 </w:t>
            </w:r>
            <w:r>
              <w:t xml:space="preserve">± </w:t>
            </w:r>
            <w:r w:rsidRPr="00744043">
              <w:t xml:space="preserve">4.14 </w:t>
            </w:r>
          </w:p>
        </w:tc>
        <w:tc>
          <w:tcPr>
            <w:tcW w:w="2523" w:type="dxa"/>
            <w:noWrap/>
            <w:hideMark/>
          </w:tcPr>
          <w:p w14:paraId="7FCF1A40" w14:textId="77777777" w:rsidR="008462A5" w:rsidRPr="00744043" w:rsidRDefault="008462A5" w:rsidP="00210390">
            <w:r w:rsidRPr="00744043">
              <w:t xml:space="preserve">83.51 [73.56, 94.84] </w:t>
            </w:r>
          </w:p>
        </w:tc>
      </w:tr>
      <w:tr w:rsidR="008462A5" w:rsidRPr="00744043" w14:paraId="09699339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7322D1F5" w14:textId="77777777" w:rsidR="008462A5" w:rsidRPr="00744043" w:rsidRDefault="008462A5" w:rsidP="00210390">
            <w:r w:rsidRPr="00744043">
              <w:t xml:space="preserve">Step down </w:t>
            </w:r>
          </w:p>
        </w:tc>
        <w:tc>
          <w:tcPr>
            <w:tcW w:w="701" w:type="dxa"/>
            <w:noWrap/>
            <w:hideMark/>
          </w:tcPr>
          <w:p w14:paraId="19DD8929" w14:textId="77777777" w:rsidR="008462A5" w:rsidRPr="00744043" w:rsidRDefault="008462A5" w:rsidP="00210390">
            <w:r w:rsidRPr="00744043">
              <w:t>142</w:t>
            </w:r>
          </w:p>
        </w:tc>
        <w:tc>
          <w:tcPr>
            <w:tcW w:w="2208" w:type="dxa"/>
            <w:noWrap/>
            <w:hideMark/>
          </w:tcPr>
          <w:p w14:paraId="62E3A5C3" w14:textId="77777777" w:rsidR="008462A5" w:rsidRPr="00744043" w:rsidRDefault="008462A5" w:rsidP="00210390">
            <w:r w:rsidRPr="00744043">
              <w:t xml:space="preserve">84.74 </w:t>
            </w:r>
            <w:r>
              <w:t xml:space="preserve">± </w:t>
            </w:r>
            <w:r w:rsidRPr="00744043">
              <w:t xml:space="preserve">4.60 </w:t>
            </w:r>
          </w:p>
        </w:tc>
        <w:tc>
          <w:tcPr>
            <w:tcW w:w="2523" w:type="dxa"/>
            <w:noWrap/>
            <w:hideMark/>
          </w:tcPr>
          <w:p w14:paraId="525B08B3" w14:textId="77777777" w:rsidR="008462A5" w:rsidRPr="00744043" w:rsidRDefault="008462A5" w:rsidP="00210390">
            <w:r w:rsidRPr="00744043">
              <w:t xml:space="preserve">83.77 [72.90, 96.58] </w:t>
            </w:r>
          </w:p>
        </w:tc>
      </w:tr>
      <w:tr w:rsidR="008462A5" w:rsidRPr="00744043" w14:paraId="71880E95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32419D2B" w14:textId="77777777" w:rsidR="008462A5" w:rsidRPr="00744043" w:rsidRDefault="008462A5" w:rsidP="00210390">
            <w:proofErr w:type="spellStart"/>
            <w:r w:rsidRPr="00744043">
              <w:t>Mult</w:t>
            </w:r>
            <w:proofErr w:type="spellEnd"/>
            <w:r w:rsidRPr="00744043">
              <w:t xml:space="preserve">. steps  </w:t>
            </w:r>
          </w:p>
        </w:tc>
        <w:tc>
          <w:tcPr>
            <w:tcW w:w="701" w:type="dxa"/>
            <w:noWrap/>
            <w:hideMark/>
          </w:tcPr>
          <w:p w14:paraId="1A373B96" w14:textId="77777777" w:rsidR="008462A5" w:rsidRPr="00744043" w:rsidRDefault="008462A5" w:rsidP="00210390">
            <w:r w:rsidRPr="00744043">
              <w:t>80</w:t>
            </w:r>
          </w:p>
        </w:tc>
        <w:tc>
          <w:tcPr>
            <w:tcW w:w="2208" w:type="dxa"/>
            <w:noWrap/>
            <w:hideMark/>
          </w:tcPr>
          <w:p w14:paraId="53F5AF79" w14:textId="77777777" w:rsidR="008462A5" w:rsidRPr="00744043" w:rsidRDefault="008462A5" w:rsidP="00210390">
            <w:r w:rsidRPr="00744043">
              <w:t xml:space="preserve">45.89 </w:t>
            </w:r>
            <w:r>
              <w:t xml:space="preserve">± </w:t>
            </w:r>
            <w:r w:rsidRPr="00744043">
              <w:t xml:space="preserve">10.70 </w:t>
            </w:r>
          </w:p>
        </w:tc>
        <w:tc>
          <w:tcPr>
            <w:tcW w:w="2523" w:type="dxa"/>
            <w:noWrap/>
            <w:hideMark/>
          </w:tcPr>
          <w:p w14:paraId="1359A7D3" w14:textId="77777777" w:rsidR="008462A5" w:rsidRPr="00744043" w:rsidRDefault="008462A5" w:rsidP="00210390">
            <w:r w:rsidRPr="00744043">
              <w:t xml:space="preserve">38.10 [16.18, 75.61] </w:t>
            </w:r>
          </w:p>
        </w:tc>
      </w:tr>
      <w:tr w:rsidR="008462A5" w:rsidRPr="00744043" w14:paraId="2BF2BE09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0BA46E88" w14:textId="77777777" w:rsidR="008462A5" w:rsidRPr="00744043" w:rsidRDefault="008462A5" w:rsidP="00210390">
            <w:r w:rsidRPr="00744043">
              <w:t xml:space="preserve">Rev. Chevron </w:t>
            </w:r>
          </w:p>
        </w:tc>
        <w:tc>
          <w:tcPr>
            <w:tcW w:w="701" w:type="dxa"/>
            <w:noWrap/>
            <w:hideMark/>
          </w:tcPr>
          <w:p w14:paraId="3E310962" w14:textId="77777777" w:rsidR="008462A5" w:rsidRPr="00744043" w:rsidRDefault="008462A5" w:rsidP="00210390">
            <w:r w:rsidRPr="00744043">
              <w:t>61</w:t>
            </w:r>
          </w:p>
        </w:tc>
        <w:tc>
          <w:tcPr>
            <w:tcW w:w="2208" w:type="dxa"/>
            <w:noWrap/>
            <w:hideMark/>
          </w:tcPr>
          <w:p w14:paraId="7A41D45B" w14:textId="77777777" w:rsidR="008462A5" w:rsidRPr="00744043" w:rsidRDefault="008462A5" w:rsidP="00210390">
            <w:r w:rsidRPr="00744043">
              <w:t xml:space="preserve">65.18 </w:t>
            </w:r>
            <w:r>
              <w:t xml:space="preserve">± </w:t>
            </w:r>
            <w:r w:rsidRPr="00744043">
              <w:t xml:space="preserve">14.17 </w:t>
            </w:r>
          </w:p>
        </w:tc>
        <w:tc>
          <w:tcPr>
            <w:tcW w:w="2523" w:type="dxa"/>
            <w:noWrap/>
            <w:hideMark/>
          </w:tcPr>
          <w:p w14:paraId="4A7CAC81" w14:textId="77777777" w:rsidR="008462A5" w:rsidRPr="00744043" w:rsidRDefault="008462A5" w:rsidP="00210390">
            <w:r w:rsidRPr="00744043">
              <w:t xml:space="preserve">73.87 [28.74, 100.00] </w:t>
            </w:r>
          </w:p>
        </w:tc>
      </w:tr>
      <w:tr w:rsidR="008462A5" w:rsidRPr="00744043" w14:paraId="73C7B282" w14:textId="77777777" w:rsidTr="00210390">
        <w:trPr>
          <w:trHeight w:val="320"/>
          <w:jc w:val="center"/>
        </w:trPr>
        <w:tc>
          <w:tcPr>
            <w:tcW w:w="1681" w:type="dxa"/>
            <w:noWrap/>
            <w:hideMark/>
          </w:tcPr>
          <w:p w14:paraId="1A712BB3" w14:textId="77777777" w:rsidR="008462A5" w:rsidRPr="00744043" w:rsidRDefault="008462A5" w:rsidP="00210390">
            <w:r w:rsidRPr="00744043">
              <w:t xml:space="preserve">Noise </w:t>
            </w:r>
          </w:p>
        </w:tc>
        <w:tc>
          <w:tcPr>
            <w:tcW w:w="701" w:type="dxa"/>
            <w:noWrap/>
            <w:hideMark/>
          </w:tcPr>
          <w:p w14:paraId="02A62FFF" w14:textId="77777777" w:rsidR="008462A5" w:rsidRPr="00744043" w:rsidRDefault="008462A5" w:rsidP="00210390">
            <w:r w:rsidRPr="00744043">
              <w:t>511</w:t>
            </w:r>
          </w:p>
        </w:tc>
        <w:tc>
          <w:tcPr>
            <w:tcW w:w="2208" w:type="dxa"/>
            <w:noWrap/>
            <w:hideMark/>
          </w:tcPr>
          <w:p w14:paraId="3C8C056E" w14:textId="77777777" w:rsidR="008462A5" w:rsidRPr="00744043" w:rsidRDefault="008462A5" w:rsidP="00210390">
            <w:r w:rsidRPr="00744043">
              <w:t xml:space="preserve">96.67 </w:t>
            </w:r>
            <w:r>
              <w:t xml:space="preserve">± </w:t>
            </w:r>
            <w:r w:rsidRPr="00744043">
              <w:t xml:space="preserve">0.55 </w:t>
            </w:r>
          </w:p>
        </w:tc>
        <w:tc>
          <w:tcPr>
            <w:tcW w:w="2523" w:type="dxa"/>
            <w:noWrap/>
            <w:hideMark/>
          </w:tcPr>
          <w:p w14:paraId="62B924DA" w14:textId="77777777" w:rsidR="008462A5" w:rsidRPr="00744043" w:rsidRDefault="008462A5" w:rsidP="00210390">
            <w:r w:rsidRPr="00744043">
              <w:t xml:space="preserve">96.67 [95.23, 98.10] </w:t>
            </w:r>
          </w:p>
        </w:tc>
      </w:tr>
    </w:tbl>
    <w:p w14:paraId="4F1813F8" w14:textId="77777777" w:rsidR="008F7385" w:rsidRDefault="008F7385"/>
    <w:sectPr w:rsidR="008F7385" w:rsidSect="007E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5"/>
    <w:rsid w:val="007E169B"/>
    <w:rsid w:val="008462A5"/>
    <w:rsid w:val="008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8BE1D"/>
  <w15:chartTrackingRefBased/>
  <w15:docId w15:val="{725EA873-AA2F-DA44-A82C-8A4555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Fonseca</dc:creator>
  <cp:keywords/>
  <dc:description/>
  <cp:lastModifiedBy>Antonio Fonseca</cp:lastModifiedBy>
  <cp:revision>1</cp:revision>
  <dcterms:created xsi:type="dcterms:W3CDTF">2021-03-12T20:21:00Z</dcterms:created>
  <dcterms:modified xsi:type="dcterms:W3CDTF">2021-03-12T20:22:00Z</dcterms:modified>
</cp:coreProperties>
</file>