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63052E7D" w:rsidR="00877644" w:rsidRPr="00125190" w:rsidRDefault="00945F86"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For electron microscopy, s</w:t>
      </w:r>
      <w:r w:rsidR="00834D3F" w:rsidRPr="00834D3F">
        <w:rPr>
          <w:rFonts w:asciiTheme="minorHAnsi" w:hAnsiTheme="minorHAnsi"/>
        </w:rPr>
        <w:t>ample sizes were determined by available electron microscopy time and density of particles on electron microscopy grids.</w:t>
      </w:r>
      <w:r w:rsidR="00834D3F">
        <w:rPr>
          <w:rFonts w:asciiTheme="minorHAnsi" w:hAnsiTheme="minorHAnsi"/>
        </w:rPr>
        <w:t xml:space="preserve"> Da</w:t>
      </w:r>
      <w:r w:rsidR="00F34885">
        <w:rPr>
          <w:rFonts w:asciiTheme="minorHAnsi" w:hAnsiTheme="minorHAnsi"/>
        </w:rPr>
        <w:t>taset sizes are shown in Table S2.</w:t>
      </w:r>
      <w:r w:rsidR="00156655">
        <w:rPr>
          <w:rFonts w:asciiTheme="minorHAnsi" w:hAnsiTheme="minorHAnsi"/>
        </w:rPr>
        <w:t xml:space="preserve"> The numbers of observations and unique reflections for crystallographic data are added in Table S1.</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289C2E53" w:rsidR="00B330BD" w:rsidRDefault="00970F1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For our submission, biological replicates are defined as sample preparation while technical replicates would be each independent observation, i.e. each tilt-series</w:t>
      </w:r>
      <w:r w:rsidR="0085071B">
        <w:rPr>
          <w:rFonts w:asciiTheme="minorHAnsi" w:hAnsiTheme="minorHAnsi"/>
        </w:rPr>
        <w:t xml:space="preserve"> (which may contain one or more VLPs/virions)</w:t>
      </w:r>
      <w:r>
        <w:rPr>
          <w:rFonts w:asciiTheme="minorHAnsi" w:hAnsiTheme="minorHAnsi"/>
        </w:rPr>
        <w:t>.  Biological replicates were generally performed once</w:t>
      </w:r>
      <w:r w:rsidR="0085071B">
        <w:rPr>
          <w:rFonts w:asciiTheme="minorHAnsi" w:hAnsiTheme="minorHAnsi"/>
        </w:rPr>
        <w:t xml:space="preserve"> for this study</w:t>
      </w:r>
      <w:r>
        <w:rPr>
          <w:rFonts w:asciiTheme="minorHAnsi" w:hAnsiTheme="minorHAnsi"/>
        </w:rPr>
        <w:t xml:space="preserve">, but reproduce the same morphological features </w:t>
      </w:r>
      <w:r w:rsidR="0085071B">
        <w:rPr>
          <w:rFonts w:asciiTheme="minorHAnsi" w:hAnsiTheme="minorHAnsi"/>
        </w:rPr>
        <w:t>described</w:t>
      </w:r>
      <w:r>
        <w:rPr>
          <w:rFonts w:asciiTheme="minorHAnsi" w:hAnsiTheme="minorHAnsi"/>
        </w:rPr>
        <w:t xml:space="preserve"> </w:t>
      </w:r>
      <w:r w:rsidR="005247A9">
        <w:rPr>
          <w:rFonts w:asciiTheme="minorHAnsi" w:hAnsiTheme="minorHAnsi"/>
        </w:rPr>
        <w:t>by us and others in the literature</w:t>
      </w:r>
      <w:r>
        <w:rPr>
          <w:rFonts w:asciiTheme="minorHAnsi" w:hAnsiTheme="minorHAnsi"/>
        </w:rPr>
        <w:t xml:space="preserve">. Technical replicates are listed in Table S2. </w:t>
      </w:r>
      <w:r w:rsidRPr="00970F1D">
        <w:rPr>
          <w:rFonts w:asciiTheme="minorHAnsi" w:hAnsiTheme="minorHAnsi"/>
        </w:rPr>
        <w:t xml:space="preserve">All acquired tilt-series were analyzed and data was later excluded as is usual for such image processing studies. First, tilt-series that showed poor fiducial alignments or imaging problems were removed from the dataset. Similar to single-particle EM reconstruction, poorly </w:t>
      </w:r>
      <w:proofErr w:type="gramStart"/>
      <w:r w:rsidRPr="00970F1D">
        <w:rPr>
          <w:rFonts w:asciiTheme="minorHAnsi" w:hAnsiTheme="minorHAnsi"/>
        </w:rPr>
        <w:t>aligned  subtomograms</w:t>
      </w:r>
      <w:proofErr w:type="gramEnd"/>
      <w:r w:rsidRPr="00970F1D">
        <w:rPr>
          <w:rFonts w:asciiTheme="minorHAnsi" w:hAnsiTheme="minorHAnsi"/>
        </w:rPr>
        <w:t xml:space="preserve"> were excluded from averages based on cross-correlation scores and visual analysis of lattice maps.</w:t>
      </w:r>
    </w:p>
    <w:p w14:paraId="0AA9E129" w14:textId="322FAA2A" w:rsidR="005247A9" w:rsidRDefault="005247A9"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699FDB4B" w14:textId="18100C7F" w:rsidR="005247A9" w:rsidRPr="00125190" w:rsidRDefault="005247A9"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experiments in Figure S4 were repeated three times as described in the figure legend.</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4677C106" w:rsidR="0015519A" w:rsidRPr="00505C51" w:rsidRDefault="00707DE6"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Our submission describes a number of determined structures, and as such statistics concerning hypothesis testing do not apply. Statistics for the crystal structures are described in Table S1. Resolution estimates for the subtomogram averaging structures used a ‘gold-standard’ approach of independently refined half-maps for Fourier Shell Correlation calculations. </w:t>
      </w:r>
      <w:r w:rsidR="005247A9">
        <w:rPr>
          <w:rFonts w:asciiTheme="minorHAnsi" w:hAnsiTheme="minorHAnsi"/>
          <w:sz w:val="22"/>
          <w:szCs w:val="22"/>
        </w:rPr>
        <w:t>Statistical tests in Figure S4 are described in the legend to that figure.</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06F94585" w:rsidR="00BC3CCE" w:rsidRPr="00505C51" w:rsidRDefault="00707DE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707DE6">
        <w:rPr>
          <w:rFonts w:asciiTheme="minorHAnsi" w:hAnsiTheme="minorHAnsi"/>
          <w:sz w:val="22"/>
          <w:szCs w:val="22"/>
        </w:rPr>
        <w:t xml:space="preserve">For independent subtomogram alignment, datasets were split into odd and even subsets based on subtomogram number. Subtomogram numbers are effectively randomized per </w:t>
      </w:r>
      <w:r>
        <w:rPr>
          <w:rFonts w:asciiTheme="minorHAnsi" w:hAnsiTheme="minorHAnsi"/>
          <w:sz w:val="22"/>
          <w:szCs w:val="22"/>
        </w:rPr>
        <w:t>virion or virus-like particle</w:t>
      </w:r>
      <w:r w:rsidRPr="00707DE6">
        <w:rPr>
          <w:rFonts w:asciiTheme="minorHAnsi" w:hAnsiTheme="minorHAnsi"/>
          <w:sz w:val="22"/>
          <w:szCs w:val="22"/>
        </w:rPr>
        <w:t>.</w:t>
      </w:r>
      <w:r w:rsidR="00000B16">
        <w:rPr>
          <w:rFonts w:asciiTheme="minorHAnsi" w:hAnsiTheme="minorHAnsi"/>
          <w:sz w:val="22"/>
          <w:szCs w:val="22"/>
        </w:rPr>
        <w:t xml:space="preserve"> This is described in the materials and methods section.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51FDB70F" w:rsidR="00BC3CCE" w:rsidRDefault="00091F61"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source data for the graph in Figu</w:t>
      </w:r>
      <w:r w:rsidR="002C792E">
        <w:rPr>
          <w:rFonts w:asciiTheme="minorHAnsi" w:hAnsiTheme="minorHAnsi"/>
          <w:sz w:val="22"/>
          <w:szCs w:val="22"/>
        </w:rPr>
        <w:t>r</w:t>
      </w:r>
      <w:r>
        <w:rPr>
          <w:rFonts w:asciiTheme="minorHAnsi" w:hAnsiTheme="minorHAnsi"/>
          <w:sz w:val="22"/>
          <w:szCs w:val="22"/>
        </w:rPr>
        <w:t>e S</w:t>
      </w:r>
      <w:r w:rsidR="002C792E">
        <w:rPr>
          <w:rFonts w:asciiTheme="minorHAnsi" w:hAnsiTheme="minorHAnsi"/>
          <w:sz w:val="22"/>
          <w:szCs w:val="22"/>
        </w:rPr>
        <w:t>2d</w:t>
      </w:r>
      <w:r>
        <w:rPr>
          <w:rFonts w:asciiTheme="minorHAnsi" w:hAnsiTheme="minorHAnsi"/>
          <w:sz w:val="22"/>
          <w:szCs w:val="22"/>
        </w:rPr>
        <w:t xml:space="preserve"> is here:</w:t>
      </w:r>
    </w:p>
    <w:p w14:paraId="29B9CF29" w14:textId="73D71626" w:rsidR="00091F61" w:rsidRPr="00505C51" w:rsidRDefault="002C792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noProof/>
          <w:sz w:val="22"/>
          <w:szCs w:val="22"/>
        </w:rPr>
        <w:drawing>
          <wp:inline distT="0" distB="0" distL="0" distR="0" wp14:anchorId="1D79B6E7" wp14:editId="789C298E">
            <wp:extent cx="4963795" cy="1518920"/>
            <wp:effectExtent l="0" t="0" r="1905" b="5080"/>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ble_budding-index.jpeg"/>
                    <pic:cNvPicPr/>
                  </pic:nvPicPr>
                  <pic:blipFill>
                    <a:blip r:embed="rId11"/>
                    <a:stretch>
                      <a:fillRect/>
                    </a:stretch>
                  </pic:blipFill>
                  <pic:spPr>
                    <a:xfrm>
                      <a:off x="0" y="0"/>
                      <a:ext cx="4963795" cy="1518920"/>
                    </a:xfrm>
                    <a:prstGeom prst="rect">
                      <a:avLst/>
                    </a:prstGeom>
                  </pic:spPr>
                </pic:pic>
              </a:graphicData>
            </a:graphic>
          </wp:inline>
        </w:drawing>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46BB09" w14:textId="77777777" w:rsidR="001405EA" w:rsidRDefault="001405EA" w:rsidP="004215FE">
      <w:r>
        <w:separator/>
      </w:r>
    </w:p>
  </w:endnote>
  <w:endnote w:type="continuationSeparator" w:id="0">
    <w:p w14:paraId="6332D70F" w14:textId="77777777" w:rsidR="001405EA" w:rsidRDefault="001405EA"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0F613C" w:rsidRDefault="000F613C"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0F613C" w:rsidRDefault="000F613C"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0F613C" w:rsidRDefault="000F61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0F613C" w:rsidRPr="0009520A" w:rsidRDefault="000F613C"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000B16">
      <w:rPr>
        <w:rStyle w:val="PageNumber"/>
        <w:rFonts w:asciiTheme="minorHAnsi" w:hAnsiTheme="minorHAnsi"/>
        <w:noProof/>
        <w:sz w:val="20"/>
        <w:szCs w:val="20"/>
      </w:rPr>
      <w:t>3</w:t>
    </w:r>
    <w:r w:rsidRPr="0009520A">
      <w:rPr>
        <w:rStyle w:val="PageNumber"/>
        <w:rFonts w:asciiTheme="minorHAnsi" w:hAnsiTheme="minorHAnsi"/>
        <w:sz w:val="20"/>
        <w:szCs w:val="20"/>
      </w:rPr>
      <w:fldChar w:fldCharType="end"/>
    </w:r>
  </w:p>
  <w:p w14:paraId="43DA2918" w14:textId="77777777" w:rsidR="000F613C" w:rsidRPr="00062DBF" w:rsidRDefault="000F613C"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570001" w14:textId="77777777" w:rsidR="001405EA" w:rsidRDefault="001405EA" w:rsidP="004215FE">
      <w:r>
        <w:separator/>
      </w:r>
    </w:p>
  </w:footnote>
  <w:footnote w:type="continuationSeparator" w:id="0">
    <w:p w14:paraId="182182E8" w14:textId="77777777" w:rsidR="001405EA" w:rsidRDefault="001405EA"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0F613C" w:rsidRDefault="000F613C"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0B16"/>
    <w:rsid w:val="00004579"/>
    <w:rsid w:val="00022DC0"/>
    <w:rsid w:val="00062DBF"/>
    <w:rsid w:val="00083FE8"/>
    <w:rsid w:val="00091F61"/>
    <w:rsid w:val="0009444E"/>
    <w:rsid w:val="0009520A"/>
    <w:rsid w:val="000A32A6"/>
    <w:rsid w:val="000A38BC"/>
    <w:rsid w:val="000B2AEA"/>
    <w:rsid w:val="000C4C4F"/>
    <w:rsid w:val="000C773F"/>
    <w:rsid w:val="000D14EE"/>
    <w:rsid w:val="000D62F9"/>
    <w:rsid w:val="000F613C"/>
    <w:rsid w:val="000F64EE"/>
    <w:rsid w:val="00100F97"/>
    <w:rsid w:val="001019CD"/>
    <w:rsid w:val="00125190"/>
    <w:rsid w:val="00133662"/>
    <w:rsid w:val="00133907"/>
    <w:rsid w:val="001405EA"/>
    <w:rsid w:val="00146DE9"/>
    <w:rsid w:val="0015519A"/>
    <w:rsid w:val="00156655"/>
    <w:rsid w:val="001618D5"/>
    <w:rsid w:val="00175192"/>
    <w:rsid w:val="001E1D59"/>
    <w:rsid w:val="00212F30"/>
    <w:rsid w:val="00217B9E"/>
    <w:rsid w:val="002336C6"/>
    <w:rsid w:val="00241081"/>
    <w:rsid w:val="00266462"/>
    <w:rsid w:val="002A068D"/>
    <w:rsid w:val="002A0ED1"/>
    <w:rsid w:val="002A7487"/>
    <w:rsid w:val="002C792E"/>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247A9"/>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07DE6"/>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34D3F"/>
    <w:rsid w:val="0085071B"/>
    <w:rsid w:val="008531D3"/>
    <w:rsid w:val="00860995"/>
    <w:rsid w:val="00865914"/>
    <w:rsid w:val="008669DA"/>
    <w:rsid w:val="0087056D"/>
    <w:rsid w:val="00876F8F"/>
    <w:rsid w:val="00877644"/>
    <w:rsid w:val="00877729"/>
    <w:rsid w:val="008A22A7"/>
    <w:rsid w:val="008C720C"/>
    <w:rsid w:val="008C73C0"/>
    <w:rsid w:val="008D7885"/>
    <w:rsid w:val="00912B0B"/>
    <w:rsid w:val="009205E9"/>
    <w:rsid w:val="0092438C"/>
    <w:rsid w:val="00941D04"/>
    <w:rsid w:val="00945F86"/>
    <w:rsid w:val="00960213"/>
    <w:rsid w:val="00963CEF"/>
    <w:rsid w:val="00970F1D"/>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0443"/>
    <w:rsid w:val="00DF1913"/>
    <w:rsid w:val="00E007B4"/>
    <w:rsid w:val="00E234CA"/>
    <w:rsid w:val="00E41364"/>
    <w:rsid w:val="00E61AB4"/>
    <w:rsid w:val="00E70517"/>
    <w:rsid w:val="00E870D1"/>
    <w:rsid w:val="00ED346E"/>
    <w:rsid w:val="00EF7423"/>
    <w:rsid w:val="00F27DEC"/>
    <w:rsid w:val="00F3184E"/>
    <w:rsid w:val="00F3344F"/>
    <w:rsid w:val="00F34885"/>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C0DE4ED8-1CF9-E44F-B826-65382BD43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 w:id="1941258355">
      <w:bodyDiv w:val="1"/>
      <w:marLeft w:val="0"/>
      <w:marRight w:val="0"/>
      <w:marTop w:val="0"/>
      <w:marBottom w:val="0"/>
      <w:divBdr>
        <w:top w:val="none" w:sz="0" w:space="0" w:color="auto"/>
        <w:left w:val="none" w:sz="0" w:space="0" w:color="auto"/>
        <w:bottom w:val="none" w:sz="0" w:space="0" w:color="auto"/>
        <w:right w:val="none" w:sz="0" w:space="0" w:color="auto"/>
      </w:divBdr>
    </w:div>
    <w:div w:id="208741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9D070-70F7-B441-B931-2F623299E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954</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6380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John</cp:lastModifiedBy>
  <cp:revision>2</cp:revision>
  <dcterms:created xsi:type="dcterms:W3CDTF">2020-06-04T16:42:00Z</dcterms:created>
  <dcterms:modified xsi:type="dcterms:W3CDTF">2020-06-04T16:42:00Z</dcterms:modified>
</cp:coreProperties>
</file>