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52191" w:rsidRDefault="003C353F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sz w:val="28"/>
          <w:szCs w:val="28"/>
        </w:rPr>
        <w:t>eLife’s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transparent reporting form</w:t>
      </w:r>
    </w:p>
    <w:p w14:paraId="00000002" w14:textId="77777777" w:rsidR="00E52191" w:rsidRDefault="00E52191">
      <w:pPr>
        <w:rPr>
          <w:rFonts w:ascii="Calibri" w:eastAsia="Calibri" w:hAnsi="Calibri" w:cs="Calibri"/>
          <w:sz w:val="22"/>
          <w:szCs w:val="22"/>
        </w:rPr>
      </w:pPr>
      <w:bookmarkStart w:id="0" w:name="bookmark=id.gjdgxs" w:colFirst="0" w:colLast="0"/>
      <w:bookmarkEnd w:id="0"/>
    </w:p>
    <w:p w14:paraId="00000003" w14:textId="77777777" w:rsidR="00E52191" w:rsidRDefault="003C35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We encourage authors to provide detailed information </w:t>
      </w:r>
      <w:r>
        <w:rPr>
          <w:rFonts w:ascii="Calibri" w:eastAsia="Calibri" w:hAnsi="Calibri" w:cs="Calibri"/>
          <w:i/>
          <w:sz w:val="22"/>
          <w:szCs w:val="22"/>
        </w:rPr>
        <w:t>within their submission</w:t>
      </w:r>
      <w:r>
        <w:rPr>
          <w:rFonts w:ascii="Calibri" w:eastAsia="Calibri" w:hAnsi="Calibri" w:cs="Calibri"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EQUATOR Network</w:t>
      </w:r>
      <w:r>
        <w:rPr>
          <w:rFonts w:ascii="Calibri" w:eastAsia="Calibri" w:hAnsi="Calibri" w:cs="Calibri"/>
          <w:sz w:val="22"/>
          <w:szCs w:val="22"/>
        </w:rPr>
        <w:t>), life science research (see the </w:t>
      </w:r>
      <w:proofErr w:type="spellStart"/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BioShari</w:t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ng</w:t>
      </w:r>
      <w:proofErr w:type="spellEnd"/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 xml:space="preserve"> Information Resource</w:t>
      </w:r>
      <w:r>
        <w:rPr>
          <w:rFonts w:ascii="Calibri" w:eastAsia="Calibri" w:hAnsi="Calibri" w:cs="Calibri"/>
          <w:sz w:val="22"/>
          <w:szCs w:val="22"/>
        </w:rPr>
        <w:t>), or the </w:t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ARRIVE guidelines</w:t>
      </w:r>
      <w:r>
        <w:rPr>
          <w:rFonts w:ascii="Calibri" w:eastAsia="Calibri" w:hAnsi="Calibri" w:cs="Calibri"/>
          <w:sz w:val="22"/>
          <w:szCs w:val="22"/>
        </w:rPr>
        <w:t> for reporting work involving animal research. Where applicable, authors should refer to any relevant reporting standards documents in this form.</w:t>
      </w:r>
    </w:p>
    <w:p w14:paraId="00000004" w14:textId="77777777" w:rsidR="00E52191" w:rsidRDefault="00E52191">
      <w:pPr>
        <w:rPr>
          <w:rFonts w:ascii="Calibri" w:eastAsia="Calibri" w:hAnsi="Calibri" w:cs="Calibri"/>
        </w:rPr>
      </w:pPr>
    </w:p>
    <w:p w14:paraId="00000005" w14:textId="77777777" w:rsidR="00E52191" w:rsidRDefault="003C353F">
      <w:pPr>
        <w:rPr>
          <w:rFonts w:ascii="Calibri" w:eastAsia="Calibri" w:hAnsi="Calibri" w:cs="Calibri"/>
          <w:b/>
          <w:color w:val="0000FF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you have any questions, please consult our Journal Polic</w:t>
      </w:r>
      <w:r>
        <w:rPr>
          <w:rFonts w:ascii="Calibri" w:eastAsia="Calibri" w:hAnsi="Calibri" w:cs="Calibri"/>
          <w:sz w:val="22"/>
          <w:szCs w:val="22"/>
        </w:rPr>
        <w:t>ies and/or contact us: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editorial@elifesciences.org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06" w14:textId="77777777" w:rsidR="00E52191" w:rsidRDefault="00E52191">
      <w:pPr>
        <w:rPr>
          <w:rFonts w:ascii="Calibri" w:eastAsia="Calibri" w:hAnsi="Calibri" w:cs="Calibri"/>
          <w:b/>
          <w:color w:val="0000FF"/>
          <w:sz w:val="22"/>
          <w:szCs w:val="22"/>
        </w:rPr>
      </w:pPr>
    </w:p>
    <w:p w14:paraId="00000007" w14:textId="77777777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Sample-size estimation</w:t>
      </w:r>
    </w:p>
    <w:p w14:paraId="00000008" w14:textId="77777777" w:rsidR="00E52191" w:rsidRDefault="003C35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 should state whether an appropriate sample size was computed when the study was being designed </w:t>
      </w:r>
    </w:p>
    <w:p w14:paraId="00000009" w14:textId="77777777" w:rsidR="00E52191" w:rsidRDefault="003C35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should state the statistical method of sample size computation and any required assumptions</w:t>
      </w:r>
    </w:p>
    <w:p w14:paraId="0000000A" w14:textId="77777777" w:rsidR="00E52191" w:rsidRDefault="003C35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If no explicit power analysis was used, you should describe how you decided what sample (replicate) size (number) to use</w:t>
      </w:r>
    </w:p>
    <w:p w14:paraId="0000000B" w14:textId="77777777" w:rsidR="00E52191" w:rsidRDefault="00E52191">
      <w:pPr>
        <w:rPr>
          <w:rFonts w:ascii="Calibri" w:eastAsia="Calibri" w:hAnsi="Calibri" w:cs="Calibri"/>
          <w:sz w:val="16"/>
          <w:szCs w:val="16"/>
        </w:rPr>
      </w:pPr>
    </w:p>
    <w:p w14:paraId="0000000C" w14:textId="77777777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outline where this information </w:t>
      </w:r>
      <w:r>
        <w:rPr>
          <w:rFonts w:ascii="Calibri" w:eastAsia="Calibri" w:hAnsi="Calibri" w:cs="Calibri"/>
          <w:sz w:val="22"/>
          <w:szCs w:val="22"/>
        </w:rPr>
        <w:t>can be found within the submission (e.g., sections or figure legends), or explain why this information doesn’t apply to your submission:</w:t>
      </w:r>
    </w:p>
    <w:p w14:paraId="0000000D" w14:textId="77777777" w:rsidR="00E52191" w:rsidRDefault="00E52191">
      <w:pPr>
        <w:rPr>
          <w:rFonts w:ascii="Calibri" w:eastAsia="Calibri" w:hAnsi="Calibri" w:cs="Calibri"/>
          <w:sz w:val="22"/>
          <w:szCs w:val="22"/>
        </w:rPr>
      </w:pPr>
    </w:p>
    <w:p w14:paraId="0000000E" w14:textId="77777777" w:rsidR="00E52191" w:rsidRDefault="003C353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FF"/>
          <w:sz w:val="22"/>
          <w:szCs w:val="22"/>
        </w:rPr>
      </w:pPr>
      <w:r>
        <w:rPr>
          <w:color w:val="0000FF"/>
        </w:rPr>
        <w:t>Sample sizes were not statistically predetermined but were based on previous experiments conducted by us and other lab</w:t>
      </w:r>
      <w:r>
        <w:rPr>
          <w:color w:val="0000FF"/>
        </w:rPr>
        <w:t xml:space="preserve">s, that used similar experimental techniques and behavioral paradigms. The actual sample size for each experiment </w:t>
      </w:r>
      <w:r>
        <w:rPr>
          <w:color w:val="0000FF"/>
        </w:rPr>
        <w:t>is</w:t>
      </w:r>
      <w:r>
        <w:rPr>
          <w:color w:val="0000FF"/>
        </w:rPr>
        <w:t xml:space="preserve"> listed in the main text and/or the corresponding figure legend</w:t>
      </w:r>
      <w:r>
        <w:rPr>
          <w:color w:val="0000FF"/>
        </w:rPr>
        <w:t>.</w:t>
      </w:r>
    </w:p>
    <w:p w14:paraId="0000000F" w14:textId="77777777" w:rsidR="00E52191" w:rsidRDefault="00E52191">
      <w:pPr>
        <w:rPr>
          <w:rFonts w:ascii="Calibri" w:eastAsia="Calibri" w:hAnsi="Calibri" w:cs="Calibri"/>
          <w:sz w:val="22"/>
          <w:szCs w:val="22"/>
        </w:rPr>
      </w:pPr>
    </w:p>
    <w:p w14:paraId="00000010" w14:textId="77777777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Replicates</w:t>
      </w:r>
    </w:p>
    <w:p w14:paraId="00000011" w14:textId="77777777" w:rsidR="00E52191" w:rsidRDefault="003C35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should report how often each experiment was performed</w:t>
      </w:r>
    </w:p>
    <w:p w14:paraId="00000012" w14:textId="77777777" w:rsidR="00E52191" w:rsidRDefault="003C35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should include a definition of biological versus technical replication</w:t>
      </w:r>
    </w:p>
    <w:p w14:paraId="00000013" w14:textId="77777777" w:rsidR="00E52191" w:rsidRDefault="003C35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data obtained should be provided and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sufficient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information should be provided to indicate the number of independent bi</w:t>
      </w:r>
      <w:r>
        <w:rPr>
          <w:rFonts w:ascii="Calibri" w:eastAsia="Calibri" w:hAnsi="Calibri" w:cs="Calibri"/>
          <w:color w:val="000000"/>
          <w:sz w:val="22"/>
          <w:szCs w:val="22"/>
        </w:rPr>
        <w:t>ological and/or technical replicates</w:t>
      </w:r>
    </w:p>
    <w:p w14:paraId="00000014" w14:textId="77777777" w:rsidR="00E52191" w:rsidRDefault="003C35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If you encountered any outliers, you should describe how these were handled</w:t>
      </w:r>
    </w:p>
    <w:p w14:paraId="00000015" w14:textId="77777777" w:rsidR="00E52191" w:rsidRDefault="003C35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Criteria for exclusion/inclusion of data should be clearly stated</w:t>
      </w:r>
    </w:p>
    <w:p w14:paraId="00000016" w14:textId="77777777" w:rsidR="00E52191" w:rsidRDefault="003C35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High-throughput sequence data should be uploaded before submission, with a private link for reviewers provided (these are available from both GEO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ArrayExpress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00000017" w14:textId="77777777" w:rsidR="00E52191" w:rsidRDefault="00E52191">
      <w:pPr>
        <w:rPr>
          <w:rFonts w:ascii="Calibri" w:eastAsia="Calibri" w:hAnsi="Calibri" w:cs="Calibri"/>
          <w:sz w:val="16"/>
          <w:szCs w:val="16"/>
        </w:rPr>
      </w:pPr>
    </w:p>
    <w:p w14:paraId="00000018" w14:textId="77777777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outline where this information can be found within the submission (e.g., sections or</w:t>
      </w:r>
      <w:r>
        <w:rPr>
          <w:rFonts w:ascii="Calibri" w:eastAsia="Calibri" w:hAnsi="Calibri" w:cs="Calibri"/>
          <w:sz w:val="22"/>
          <w:szCs w:val="22"/>
        </w:rPr>
        <w:t xml:space="preserve"> figure legends), or explain why this information doesn’t apply to your submission:</w:t>
      </w:r>
    </w:p>
    <w:p w14:paraId="00000019" w14:textId="77777777" w:rsidR="00E52191" w:rsidRDefault="00E52191">
      <w:pPr>
        <w:rPr>
          <w:rFonts w:ascii="Calibri" w:eastAsia="Calibri" w:hAnsi="Calibri" w:cs="Calibri"/>
          <w:sz w:val="22"/>
          <w:szCs w:val="22"/>
        </w:rPr>
      </w:pPr>
    </w:p>
    <w:p w14:paraId="0000001A" w14:textId="61E54C44" w:rsidR="00E52191" w:rsidRDefault="003C353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FF"/>
        </w:rPr>
      </w:pPr>
      <w:r>
        <w:rPr>
          <w:color w:val="0000FF"/>
        </w:rPr>
        <w:t>Individual mice were considered as independent biological replicates</w:t>
      </w:r>
      <w:r w:rsidR="0060151B">
        <w:rPr>
          <w:color w:val="0000FF"/>
        </w:rPr>
        <w:t xml:space="preserve">. </w:t>
      </w:r>
      <w:r>
        <w:rPr>
          <w:color w:val="0000FF"/>
        </w:rPr>
        <w:t>The number of samples is listed together with the measur</w:t>
      </w:r>
      <w:r>
        <w:rPr>
          <w:color w:val="0000FF"/>
        </w:rPr>
        <w:t>ements in the manuscript</w:t>
      </w:r>
      <w:r>
        <w:rPr>
          <w:color w:val="0000FF"/>
        </w:rPr>
        <w:t xml:space="preserve">. </w:t>
      </w:r>
      <w:proofErr w:type="gramStart"/>
      <w:r>
        <w:rPr>
          <w:color w:val="0000FF"/>
        </w:rPr>
        <w:t>All of</w:t>
      </w:r>
      <w:proofErr w:type="gramEnd"/>
      <w:r>
        <w:rPr>
          <w:color w:val="0000FF"/>
        </w:rPr>
        <w:t xml:space="preserve"> the observations have been successfully reproduced in multiple cohorts for animals. </w:t>
      </w:r>
    </w:p>
    <w:p w14:paraId="0000001B" w14:textId="77777777" w:rsidR="00E52191" w:rsidRDefault="003C353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FF"/>
        </w:rPr>
      </w:pPr>
      <w:r>
        <w:rPr>
          <w:color w:val="0000FF"/>
        </w:rPr>
        <w:t>To assess the impact of VC on contrast sensitivity through the CT pathway, mice that did not exhib</w:t>
      </w:r>
      <w:r>
        <w:rPr>
          <w:color w:val="0000FF"/>
        </w:rPr>
        <w:t xml:space="preserve">it a cortical contribution of VC on contrast sensitivity before the actual CT lesion were excluded as an indication that these animals already entered a training-independent stage in </w:t>
      </w:r>
      <w:r>
        <w:rPr>
          <w:color w:val="0000FF"/>
        </w:rPr>
        <w:lastRenderedPageBreak/>
        <w:t>which the VC lost its contribution to the task performance and thus did n</w:t>
      </w:r>
      <w:r>
        <w:rPr>
          <w:color w:val="0000FF"/>
        </w:rPr>
        <w:t xml:space="preserve">ot permit the assessment of the selective role of the CT pathway. </w:t>
      </w:r>
    </w:p>
    <w:p w14:paraId="0000001C" w14:textId="77777777" w:rsidR="00E52191" w:rsidRDefault="00E52191">
      <w:pPr>
        <w:rPr>
          <w:rFonts w:ascii="Calibri" w:eastAsia="Calibri" w:hAnsi="Calibri" w:cs="Calibri"/>
          <w:b/>
          <w:color w:val="0000FF"/>
        </w:rPr>
      </w:pPr>
    </w:p>
    <w:p w14:paraId="0000001D" w14:textId="77777777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Statistical reporting</w:t>
      </w:r>
    </w:p>
    <w:p w14:paraId="0000001E" w14:textId="77777777" w:rsidR="00E52191" w:rsidRDefault="003C35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Statistical analysis methods should be described and justified</w:t>
      </w:r>
    </w:p>
    <w:p w14:paraId="0000001F" w14:textId="77777777" w:rsidR="00E52191" w:rsidRDefault="003C35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Raw data should be presented in figures whenever informative to do so (typically when N per group is less than 10)</w:t>
      </w:r>
    </w:p>
    <w:p w14:paraId="00000020" w14:textId="77777777" w:rsidR="00E52191" w:rsidRDefault="003C35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For each experiment, you should identify the statistical tests used, exact values of N, definitions of center, methods of multiple test corre</w:t>
      </w:r>
      <w:r>
        <w:rPr>
          <w:rFonts w:ascii="Calibri" w:eastAsia="Calibri" w:hAnsi="Calibri" w:cs="Calibri"/>
          <w:color w:val="000000"/>
          <w:sz w:val="22"/>
          <w:szCs w:val="22"/>
        </w:rPr>
        <w:t>ction, and dispersion and precision measures (e.g., mean, median, SD, SEM, confidence intervals; and, for the major substantive results, a measure of effect size (e.g., Pearson's r, Cohen's d)</w:t>
      </w:r>
    </w:p>
    <w:p w14:paraId="00000021" w14:textId="77777777" w:rsidR="00E52191" w:rsidRDefault="003C35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Report exact p-values wherever possible alongside the summary s</w:t>
      </w:r>
      <w:r>
        <w:rPr>
          <w:rFonts w:ascii="Calibri" w:eastAsia="Calibri" w:hAnsi="Calibri" w:cs="Calibri"/>
          <w:color w:val="000000"/>
          <w:sz w:val="22"/>
          <w:szCs w:val="22"/>
        </w:rPr>
        <w:t>tatistics and 95% confidence intervals. These should be reported for all key questions and not only when the p-value is less than 0.05.</w:t>
      </w:r>
    </w:p>
    <w:p w14:paraId="00000022" w14:textId="77777777" w:rsidR="00E52191" w:rsidRDefault="00E52191">
      <w:pPr>
        <w:rPr>
          <w:rFonts w:ascii="Calibri" w:eastAsia="Calibri" w:hAnsi="Calibri" w:cs="Calibri"/>
          <w:sz w:val="16"/>
          <w:szCs w:val="16"/>
        </w:rPr>
      </w:pPr>
    </w:p>
    <w:p w14:paraId="00000023" w14:textId="77777777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outline where this information can be found within the submission (e.g., sections or figure legends), or explain</w:t>
      </w:r>
      <w:r>
        <w:rPr>
          <w:rFonts w:ascii="Calibri" w:eastAsia="Calibri" w:hAnsi="Calibri" w:cs="Calibri"/>
          <w:sz w:val="22"/>
          <w:szCs w:val="22"/>
        </w:rPr>
        <w:t xml:space="preserve"> why this information doesn’t apply to your submission:</w:t>
      </w:r>
    </w:p>
    <w:p w14:paraId="00000024" w14:textId="77777777" w:rsidR="00E52191" w:rsidRDefault="00E52191">
      <w:pPr>
        <w:rPr>
          <w:rFonts w:ascii="Calibri" w:eastAsia="Calibri" w:hAnsi="Calibri" w:cs="Calibri"/>
          <w:sz w:val="22"/>
          <w:szCs w:val="22"/>
        </w:rPr>
      </w:pPr>
    </w:p>
    <w:p w14:paraId="00000025" w14:textId="47ADE3A5" w:rsidR="00E52191" w:rsidRDefault="003C353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FF"/>
          <w:sz w:val="22"/>
          <w:szCs w:val="22"/>
        </w:rPr>
      </w:pPr>
      <w:r>
        <w:rPr>
          <w:color w:val="0000FF"/>
        </w:rPr>
        <w:t xml:space="preserve">All </w:t>
      </w:r>
      <w:r>
        <w:rPr>
          <w:color w:val="0000FF"/>
        </w:rPr>
        <w:t xml:space="preserve">statistical tests used for the data analysis are listed together with the </w:t>
      </w:r>
      <w:r>
        <w:rPr>
          <w:color w:val="0000FF"/>
        </w:rPr>
        <w:t>corresponding</w:t>
      </w:r>
      <w:r>
        <w:rPr>
          <w:color w:val="0000FF"/>
        </w:rPr>
        <w:t xml:space="preserve"> </w:t>
      </w:r>
      <w:r>
        <w:rPr>
          <w:color w:val="0000FF"/>
        </w:rPr>
        <w:t>data</w:t>
      </w:r>
      <w:r>
        <w:rPr>
          <w:color w:val="0000FF"/>
        </w:rPr>
        <w:t xml:space="preserve">, the exact values of N and the precision measures </w:t>
      </w:r>
      <w:r>
        <w:rPr>
          <w:color w:val="0000FF"/>
        </w:rPr>
        <w:t>throughout the manuscript. The respective p-valu</w:t>
      </w:r>
      <w:r>
        <w:rPr>
          <w:color w:val="0000FF"/>
        </w:rPr>
        <w:t>es or p-value thresholds that were used to denote statistical significance</w:t>
      </w:r>
      <w:r>
        <w:rPr>
          <w:color w:val="0000FF"/>
        </w:rPr>
        <w:t xml:space="preserve"> are also </w:t>
      </w:r>
      <w:r>
        <w:rPr>
          <w:color w:val="0000FF"/>
        </w:rPr>
        <w:t>listed</w:t>
      </w:r>
      <w:r>
        <w:rPr>
          <w:color w:val="0000FF"/>
        </w:rPr>
        <w:t xml:space="preserve"> in conjunction with the corresponding data </w:t>
      </w:r>
      <w:r>
        <w:rPr>
          <w:color w:val="0000FF"/>
        </w:rPr>
        <w:t>throughout the main text manuscript.</w:t>
      </w:r>
      <w:r>
        <w:rPr>
          <w:color w:val="0000FF"/>
        </w:rPr>
        <w:t xml:space="preserve"> </w:t>
      </w:r>
      <w:r>
        <w:rPr>
          <w:color w:val="0000FF"/>
        </w:rPr>
        <w:t xml:space="preserve">The </w:t>
      </w:r>
      <w:r>
        <w:rPr>
          <w:color w:val="0000FF"/>
        </w:rPr>
        <w:t xml:space="preserve">criteria </w:t>
      </w:r>
      <w:r>
        <w:rPr>
          <w:color w:val="0000FF"/>
        </w:rPr>
        <w:t xml:space="preserve">to determine the statistical significance are </w:t>
      </w:r>
      <w:r>
        <w:rPr>
          <w:color w:val="0000FF"/>
        </w:rPr>
        <w:t>summarized</w:t>
      </w:r>
      <w:r>
        <w:rPr>
          <w:color w:val="0000FF"/>
        </w:rPr>
        <w:t xml:space="preserve"> in the Mat</w:t>
      </w:r>
      <w:r>
        <w:rPr>
          <w:color w:val="0000FF"/>
        </w:rPr>
        <w:t>erials and Methods section of the manuscript.</w:t>
      </w:r>
    </w:p>
    <w:p w14:paraId="00000026" w14:textId="77777777" w:rsidR="00E52191" w:rsidRDefault="00E52191">
      <w:pPr>
        <w:rPr>
          <w:rFonts w:ascii="Calibri" w:eastAsia="Calibri" w:hAnsi="Calibri" w:cs="Calibri"/>
          <w:sz w:val="22"/>
          <w:szCs w:val="22"/>
        </w:rPr>
      </w:pPr>
    </w:p>
    <w:p w14:paraId="00000027" w14:textId="77777777" w:rsidR="00E52191" w:rsidRDefault="003C353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2"/>
          <w:szCs w:val="22"/>
        </w:rPr>
        <w:t>(For large datasets, or papers with a very large number of statistical tests, you may upload a single table file with tests, Ns, etc., with reference to sections in the manuscript.)</w:t>
      </w:r>
    </w:p>
    <w:p w14:paraId="00000028" w14:textId="77777777" w:rsidR="00E52191" w:rsidRDefault="00E52191">
      <w:pPr>
        <w:rPr>
          <w:rFonts w:ascii="Calibri" w:eastAsia="Calibri" w:hAnsi="Calibri" w:cs="Calibri"/>
          <w:b/>
        </w:rPr>
      </w:pPr>
    </w:p>
    <w:p w14:paraId="00000029" w14:textId="77777777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Group allocation</w:t>
      </w:r>
    </w:p>
    <w:p w14:paraId="0000002A" w14:textId="77777777" w:rsidR="00E52191" w:rsidRDefault="003C35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0000002B" w14:textId="77777777" w:rsidR="00E52191" w:rsidRDefault="003C35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Indicate if masking was used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during group allocation, data collection and/or data analysis</w:t>
      </w:r>
    </w:p>
    <w:p w14:paraId="0000002C" w14:textId="77777777" w:rsidR="00E52191" w:rsidRDefault="00E52191">
      <w:pPr>
        <w:rPr>
          <w:rFonts w:ascii="Calibri" w:eastAsia="Calibri" w:hAnsi="Calibri" w:cs="Calibri"/>
          <w:b/>
          <w:sz w:val="16"/>
          <w:szCs w:val="16"/>
        </w:rPr>
      </w:pPr>
    </w:p>
    <w:p w14:paraId="0000002D" w14:textId="1003CFBB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7D4501D6" w14:textId="77777777" w:rsidR="0060151B" w:rsidRDefault="0060151B">
      <w:pPr>
        <w:rPr>
          <w:rFonts w:ascii="Calibri" w:eastAsia="Calibri" w:hAnsi="Calibri" w:cs="Calibri"/>
          <w:sz w:val="22"/>
          <w:szCs w:val="22"/>
        </w:rPr>
      </w:pPr>
    </w:p>
    <w:p w14:paraId="0000002F" w14:textId="19D809FC" w:rsidR="00E52191" w:rsidRPr="0060151B" w:rsidRDefault="0060151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FF"/>
        </w:rPr>
      </w:pPr>
      <w:r>
        <w:rPr>
          <w:color w:val="0000FF"/>
        </w:rPr>
        <w:t>M</w:t>
      </w:r>
      <w:r w:rsidR="003C353F" w:rsidRPr="0060151B">
        <w:rPr>
          <w:color w:val="0000FF"/>
        </w:rPr>
        <w:t>ice were randoml</w:t>
      </w:r>
      <w:r w:rsidR="003C353F" w:rsidRPr="0060151B">
        <w:rPr>
          <w:color w:val="0000FF"/>
        </w:rPr>
        <w:t xml:space="preserve">y assigned to experimental groups. In case multiple mice from a single litter were used, the animals were randomly spread across groups in order to avoid a bias due to litter effects. </w:t>
      </w:r>
      <w:r w:rsidR="003C353F" w:rsidRPr="0060151B">
        <w:rPr>
          <w:color w:val="0000FF"/>
        </w:rPr>
        <w:t>The experimenters were blind to the experimental groups during the beha</w:t>
      </w:r>
      <w:r w:rsidR="003C353F" w:rsidRPr="0060151B">
        <w:rPr>
          <w:color w:val="0000FF"/>
        </w:rPr>
        <w:t>vioral training and task performance assessment.</w:t>
      </w:r>
    </w:p>
    <w:p w14:paraId="00000030" w14:textId="77777777" w:rsidR="00E52191" w:rsidRDefault="00E52191">
      <w:pPr>
        <w:rPr>
          <w:rFonts w:ascii="Calibri" w:eastAsia="Calibri" w:hAnsi="Calibri" w:cs="Calibri"/>
          <w:b/>
        </w:rPr>
      </w:pPr>
    </w:p>
    <w:p w14:paraId="00000031" w14:textId="77777777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Additional data files (“source data”)</w:t>
      </w:r>
    </w:p>
    <w:p w14:paraId="00000032" w14:textId="77777777" w:rsidR="00E52191" w:rsidRDefault="003C35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We encourage you to upload relevant additional data files, such as numerical data that are represented as a graph in a figure, or as a summary table</w:t>
      </w:r>
    </w:p>
    <w:p w14:paraId="00000033" w14:textId="77777777" w:rsidR="00E52191" w:rsidRDefault="003C35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Where provided, these should be in the most useful format, and they can be uploaded as “Source data” files </w:t>
      </w:r>
      <w:r>
        <w:rPr>
          <w:rFonts w:ascii="Calibri" w:eastAsia="Calibri" w:hAnsi="Calibri" w:cs="Calibri"/>
          <w:color w:val="000000"/>
          <w:sz w:val="22"/>
          <w:szCs w:val="22"/>
        </w:rPr>
        <w:t>linked to a main figure or table</w:t>
      </w:r>
    </w:p>
    <w:p w14:paraId="00000034" w14:textId="77777777" w:rsidR="00E52191" w:rsidRDefault="003C35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Include model definition files including the full list of parameters used</w:t>
      </w:r>
    </w:p>
    <w:p w14:paraId="00000035" w14:textId="77777777" w:rsidR="00E52191" w:rsidRDefault="003C35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Include code used for data analysis (e.g., R,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00000036" w14:textId="77777777" w:rsidR="00E52191" w:rsidRDefault="003C35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Avoid stating that data files are “available upon request”</w:t>
      </w:r>
    </w:p>
    <w:p w14:paraId="00000037" w14:textId="77777777" w:rsidR="00E52191" w:rsidRDefault="00E52191">
      <w:pPr>
        <w:rPr>
          <w:rFonts w:ascii="Calibri" w:eastAsia="Calibri" w:hAnsi="Calibri" w:cs="Calibri"/>
          <w:sz w:val="16"/>
          <w:szCs w:val="16"/>
        </w:rPr>
      </w:pPr>
    </w:p>
    <w:p w14:paraId="00000038" w14:textId="357CFD0C" w:rsidR="00E52191" w:rsidRDefault="003C353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indicate the figures or tables for which source data files have been provided:</w:t>
      </w:r>
    </w:p>
    <w:p w14:paraId="17047BA5" w14:textId="22082AF5" w:rsidR="0060151B" w:rsidRDefault="0060151B">
      <w:pPr>
        <w:rPr>
          <w:rFonts w:ascii="Calibri" w:eastAsia="Calibri" w:hAnsi="Calibri" w:cs="Calibri"/>
          <w:sz w:val="22"/>
          <w:szCs w:val="22"/>
        </w:rPr>
      </w:pPr>
    </w:p>
    <w:p w14:paraId="2E64AD75" w14:textId="308E009C" w:rsidR="0060151B" w:rsidRPr="0060151B" w:rsidRDefault="0060151B">
      <w:pPr>
        <w:rPr>
          <w:rFonts w:ascii="Calibri" w:eastAsia="Calibri" w:hAnsi="Calibri" w:cs="Calibri"/>
          <w:color w:val="0000FF"/>
          <w:sz w:val="22"/>
          <w:szCs w:val="22"/>
        </w:rPr>
      </w:pPr>
      <w:r w:rsidRPr="0060151B">
        <w:rPr>
          <w:color w:val="0000FF"/>
          <w:shd w:val="clear" w:color="auto" w:fill="FFFFFF"/>
        </w:rPr>
        <w:t xml:space="preserve">Numerical data for graphs represented in figures </w:t>
      </w:r>
      <w:r w:rsidRPr="0060151B">
        <w:rPr>
          <w:color w:val="0000FF"/>
          <w:shd w:val="clear" w:color="auto" w:fill="FFFFFF"/>
        </w:rPr>
        <w:t>1-6</w:t>
      </w:r>
      <w:r w:rsidRPr="0060151B">
        <w:rPr>
          <w:color w:val="0000FF"/>
          <w:shd w:val="clear" w:color="auto" w:fill="FFFFFF"/>
        </w:rPr>
        <w:t xml:space="preserve">, figure 1-figure supplement </w:t>
      </w:r>
      <w:r w:rsidRPr="0060151B">
        <w:rPr>
          <w:color w:val="0000FF"/>
          <w:shd w:val="clear" w:color="auto" w:fill="FFFFFF"/>
        </w:rPr>
        <w:t>2,3,5,6</w:t>
      </w:r>
      <w:r w:rsidRPr="0060151B">
        <w:rPr>
          <w:color w:val="0000FF"/>
          <w:shd w:val="clear" w:color="auto" w:fill="FFFFFF"/>
        </w:rPr>
        <w:t xml:space="preserve">, figure </w:t>
      </w:r>
      <w:r w:rsidRPr="0060151B">
        <w:rPr>
          <w:color w:val="0000FF"/>
          <w:shd w:val="clear" w:color="auto" w:fill="FFFFFF"/>
        </w:rPr>
        <w:t>2</w:t>
      </w:r>
      <w:r w:rsidRPr="0060151B">
        <w:rPr>
          <w:color w:val="0000FF"/>
          <w:shd w:val="clear" w:color="auto" w:fill="FFFFFF"/>
        </w:rPr>
        <w:t xml:space="preserve">-figure supplement </w:t>
      </w:r>
      <w:r w:rsidRPr="0060151B">
        <w:rPr>
          <w:color w:val="0000FF"/>
          <w:shd w:val="clear" w:color="auto" w:fill="FFFFFF"/>
        </w:rPr>
        <w:t>1</w:t>
      </w:r>
      <w:r w:rsidRPr="0060151B">
        <w:rPr>
          <w:color w:val="0000FF"/>
          <w:shd w:val="clear" w:color="auto" w:fill="FFFFFF"/>
        </w:rPr>
        <w:t>, are provided as source data files.</w:t>
      </w:r>
    </w:p>
    <w:p w14:paraId="00000039" w14:textId="77777777" w:rsidR="00E52191" w:rsidRDefault="00E52191">
      <w:pPr>
        <w:rPr>
          <w:rFonts w:ascii="Calibri" w:eastAsia="Calibri" w:hAnsi="Calibri" w:cs="Calibri"/>
          <w:sz w:val="22"/>
          <w:szCs w:val="22"/>
        </w:rPr>
      </w:pPr>
    </w:p>
    <w:p w14:paraId="0000003A" w14:textId="77777777" w:rsidR="00E52191" w:rsidRDefault="00E52191">
      <w:pPr>
        <w:rPr>
          <w:rFonts w:ascii="Calibri" w:eastAsia="Calibri" w:hAnsi="Calibri" w:cs="Calibri"/>
          <w:sz w:val="22"/>
          <w:szCs w:val="22"/>
        </w:rPr>
      </w:pPr>
      <w:bookmarkStart w:id="1" w:name="_GoBack"/>
      <w:bookmarkEnd w:id="1"/>
    </w:p>
    <w:sectPr w:rsidR="00E52191">
      <w:pgSz w:w="12240" w:h="15840"/>
      <w:pgMar w:top="1417" w:right="1134" w:bottom="19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347C"/>
    <w:multiLevelType w:val="multilevel"/>
    <w:tmpl w:val="8B2C790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8564AA5"/>
    <w:multiLevelType w:val="multilevel"/>
    <w:tmpl w:val="C714F71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0541C78"/>
    <w:multiLevelType w:val="multilevel"/>
    <w:tmpl w:val="E008130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9D0649"/>
    <w:multiLevelType w:val="multilevel"/>
    <w:tmpl w:val="7AA2273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AD7481"/>
    <w:multiLevelType w:val="multilevel"/>
    <w:tmpl w:val="7D9A23E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91"/>
    <w:rsid w:val="003C353F"/>
    <w:rsid w:val="0060151B"/>
    <w:rsid w:val="006E191B"/>
    <w:rsid w:val="00E5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2EAC"/>
  <w15:docId w15:val="{2D955254-337D-45EF-B4B7-756228B8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qFormat/>
  </w:style>
  <w:style w:type="character" w:customStyle="1" w:styleId="BalloonTextChar">
    <w:name w:val="Balloon Text Char"/>
    <w:basedOn w:val="DefaultParagraphFont"/>
    <w:qFormat/>
    <w:rPr>
      <w:rFonts w:ascii="Lucida Grande" w:eastAsia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basedOn w:val="DefaultParagraphFont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qFormat/>
    <w:rPr>
      <w:sz w:val="24"/>
      <w:szCs w:val="24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  <w:lang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ListLabel1">
    <w:name w:val="ListLabel 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qFormat/>
    <w:rPr>
      <w:rFonts w:ascii="Lucida Grande" w:eastAsia="Lucida Grande" w:hAnsi="Lucida Grande" w:cs="Lucida Grande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qFormat/>
    <w:rPr>
      <w:b/>
      <w:bCs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Framecontents">
    <w:name w:val="Frame contents"/>
    <w:basedOn w:val="BodyText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cfnK5/sFCs2LX5fRCPdwHSdug==">AMUW2mUMbLQWQzPHX9Ehl+4Ehj1kYaEAYnZTXcIjs9xC8HHbKXJmsPX2O4ranOtCVVdtp25nQhOrOUD6sCOio/9/YQ3MBif3ebj/abyFy4vEkx7e45jIUc+TZPxvdDL4XKS2iUD0RPkM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Sarah Lee</cp:lastModifiedBy>
  <cp:revision>2</cp:revision>
  <dcterms:created xsi:type="dcterms:W3CDTF">2020-11-25T21:22:00Z</dcterms:created>
  <dcterms:modified xsi:type="dcterms:W3CDTF">2020-11-25T21:22:00Z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Brandeis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