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6244" w14:textId="3A3B1AB1" w:rsidR="000F5AB7" w:rsidRDefault="000F5AB7" w:rsidP="000F5AB7">
      <w:pPr>
        <w:spacing w:line="480" w:lineRule="auto"/>
        <w:jc w:val="both"/>
        <w:rPr>
          <w:b/>
        </w:rPr>
      </w:pPr>
      <w:r>
        <w:rPr>
          <w:b/>
        </w:rPr>
        <w:t xml:space="preserve">Figure 2 </w:t>
      </w:r>
      <w:r>
        <w:rPr>
          <w:b/>
        </w:rPr>
        <w:t>–</w:t>
      </w:r>
      <w:r>
        <w:rPr>
          <w:b/>
        </w:rPr>
        <w:t xml:space="preserve"> </w:t>
      </w:r>
      <w:r>
        <w:rPr>
          <w:b/>
        </w:rPr>
        <w:t>source data</w:t>
      </w:r>
      <w:r>
        <w:rPr>
          <w:b/>
        </w:rPr>
        <w:t xml:space="preserve"> 1 </w:t>
      </w:r>
    </w:p>
    <w:p w14:paraId="49F6A1D8" w14:textId="77777777" w:rsidR="000F5AB7" w:rsidRDefault="000F5AB7" w:rsidP="000F5AB7">
      <w:pPr>
        <w:spacing w:line="480" w:lineRule="auto"/>
        <w:jc w:val="both"/>
        <w:rPr>
          <w:b/>
        </w:rPr>
      </w:pPr>
    </w:p>
    <w:p w14:paraId="15ABBED4" w14:textId="37A55D9D" w:rsidR="000F5AB7" w:rsidRDefault="000F5AB7" w:rsidP="000F5AB7">
      <w:pPr>
        <w:spacing w:line="480" w:lineRule="auto"/>
        <w:ind w:left="1440" w:firstLine="720"/>
        <w:jc w:val="both"/>
        <w:rPr>
          <w:b/>
          <w:u w:val="single"/>
        </w:rPr>
      </w:pPr>
      <w:r>
        <w:rPr>
          <w:b/>
          <w:u w:val="single"/>
        </w:rPr>
        <w:t xml:space="preserve">I. </w:t>
      </w:r>
      <w:proofErr w:type="spellStart"/>
      <w:r>
        <w:rPr>
          <w:b/>
          <w:u w:val="single"/>
        </w:rPr>
        <w:t>Opa</w:t>
      </w:r>
      <w:proofErr w:type="spellEnd"/>
      <w:r>
        <w:rPr>
          <w:b/>
          <w:u w:val="single"/>
        </w:rPr>
        <w:t xml:space="preserve">-only   </w:t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 w:rsidR="00075D94">
        <w:rPr>
          <w:b/>
          <w:u w:val="single"/>
        </w:rPr>
        <w:t xml:space="preserve">  </w:t>
      </w:r>
      <w:r>
        <w:rPr>
          <w:b/>
          <w:u w:val="single"/>
        </w:rPr>
        <w:t>II.</w:t>
      </w:r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Zld</w:t>
      </w:r>
      <w:proofErr w:type="spellEnd"/>
      <w:r>
        <w:rPr>
          <w:b/>
          <w:u w:val="single"/>
        </w:rPr>
        <w:t>-only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75D94">
        <w:rPr>
          <w:b/>
          <w:u w:val="single"/>
        </w:rPr>
        <w:t xml:space="preserve">       </w:t>
      </w:r>
      <w:r>
        <w:rPr>
          <w:b/>
          <w:u w:val="single"/>
        </w:rPr>
        <w:t xml:space="preserve">III. </w:t>
      </w:r>
      <w:proofErr w:type="spellStart"/>
      <w:r>
        <w:rPr>
          <w:b/>
          <w:u w:val="single"/>
        </w:rPr>
        <w:t>Opa-Zld</w:t>
      </w:r>
      <w:proofErr w:type="spellEnd"/>
      <w:r>
        <w:rPr>
          <w:b/>
          <w:u w:val="single"/>
        </w:rPr>
        <w:t xml:space="preserve"> overlap</w:t>
      </w:r>
    </w:p>
    <w:p w14:paraId="78C478F2" w14:textId="133CB50E" w:rsidR="000F5AB7" w:rsidRDefault="000F5AB7" w:rsidP="000F5AB7">
      <w:pPr>
        <w:spacing w:line="480" w:lineRule="auto"/>
        <w:jc w:val="both"/>
        <w:rPr>
          <w:b/>
        </w:rPr>
      </w:pPr>
      <w:proofErr w:type="spellStart"/>
      <w:r>
        <w:rPr>
          <w:b/>
        </w:rPr>
        <w:t>Opa</w:t>
      </w:r>
      <w:proofErr w:type="spellEnd"/>
      <w:r>
        <w:rPr>
          <w:b/>
        </w:rPr>
        <w:t xml:space="preserve">-like    </w:t>
      </w:r>
      <w:r>
        <w:rPr>
          <w:b/>
        </w:rPr>
        <w:tab/>
      </w:r>
      <w:r>
        <w:rPr>
          <w:b/>
        </w:rPr>
        <w:tab/>
        <w:t>1e-522 (15.97</w:t>
      </w:r>
      <w:proofErr w:type="gramStart"/>
      <w:r>
        <w:rPr>
          <w:b/>
        </w:rPr>
        <w:t xml:space="preserve">%)   </w:t>
      </w:r>
      <w:proofErr w:type="gramEnd"/>
      <w:r>
        <w:rPr>
          <w:b/>
        </w:rPr>
        <w:t xml:space="preserve"> </w:t>
      </w:r>
      <w:r>
        <w:t xml:space="preserve"> </w:t>
      </w:r>
      <w:r>
        <w:tab/>
      </w:r>
      <w:r w:rsidR="00075D94">
        <w:t xml:space="preserve">   </w:t>
      </w:r>
      <w:proofErr w:type="spellStart"/>
      <w:r>
        <w:t>n.f</w:t>
      </w:r>
      <w:proofErr w:type="spellEnd"/>
      <w:r>
        <w:t>.</w:t>
      </w:r>
      <w:r>
        <w:tab/>
      </w:r>
      <w:r>
        <w:tab/>
      </w:r>
      <w:r>
        <w:tab/>
      </w:r>
      <w:r w:rsidR="00075D94">
        <w:tab/>
      </w:r>
      <w:r>
        <w:rPr>
          <w:b/>
        </w:rPr>
        <w:t>1e-43 (4.54%)</w:t>
      </w:r>
      <w:r>
        <w:t xml:space="preserve"> </w:t>
      </w:r>
    </w:p>
    <w:p w14:paraId="2460C304" w14:textId="2C9956BC" w:rsidR="000F5AB7" w:rsidRDefault="000F5AB7" w:rsidP="000F5AB7">
      <w:pPr>
        <w:spacing w:line="480" w:lineRule="auto"/>
        <w:jc w:val="both"/>
        <w:rPr>
          <w:b/>
        </w:rPr>
      </w:pPr>
      <w:r>
        <w:rPr>
          <w:b/>
        </w:rPr>
        <w:t xml:space="preserve">Zelda-like  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t>n.f</w:t>
      </w:r>
      <w:proofErr w:type="spellEnd"/>
      <w:r>
        <w:t xml:space="preserve">.    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075D94">
        <w:rPr>
          <w:b/>
        </w:rPr>
        <w:t xml:space="preserve">   </w:t>
      </w:r>
      <w:r>
        <w:rPr>
          <w:b/>
        </w:rPr>
        <w:t>1e-2833 (55.03%)</w:t>
      </w:r>
      <w:r>
        <w:rPr>
          <w:b/>
        </w:rPr>
        <w:tab/>
      </w:r>
      <w:r>
        <w:rPr>
          <w:b/>
        </w:rPr>
        <w:tab/>
        <w:t>1e-240</w:t>
      </w:r>
      <w:r w:rsidR="00075D94">
        <w:rPr>
          <w:b/>
        </w:rPr>
        <w:t xml:space="preserve"> </w:t>
      </w:r>
      <w:r>
        <w:rPr>
          <w:b/>
        </w:rPr>
        <w:t xml:space="preserve">(15.05%) </w:t>
      </w:r>
    </w:p>
    <w:p w14:paraId="2F2647E5" w14:textId="78932105" w:rsidR="000F5AB7" w:rsidRDefault="000F5AB7" w:rsidP="000F5AB7">
      <w:pPr>
        <w:spacing w:line="480" w:lineRule="auto"/>
        <w:jc w:val="both"/>
      </w:pPr>
      <w:proofErr w:type="spellStart"/>
      <w:r>
        <w:rPr>
          <w:b/>
        </w:rPr>
        <w:t>Trl</w:t>
      </w:r>
      <w:proofErr w:type="spellEnd"/>
      <w:r>
        <w:rPr>
          <w:b/>
        </w:rPr>
        <w:t>-like</w:t>
      </w:r>
      <w:r>
        <w:rPr>
          <w:b/>
        </w:rPr>
        <w:tab/>
      </w:r>
      <w:r>
        <w:rPr>
          <w:b/>
        </w:rPr>
        <w:tab/>
      </w:r>
      <w:r>
        <w:t>1e-12 (6.78%)</w:t>
      </w:r>
      <w:r>
        <w:tab/>
        <w:t xml:space="preserve"> </w:t>
      </w:r>
      <w:r>
        <w:rPr>
          <w:b/>
        </w:rPr>
        <w:tab/>
      </w:r>
      <w:r w:rsidR="00075D94">
        <w:rPr>
          <w:b/>
        </w:rPr>
        <w:t xml:space="preserve">   </w:t>
      </w:r>
      <w:r>
        <w:t>1e-23 (4.45%)</w:t>
      </w:r>
      <w:r>
        <w:tab/>
      </w:r>
      <w:r>
        <w:tab/>
      </w:r>
      <w:r>
        <w:rPr>
          <w:b/>
        </w:rPr>
        <w:t>1e-76 (10.56%)</w:t>
      </w:r>
    </w:p>
    <w:p w14:paraId="17FDF190" w14:textId="73B691A4" w:rsidR="00075D94" w:rsidRDefault="000F5AB7" w:rsidP="000F5AB7">
      <w:pPr>
        <w:spacing w:line="480" w:lineRule="auto"/>
        <w:jc w:val="both"/>
        <w:rPr>
          <w:b/>
        </w:rPr>
      </w:pPr>
      <w:proofErr w:type="spellStart"/>
      <w:r>
        <w:rPr>
          <w:b/>
        </w:rPr>
        <w:t>Dref</w:t>
      </w:r>
      <w:proofErr w:type="spellEnd"/>
      <w:r>
        <w:rPr>
          <w:b/>
        </w:rPr>
        <w:t>-like</w:t>
      </w:r>
      <w:r>
        <w:rPr>
          <w:b/>
        </w:rPr>
        <w:tab/>
      </w:r>
      <w:r>
        <w:rPr>
          <w:b/>
        </w:rPr>
        <w:tab/>
        <w:t xml:space="preserve">1e-119 (6.08%) </w:t>
      </w:r>
      <w:r>
        <w:rPr>
          <w:b/>
        </w:rPr>
        <w:tab/>
      </w:r>
      <w:r w:rsidR="00075D94">
        <w:rPr>
          <w:b/>
        </w:rPr>
        <w:t xml:space="preserve">   </w:t>
      </w:r>
      <w:proofErr w:type="spellStart"/>
      <w:proofErr w:type="gramStart"/>
      <w:r>
        <w:t>n.f</w:t>
      </w:r>
      <w:proofErr w:type="spellEnd"/>
      <w:proofErr w:type="gramEnd"/>
      <w:r>
        <w:tab/>
      </w:r>
      <w:r>
        <w:tab/>
      </w:r>
      <w:r w:rsidR="00075D94">
        <w:tab/>
      </w:r>
      <w:r>
        <w:tab/>
        <w:t xml:space="preserve">1e-19 (4.13%) </w:t>
      </w:r>
      <w:r>
        <w:rPr>
          <w:b/>
        </w:rPr>
        <w:t xml:space="preserve"> </w:t>
      </w:r>
    </w:p>
    <w:p w14:paraId="6AA0F50E" w14:textId="38DABC4D" w:rsidR="000F5AB7" w:rsidRDefault="000F5AB7" w:rsidP="000F5AB7">
      <w:pPr>
        <w:spacing w:line="480" w:lineRule="auto"/>
        <w:jc w:val="both"/>
        <w:rPr>
          <w:b/>
        </w:rPr>
      </w:pPr>
      <w:r>
        <w:rPr>
          <w:b/>
        </w:rPr>
        <w:t>Cad-like</w:t>
      </w:r>
      <w:r>
        <w:rPr>
          <w:b/>
        </w:rPr>
        <w:tab/>
      </w:r>
      <w:r>
        <w:rPr>
          <w:b/>
        </w:rPr>
        <w:tab/>
      </w:r>
      <w:proofErr w:type="spellStart"/>
      <w:r>
        <w:t>n.f</w:t>
      </w:r>
      <w:proofErr w:type="spellEnd"/>
      <w:r>
        <w:t>.</w:t>
      </w:r>
      <w:r>
        <w:tab/>
      </w:r>
      <w:r>
        <w:tab/>
        <w:t xml:space="preserve">    </w:t>
      </w:r>
      <w:r>
        <w:tab/>
      </w:r>
      <w:r w:rsidR="00075D94">
        <w:t xml:space="preserve">   </w:t>
      </w:r>
      <w:r>
        <w:rPr>
          <w:b/>
        </w:rPr>
        <w:t>1e-63 (14.18%)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proofErr w:type="spellStart"/>
      <w:r>
        <w:t>n.f</w:t>
      </w:r>
      <w:proofErr w:type="spellEnd"/>
      <w:r>
        <w:t xml:space="preserve">. </w:t>
      </w:r>
      <w:r>
        <w:rPr>
          <w:b/>
        </w:rPr>
        <w:t xml:space="preserve">    </w:t>
      </w:r>
    </w:p>
    <w:p w14:paraId="3BE60443" w14:textId="0D97CECE" w:rsidR="000F5AB7" w:rsidRDefault="000F5AB7" w:rsidP="000F5AB7">
      <w:pPr>
        <w:spacing w:line="480" w:lineRule="auto"/>
        <w:jc w:val="both"/>
        <w:rPr>
          <w:b/>
        </w:rPr>
      </w:pPr>
      <w:r>
        <w:rPr>
          <w:b/>
        </w:rPr>
        <w:t xml:space="preserve">Unknown 1     </w:t>
      </w:r>
      <w:r>
        <w:rPr>
          <w:b/>
        </w:rPr>
        <w:tab/>
        <w:t>1e-117 (5.93</w:t>
      </w:r>
      <w:proofErr w:type="gramStart"/>
      <w:r>
        <w:rPr>
          <w:b/>
        </w:rPr>
        <w:t xml:space="preserve">%)   </w:t>
      </w:r>
      <w:proofErr w:type="gramEnd"/>
      <w:r>
        <w:rPr>
          <w:b/>
        </w:rPr>
        <w:t xml:space="preserve">  </w:t>
      </w:r>
      <w:r>
        <w:t xml:space="preserve"> </w:t>
      </w:r>
      <w:r>
        <w:tab/>
      </w:r>
      <w:r w:rsidR="00075D94">
        <w:t xml:space="preserve">   </w:t>
      </w:r>
      <w:r>
        <w:t xml:space="preserve"> </w:t>
      </w:r>
      <w:proofErr w:type="spellStart"/>
      <w:r>
        <w:t>n.f</w:t>
      </w:r>
      <w:proofErr w:type="spellEnd"/>
      <w:r>
        <w:t xml:space="preserve">. </w:t>
      </w:r>
      <w:r>
        <w:rPr>
          <w:b/>
        </w:rPr>
        <w:t xml:space="preserve">         </w:t>
      </w:r>
      <w:r>
        <w:rPr>
          <w:b/>
        </w:rPr>
        <w:tab/>
      </w:r>
      <w:r w:rsidR="00075D94">
        <w:rPr>
          <w:b/>
        </w:rPr>
        <w:tab/>
      </w:r>
      <w:r>
        <w:rPr>
          <w:b/>
        </w:rPr>
        <w:tab/>
        <w:t xml:space="preserve"> 1e-33 (2.99%)</w:t>
      </w:r>
    </w:p>
    <w:p w14:paraId="023E4095" w14:textId="4DB76EAB" w:rsidR="000F5AB7" w:rsidRDefault="000F5AB7" w:rsidP="000F5AB7">
      <w:pPr>
        <w:spacing w:line="480" w:lineRule="auto"/>
        <w:jc w:val="both"/>
      </w:pPr>
      <w:r>
        <w:rPr>
          <w:b/>
        </w:rPr>
        <w:t xml:space="preserve">Run-like </w:t>
      </w:r>
      <w:r>
        <w:rPr>
          <w:b/>
        </w:rPr>
        <w:tab/>
      </w:r>
      <w:r>
        <w:rPr>
          <w:b/>
        </w:rPr>
        <w:tab/>
      </w:r>
      <w:r>
        <w:t>1e-22 (2.51%)</w:t>
      </w:r>
      <w:r>
        <w:tab/>
      </w:r>
      <w:r>
        <w:tab/>
      </w:r>
      <w:r>
        <w:rPr>
          <w:b/>
        </w:rPr>
        <w:t xml:space="preserve"> </w:t>
      </w:r>
      <w:r w:rsidR="00075D94">
        <w:rPr>
          <w:b/>
        </w:rPr>
        <w:t xml:space="preserve">   </w:t>
      </w:r>
      <w:proofErr w:type="spellStart"/>
      <w:r>
        <w:t>n.f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n.f</w:t>
      </w:r>
      <w:proofErr w:type="spellEnd"/>
      <w:r>
        <w:t>.</w:t>
      </w:r>
    </w:p>
    <w:p w14:paraId="2940371F" w14:textId="77777777" w:rsidR="000F5AB7" w:rsidRDefault="000F5AB7" w:rsidP="000F5AB7">
      <w:pPr>
        <w:spacing w:line="480" w:lineRule="auto"/>
        <w:jc w:val="both"/>
        <w:rPr>
          <w:b/>
        </w:rPr>
      </w:pPr>
    </w:p>
    <w:p w14:paraId="1F8F7370" w14:textId="3847412C" w:rsidR="000F5AB7" w:rsidRDefault="000F5AB7" w:rsidP="000F5AB7">
      <w:pPr>
        <w:spacing w:line="480" w:lineRule="auto"/>
        <w:jc w:val="both"/>
      </w:pPr>
      <w:r>
        <w:rPr>
          <w:b/>
        </w:rPr>
        <w:t xml:space="preserve">Figure 2 </w:t>
      </w:r>
      <w:r>
        <w:rPr>
          <w:b/>
        </w:rPr>
        <w:t>–</w:t>
      </w:r>
      <w:r>
        <w:rPr>
          <w:b/>
        </w:rPr>
        <w:t xml:space="preserve"> s</w:t>
      </w:r>
      <w:r>
        <w:rPr>
          <w:b/>
        </w:rPr>
        <w:t>ource data</w:t>
      </w:r>
      <w:r>
        <w:rPr>
          <w:b/>
        </w:rPr>
        <w:t xml:space="preserve"> 1. </w:t>
      </w:r>
      <w:r w:rsidR="00075D94">
        <w:rPr>
          <w:b/>
        </w:rPr>
        <w:t>Significance and a</w:t>
      </w:r>
      <w:r>
        <w:rPr>
          <w:b/>
        </w:rPr>
        <w:t>bundance of motifs for known transcription factors found by HOMER within the three corresponding sets of peaks.</w:t>
      </w:r>
      <w:r>
        <w:t xml:space="preserve"> Each set of peaks (i.e. </w:t>
      </w:r>
      <w:proofErr w:type="spellStart"/>
      <w:r>
        <w:t>Opa</w:t>
      </w:r>
      <w:proofErr w:type="spellEnd"/>
      <w:r>
        <w:t xml:space="preserve">-only, </w:t>
      </w:r>
      <w:proofErr w:type="spellStart"/>
      <w:r>
        <w:t>Zld</w:t>
      </w:r>
      <w:proofErr w:type="spellEnd"/>
      <w:r>
        <w:t xml:space="preserve">-only, and </w:t>
      </w:r>
      <w:proofErr w:type="spellStart"/>
      <w:r>
        <w:t>Opa-Zld</w:t>
      </w:r>
      <w:proofErr w:type="spellEnd"/>
      <w:r>
        <w:t xml:space="preserve"> overlap called by comp</w:t>
      </w:r>
      <w:bookmarkStart w:id="0" w:name="_GoBack"/>
      <w:bookmarkEnd w:id="0"/>
      <w:r>
        <w:t xml:space="preserve">arison of </w:t>
      </w:r>
      <w:proofErr w:type="spellStart"/>
      <w:r>
        <w:t>Opa</w:t>
      </w:r>
      <w:proofErr w:type="spellEnd"/>
      <w:r>
        <w:t xml:space="preserve"> (3h) and </w:t>
      </w:r>
      <w:proofErr w:type="spellStart"/>
      <w:r>
        <w:t>Zld</w:t>
      </w:r>
      <w:proofErr w:type="spellEnd"/>
      <w:r>
        <w:t xml:space="preserve"> nc13-nc14 </w:t>
      </w:r>
      <w:proofErr w:type="spellStart"/>
      <w:r>
        <w:t>ChIP-seq</w:t>
      </w:r>
      <w:proofErr w:type="spellEnd"/>
      <w:r>
        <w:t xml:space="preserve"> data) was independently analyzed by HOMER, and binding site consensus sequences defined independently for the listed transcription factors. If no motif for a certain transcription was designated significant by HOMER within a particular set of peaks, designated not found (</w:t>
      </w:r>
      <w:proofErr w:type="spellStart"/>
      <w:r>
        <w:t>n.f</w:t>
      </w:r>
      <w:proofErr w:type="spellEnd"/>
      <w:r>
        <w:t>.). P-values are shown for enrichment of consensus binding sites within each class; abundance shown in parentheses. Data for a subset of sites are shown in Figure 2.</w:t>
      </w:r>
    </w:p>
    <w:p w14:paraId="5950FD34" w14:textId="77777777" w:rsidR="008A456D" w:rsidRDefault="008A456D"/>
    <w:sectPr w:rsidR="008A456D" w:rsidSect="00DC2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B7"/>
    <w:rsid w:val="00075D94"/>
    <w:rsid w:val="000E54DA"/>
    <w:rsid w:val="000F5AB7"/>
    <w:rsid w:val="0058285E"/>
    <w:rsid w:val="006B1581"/>
    <w:rsid w:val="007628F3"/>
    <w:rsid w:val="008A456D"/>
    <w:rsid w:val="00D174C0"/>
    <w:rsid w:val="00D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F83AD"/>
  <w15:chartTrackingRefBased/>
  <w15:docId w15:val="{61695BB6-5F4D-0841-8A3D-B45850E9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AB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Stathopoulos, Angelike</dc:creator>
  <cp:keywords/>
  <dc:description/>
  <cp:lastModifiedBy>Stathopoulos, Angelike</cp:lastModifiedBy>
  <cp:revision>2</cp:revision>
  <dcterms:created xsi:type="dcterms:W3CDTF">2020-07-21T22:18:00Z</dcterms:created>
  <dcterms:modified xsi:type="dcterms:W3CDTF">2020-07-21T22:21:00Z</dcterms:modified>
</cp:coreProperties>
</file>