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dxa"/>
        <w:tblCellMar>
          <w:left w:w="0" w:type="dxa"/>
          <w:right w:w="0" w:type="dxa"/>
        </w:tblCellMar>
        <w:tblLook w:val="04A0" w:firstRow="1" w:lastRow="0" w:firstColumn="1" w:lastColumn="0" w:noHBand="0" w:noVBand="1"/>
      </w:tblPr>
      <w:tblGrid>
        <w:gridCol w:w="1182"/>
        <w:gridCol w:w="1803"/>
        <w:gridCol w:w="1830"/>
        <w:gridCol w:w="1640"/>
        <w:gridCol w:w="1820"/>
        <w:gridCol w:w="1069"/>
      </w:tblGrid>
      <w:tr w:rsidR="00265AB8" w:rsidRPr="007D7BD6" w:rsidTr="00D4199E">
        <w:trPr>
          <w:trHeight w:val="315"/>
          <w:tblHeader/>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b/>
                <w:bCs/>
                <w:sz w:val="20"/>
                <w:szCs w:val="20"/>
              </w:rPr>
            </w:pPr>
            <w:r w:rsidRPr="007D7BD6">
              <w:rPr>
                <w:rFonts w:ascii="Times New Roman" w:hAnsi="Times New Roman" w:cs="Times New Roman"/>
                <w:b/>
                <w:bCs/>
                <w:sz w:val="20"/>
                <w:szCs w:val="20"/>
              </w:rPr>
              <w:t xml:space="preserve">Ribozyme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b/>
                <w:bCs/>
                <w:sz w:val="20"/>
                <w:szCs w:val="20"/>
              </w:rPr>
            </w:pPr>
            <w:r w:rsidRPr="007D7BD6">
              <w:rPr>
                <w:rFonts w:ascii="Times New Roman" w:hAnsi="Times New Roman" w:cs="Times New Roman"/>
                <w:b/>
                <w:bCs/>
                <w:sz w:val="20"/>
                <w:szCs w:val="20"/>
              </w:rPr>
              <w:t>Normalized mean GFP/mCherry (+ligand)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b/>
                <w:bCs/>
                <w:sz w:val="20"/>
                <w:szCs w:val="20"/>
              </w:rPr>
            </w:pPr>
            <w:r w:rsidRPr="007D7BD6">
              <w:rPr>
                <w:rFonts w:ascii="Times New Roman" w:hAnsi="Times New Roman" w:cs="Times New Roman"/>
                <w:b/>
                <w:bCs/>
                <w:sz w:val="20"/>
                <w:szCs w:val="20"/>
              </w:rPr>
              <w:t>Normalized GFP/mCherry std dev (+ligand)</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b/>
                <w:bCs/>
                <w:sz w:val="20"/>
                <w:szCs w:val="20"/>
              </w:rPr>
            </w:pPr>
            <w:r w:rsidRPr="007D7BD6">
              <w:rPr>
                <w:rFonts w:ascii="Times New Roman" w:hAnsi="Times New Roman" w:cs="Times New Roman"/>
                <w:b/>
                <w:bCs/>
                <w:sz w:val="20"/>
                <w:szCs w:val="20"/>
              </w:rPr>
              <w:t xml:space="preserve">Normalized mean GFP/mCherry </w:t>
            </w:r>
          </w:p>
          <w:p w:rsidR="00265AB8" w:rsidRPr="007D7BD6" w:rsidRDefault="00265AB8" w:rsidP="00D4199E">
            <w:pPr>
              <w:rPr>
                <w:rFonts w:ascii="Times New Roman" w:hAnsi="Times New Roman" w:cs="Times New Roman"/>
                <w:b/>
                <w:bCs/>
                <w:sz w:val="20"/>
                <w:szCs w:val="20"/>
              </w:rPr>
            </w:pPr>
            <w:r w:rsidRPr="007D7BD6">
              <w:rPr>
                <w:rFonts w:ascii="Times New Roman" w:hAnsi="Times New Roman" w:cs="Times New Roman"/>
                <w:b/>
                <w:bCs/>
                <w:sz w:val="20"/>
                <w:szCs w:val="20"/>
              </w:rPr>
              <w:t>(-ligand)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b/>
                <w:bCs/>
                <w:sz w:val="20"/>
                <w:szCs w:val="20"/>
              </w:rPr>
            </w:pPr>
            <w:r w:rsidRPr="007D7BD6">
              <w:rPr>
                <w:rFonts w:ascii="Times New Roman" w:hAnsi="Times New Roman" w:cs="Times New Roman"/>
                <w:b/>
                <w:bCs/>
                <w:sz w:val="20"/>
                <w:szCs w:val="20"/>
              </w:rPr>
              <w:t>Normalized GFP/mCherry std dev (-ligand)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b/>
                <w:bCs/>
                <w:sz w:val="20"/>
                <w:szCs w:val="20"/>
              </w:rPr>
            </w:pPr>
            <w:r w:rsidRPr="007D7BD6">
              <w:rPr>
                <w:rFonts w:ascii="Times New Roman" w:hAnsi="Times New Roman" w:cs="Times New Roman"/>
                <w:b/>
                <w:bCs/>
                <w:sz w:val="20"/>
                <w:szCs w:val="20"/>
              </w:rPr>
              <w:t>Activation ratio</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Active ribozyme control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1.05</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Inactive ribozyme control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1.00</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FA 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2.90</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FA 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1.52</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FA 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1.32</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FA 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0.85</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FA 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1.61</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FA 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2.20</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FA 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1.13</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FA 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1.76</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FA 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1.87</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FA 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0.96</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FA 11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1.26</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FA 12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1.85</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FA 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2.24</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FA 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1.03</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FA 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1.04</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Tet 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0.76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0.28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2.75</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Tet 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0.77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0.28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2.76</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Tet 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0.52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0.24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0.29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1.78</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Tet 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0.69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0.25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2.83</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Tet 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0.41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2.46</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lastRenderedPageBreak/>
              <w:t>Tet 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0.77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2.96</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Tet 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0.85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0.64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1.33</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Tet 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0.80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3.05</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Tet 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0.65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4.52</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Tet 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0.62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0.11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5.84</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Tet 11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0.74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4.28</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Tet 12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0.65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0.12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5.29</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Tet 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0.76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0.41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1.85</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Tet 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0.42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0.12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3.51</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Tet 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0.77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0.34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2.27</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Theo 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0.68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0.47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0.16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1.45</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Theo 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0.75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0.66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1.13</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Theo 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0.73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0.22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0.77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0.95</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Theo 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0.51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4.00</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Theo 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1.12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1.16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0.97</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Theo 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0.81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0.77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1.05</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Theo 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0.87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0.62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1.42</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Theo 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1.12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0.11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1.03</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Theo 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0.82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1.24</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Theo 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0.61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2.62</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Theo 11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0.83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1.27</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Theo 12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1.28</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Theo 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1.28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1.39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0.92</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Theo 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1.35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1.36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0.18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0.99</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lastRenderedPageBreak/>
              <w:t>Theo 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0.73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0.11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0.18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4.19</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Cml 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0.36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0.33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1.09</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Cml 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0.82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0.66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1.24</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Cml 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0.25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1.11</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Cml 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1.07</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Cml 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0.54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0.51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1.05</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Cml 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0.51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1.01</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Cml 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0.44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1.12</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Cml 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0.28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1.11</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Cml 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0.59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0.52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1.13</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Cml 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0.42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0.36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1.15</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Cml 11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0.67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0.51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1.31</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Cml 12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0.56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0.51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1.11</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Cml 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0.43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1.08</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Cml 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0.24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0.92</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Cml 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0.48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0.41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1.17</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Neo 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0.95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0.48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1.96</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Neo 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0.99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0.78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1.27</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Neo 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0.77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0.16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0.44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1.75</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Neo 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0.83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0.16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1.40</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Neo 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0.80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0.24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0.57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0.21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1.41</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Neo 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0.99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0.72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1.37</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Neo 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0.92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0.80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1.16</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Neo 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0.90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1.15</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lastRenderedPageBreak/>
              <w:t>Neo 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0.89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0.11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0.52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1.69</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Neo 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0.94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0.69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1.36</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Neo 11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2.46</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Neo 12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1.09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0.88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1.24</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Neo 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1.55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1.19</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Neo 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0.68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1.50</w:t>
            </w:r>
          </w:p>
        </w:tc>
      </w:tr>
      <w:tr w:rsidR="00265AB8" w:rsidRPr="007D7BD6" w:rsidTr="00D4199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Neo 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0.94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0.56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0.14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65AB8" w:rsidRPr="007D7BD6" w:rsidRDefault="00265AB8" w:rsidP="00D4199E">
            <w:pPr>
              <w:rPr>
                <w:rFonts w:ascii="Times New Roman" w:hAnsi="Times New Roman" w:cs="Times New Roman"/>
                <w:sz w:val="20"/>
                <w:szCs w:val="20"/>
              </w:rPr>
            </w:pPr>
            <w:r w:rsidRPr="007D7BD6">
              <w:rPr>
                <w:rFonts w:ascii="Times New Roman" w:hAnsi="Times New Roman" w:cs="Times New Roman"/>
                <w:sz w:val="20"/>
                <w:szCs w:val="20"/>
              </w:rPr>
              <w:t>1.69</w:t>
            </w:r>
          </w:p>
        </w:tc>
      </w:tr>
    </w:tbl>
    <w:p w:rsidR="00265AB8" w:rsidRPr="007D7BD6" w:rsidRDefault="00265AB8" w:rsidP="00265AB8">
      <w:pPr>
        <w:rPr>
          <w:rFonts w:ascii="Times New Roman" w:hAnsi="Times New Roman" w:cs="Times New Roman"/>
          <w:sz w:val="20"/>
          <w:szCs w:val="20"/>
        </w:rPr>
      </w:pPr>
    </w:p>
    <w:p w:rsidR="00265AB8" w:rsidRPr="0000283A" w:rsidRDefault="00265AB8" w:rsidP="00265AB8">
      <w:pPr>
        <w:rPr>
          <w:rFonts w:ascii="Times New Roman" w:hAnsi="Times New Roman" w:cs="Times New Roman"/>
          <w:sz w:val="20"/>
          <w:szCs w:val="20"/>
        </w:rPr>
        <w:sectPr w:rsidR="00265AB8" w:rsidRPr="0000283A" w:rsidSect="007D7BD6">
          <w:pgSz w:w="12240" w:h="15840"/>
          <w:pgMar w:top="1440" w:right="1440" w:bottom="1440" w:left="1440" w:header="720" w:footer="720" w:gutter="0"/>
          <w:pgNumType w:start="1"/>
          <w:cols w:space="720"/>
          <w:docGrid w:linePitch="299"/>
        </w:sectPr>
      </w:pPr>
      <w:bookmarkStart w:id="0" w:name="_Hlk44687772"/>
      <w:r w:rsidRPr="007D7BD6">
        <w:rPr>
          <w:rFonts w:ascii="Times New Roman" w:hAnsi="Times New Roman" w:cs="Times New Roman"/>
          <w:b/>
          <w:bCs/>
          <w:sz w:val="20"/>
          <w:szCs w:val="20"/>
        </w:rPr>
        <w:t>Figure 6 - Source Table 1</w:t>
      </w:r>
      <w:bookmarkEnd w:id="0"/>
      <w:r w:rsidRPr="007D7BD6">
        <w:rPr>
          <w:rFonts w:ascii="Times New Roman" w:hAnsi="Times New Roman" w:cs="Times New Roman"/>
          <w:b/>
          <w:bCs/>
          <w:sz w:val="20"/>
          <w:szCs w:val="20"/>
        </w:rPr>
        <w:t>. Gene-regulatory activity values for individual designed ribozyme switches in the presence and absence of ligand.</w:t>
      </w:r>
      <w:r w:rsidRPr="007D7BD6">
        <w:rPr>
          <w:rFonts w:ascii="Times New Roman" w:hAnsi="Times New Roman" w:cs="Times New Roman"/>
          <w:sz w:val="20"/>
          <w:szCs w:val="20"/>
        </w:rPr>
        <w:t xml:space="preserve"> Activity values for each ribozyme was generated through FACS analysis on triplicate cultures for ribozymes in the presence and absence of the cognate ligand. The standard deviation for each ribozyme represents the standard deviation of the mean GFP/mCherry values for each sample in the triplicate. The activation ratio for each ribozyme is obtained by dividing the normalized mean (+ligand) value by the normalized mean (-ligand) value. The concentrations used for the induced ribozymes were 5 mM for folinic acid, 1 mM for tetracycline, 25 μg/mL for chloramphenicol, 5 mM for theop</w:t>
      </w:r>
      <w:r>
        <w:rPr>
          <w:rFonts w:ascii="Times New Roman" w:hAnsi="Times New Roman" w:cs="Times New Roman"/>
          <w:sz w:val="20"/>
          <w:szCs w:val="20"/>
        </w:rPr>
        <w:t>hylline, and 5 mM for neomycin.</w:t>
      </w:r>
      <w:bookmarkStart w:id="1" w:name="_GoBack"/>
      <w:bookmarkEnd w:id="1"/>
    </w:p>
    <w:p w:rsidR="00430E0D" w:rsidRDefault="00265AB8"/>
    <w:sectPr w:rsidR="00430E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AB8"/>
    <w:rsid w:val="0014088B"/>
    <w:rsid w:val="002222A4"/>
    <w:rsid w:val="00265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669D20-4B9E-4B51-A3E2-E31DCA8C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A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2021-03-10T03:26:00Z</dcterms:created>
  <dcterms:modified xsi:type="dcterms:W3CDTF">2021-03-10T03:26:00Z</dcterms:modified>
</cp:coreProperties>
</file>